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Highlights</w:t>
      </w:r>
    </w:p>
    <w:p>
      <w:r>
        <w:t xml:space="preserve">• Budgeted marginal risk measures inference gains over admissible backgrounds.</w:t>
      </w:r>
    </w:p>
    <w:p>
      <w:r>
        <w:t xml:space="preserve">• Field profiles retain amplification and the combinations that explain leakage.</w:t>
      </w:r>
    </w:p>
    <w:p>
      <w:r>
        <w:t xml:space="preserve">• Shared features and subset-specific readouts enable millisecond risk scans.</w:t>
      </w:r>
    </w:p>
    <w:p>
      <w:r>
        <w:t xml:space="preserve">• Verifying three backgrounds recovers 97.8% of total marginal risk in the study.</w:t>
      </w:r>
    </w:p>
    <w:sectPr/>
  </w:body>
</w:document>
</file>