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南网数据分类分级体系梳理与整合方案</w:t>
      </w:r>
    </w:p>
    <w:p>
      <w:pPr>
        <w:pStyle w:val="Subtitle"/>
      </w:pPr>
      <w:r>
        <w:t xml:space="preserve">论文基础、南网规则与背景组合推断研究的一体化设计</w:t>
      </w:r>
    </w:p>
    <w:p>
      <w:pPr>
        <w:pStyle w:val="Author"/>
      </w:pPr>
      <w:r>
        <w:t xml:space="preserve">项目讨论稿</w:t>
      </w:r>
    </w:p>
    <w:p>
      <w:pPr>
        <w:pStyle w:val="Date"/>
      </w:pPr>
      <w:r>
        <w:t xml:space="preserve">2026-09-29</w:t>
      </w:r>
    </w:p>
    <w:p>
      <w:pPr>
        <w:pStyle w:val="FirstParagraph"/>
      </w:pPr>
      <w:r>
        <w:rPr>
          <w:b/>
        </w:rPr>
        <w:t xml:space="preserve">阅读导引</w:t>
      </w:r>
    </w:p>
    <w:p>
      <w:pPr>
        <w:pStyle w:val="BodyText"/>
      </w:pPr>
      <w:r>
        <w:t xml:space="preserve">主方案：体系定位、规则接入、场景与证据、治理决定、试点及交付。</w:t>
      </w:r>
    </w:p>
    <w:p>
      <w:pPr>
        <w:pStyle w:val="BodyText"/>
      </w:pPr>
      <w:r>
        <w:t xml:space="preserve">附录一：师兄论文 3.1、3.4.2 和第 4 章逐节梳理。</w:t>
      </w:r>
    </w:p>
    <w:p>
      <w:pPr>
        <w:pStyle w:val="BodyText"/>
      </w:pPr>
      <w:r>
        <w:t xml:space="preserve">附录二：南网九份文件解读、分级矩阵、开放目录统计与版本差异。</w:t>
      </w:r>
    </w:p>
    <w:p>
      <w:pPr>
        <w:pStyle w:val="BodyText"/>
      </w:pPr>
      <w:r>
        <w:t xml:space="preserve">附录三：七页汇报主线、项目研究内容与实施清单。</w:t>
      </w:r>
    </w:p>
    <w:p>
      <w:pPr>
        <w:pStyle w:val="BodyText"/>
      </w:pPr>
      <w:r>
        <w:t xml:space="preserve">附录四：原文、近期研究与公开核对来源索引。</w:t>
      </w:r>
    </w:p>
    <w:p>
      <w:pPr>
        <w:pStyle w:val="BodyText"/>
      </w:pPr>
      <w:r>
        <w:t xml:space="preserve">建议先读主方案；需要核对原文或准备专题汇报时再查阅对应附录。</w:t>
      </w:r>
    </w:p>
    <w:p>
      <w:pPr>
        <w:pStyle w:val="Heading1"/>
        <w:pageBreakBefore/>
      </w:pPr>
      <w:bookmarkStart w:id="20" w:name="南网数据分类分级一体化体系方案"/>
      <w:r>
        <w:t xml:space="preserve">南网数据分类分级一体化体系方案</w:t>
      </w:r>
      <w:bookmarkEnd w:id="20"/>
    </w:p>
    <w:p>
      <w:pPr>
        <w:pStyle w:val="FirstParagraph"/>
      </w:pPr>
      <w:r>
        <w:rPr>
          <w:b/>
        </w:rPr>
        <w:t xml:space="preserve">规则确定基线，推断证据补充评估，场景约束指导开放，审批与复评形成闭环。</w:t>
      </w:r>
    </w:p>
    <w:p>
      <w:pPr>
        <w:pStyle w:val="BodyText"/>
      </w:pPr>
      <w:r>
        <w:t xml:space="preserve">版本：2026-09-29，项目研究与方案讨论稿。本文以所给论文及南网材料为基础，区分</w:t>
      </w:r>
      <w:r>
        <w:t xml:space="preserve">“</w:t>
      </w:r>
      <w:r>
        <w:t xml:space="preserve">已有规定/材料内容</w:t>
      </w:r>
      <w:r>
        <w:t xml:space="preserve">”</w:t>
      </w:r>
      <w:r>
        <w:t xml:space="preserve">“</w:t>
      </w:r>
      <w:r>
        <w:t xml:space="preserve">已有研究结果</w:t>
      </w:r>
      <w:r>
        <w:t xml:space="preserve">”</w:t>
      </w:r>
      <w:r>
        <w:t xml:space="preserve">和</w:t>
      </w:r>
      <w:r>
        <w:t xml:space="preserve">“</w:t>
      </w:r>
      <w:r>
        <w:t xml:space="preserve">本次提出的整合设计</w:t>
      </w:r>
      <w:r>
        <w:t xml:space="preserve">”</w:t>
      </w:r>
      <w:r>
        <w:t xml:space="preserve">，不将草案、研究分数或待验证方案写成已批准的南网结论。</w:t>
      </w:r>
    </w:p>
    <w:p>
      <w:pPr>
        <w:pStyle w:val="Heading2"/>
      </w:pPr>
      <w:bookmarkStart w:id="21" w:name="我们最终要建立什么体系"/>
      <w:r>
        <w:t xml:space="preserve">1. 我们最终要建立什么体系</w:t>
      </w:r>
      <w:bookmarkEnd w:id="21"/>
    </w:p>
    <w:p>
      <w:pPr>
        <w:pStyle w:val="FirstParagraph"/>
      </w:pPr>
      <w:r>
        <w:t xml:space="preserve">建议将项目分类分级部分表述为：</w:t>
      </w:r>
    </w:p>
    <w:p>
      <w:pPr>
        <w:pStyle w:val="BlockText"/>
      </w:pPr>
      <w:r>
        <w:rPr>
          <w:b/>
        </w:rPr>
        <w:t xml:space="preserve">面向南网数据开放共享的规则与推断证据协同分类分级体系。</w:t>
      </w:r>
      <w:r>
        <w:t xml:space="preserve"> </w:t>
      </w:r>
      <w:r>
        <w:t xml:space="preserve">以南网业务架构、数据分级规则、开放目录和市场披露要求为基础，利用知识增强技术完成规则与数据语义对齐，通过关联发现和背景组合推断评估识别隐含风险，形成可解释的分级复核与保护建议，经业务和管理审批后落实到数据目录及开放控制，并随数据、背景和制度变化持续复评。</w:t>
      </w:r>
    </w:p>
    <w:p>
      <w:pPr>
        <w:pStyle w:val="FirstParagraph"/>
      </w:pPr>
      <w:r>
        <w:t xml:space="preserve">这条主线把三部分材料放到同一条业务链中：</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材料/研究</w:t>
            </w:r>
          </w:p>
        </w:tc>
        <w:tc>
          <w:tcPr>
            <w:tcW w:type="dxa" w:w="4048"/>
            <w:shd w:fill="E8F0F5"/>
          </w:tcPr>
          <w:p>
            <w:pPr>
              <w:pStyle w:val="Compact"/>
              <w:keepNext w:val="0"/>
              <w:spacing w:after="60" w:before="60" w:line="264" w:lineRule="auto"/>
              <w:jc w:val="left"/>
            </w:pPr>
            <w:r>
              <w:rPr>
                <w:sz w:val="18"/>
              </w:rPr>
              <w:t xml:space="preserve">在体系中承担的责任</w:t>
            </w:r>
          </w:p>
        </w:tc>
        <w:tc>
          <w:tcPr>
            <w:tcW w:type="dxa" w:w="3470"/>
            <w:shd w:fill="E8F0F5"/>
          </w:tcPr>
          <w:p>
            <w:pPr>
              <w:pStyle w:val="Compact"/>
              <w:keepNext w:val="0"/>
              <w:spacing w:after="60" w:before="60" w:line="264" w:lineRule="auto"/>
              <w:jc w:val="left"/>
            </w:pPr>
            <w:r>
              <w:rPr>
                <w:sz w:val="18"/>
              </w:rPr>
              <w:t xml:space="preserve">不应越过的边界</w:t>
            </w:r>
          </w:p>
        </w:tc>
      </w:tr>
      <w:tr>
        <w:trPr>
          <w:cantSplit/>
        </w:trPr>
        <w:tc>
          <w:tcPr>
            <w:tcW w:type="dxa" w:w="2120"/>
          </w:tcPr>
          <w:p>
            <w:pPr>
              <w:pStyle w:val="Compact"/>
              <w:keepNext w:val="0"/>
              <w:spacing w:after="60" w:before="60" w:line="264" w:lineRule="auto"/>
              <w:jc w:val="left"/>
            </w:pPr>
            <w:r>
              <w:rPr>
                <w:sz w:val="18"/>
              </w:rPr>
              <w:t xml:space="preserve">南网既有制度与目录</w:t>
            </w:r>
          </w:p>
        </w:tc>
        <w:tc>
          <w:tcPr>
            <w:tcW w:type="dxa" w:w="4048"/>
          </w:tcPr>
          <w:p>
            <w:pPr>
              <w:pStyle w:val="Compact"/>
              <w:keepNext w:val="0"/>
              <w:spacing w:after="60" w:before="60" w:line="264" w:lineRule="auto"/>
              <w:jc w:val="left"/>
            </w:pPr>
            <w:r>
              <w:rPr>
                <w:sz w:val="18"/>
              </w:rPr>
              <w:t xml:space="preserve">规定分类、等级依据、开放对象与条件、披露要求、审核职责</w:t>
            </w:r>
          </w:p>
        </w:tc>
        <w:tc>
          <w:tcPr>
            <w:tcW w:type="dxa" w:w="3470"/>
          </w:tcPr>
          <w:p>
            <w:pPr>
              <w:pStyle w:val="Compact"/>
              <w:keepNext w:val="0"/>
              <w:spacing w:after="60" w:before="60" w:line="264" w:lineRule="auto"/>
              <w:jc w:val="left"/>
            </w:pPr>
            <w:r>
              <w:rPr>
                <w:sz w:val="18"/>
              </w:rPr>
              <w:t xml:space="preserve">征求意见稿/审议稿与生效规则分别管理</w:t>
            </w:r>
          </w:p>
        </w:tc>
      </w:tr>
      <w:tr>
        <w:trPr>
          <w:cantSplit/>
        </w:trPr>
        <w:tc>
          <w:tcPr>
            <w:tcW w:type="dxa" w:w="2120"/>
          </w:tcPr>
          <w:p>
            <w:pPr>
              <w:pStyle w:val="Compact"/>
              <w:keepNext w:val="0"/>
              <w:spacing w:after="60" w:before="60" w:line="264" w:lineRule="auto"/>
              <w:jc w:val="left"/>
            </w:pPr>
            <w:r>
              <w:rPr>
                <w:sz w:val="18"/>
              </w:rPr>
              <w:t xml:space="preserve">师兄的研究</w:t>
            </w:r>
          </w:p>
        </w:tc>
        <w:tc>
          <w:tcPr>
            <w:tcW w:type="dxa" w:w="4048"/>
          </w:tcPr>
          <w:p>
            <w:pPr>
              <w:pStyle w:val="Compact"/>
              <w:keepNext w:val="0"/>
              <w:spacing w:after="60" w:before="60" w:line="264" w:lineRule="auto"/>
              <w:jc w:val="left"/>
            </w:pPr>
            <w:r>
              <w:rPr>
                <w:sz w:val="18"/>
              </w:rPr>
              <w:t xml:space="preserve">文档规则抽取、对象模式分析、关联候选发现、动态策略推荐</w:t>
            </w:r>
          </w:p>
        </w:tc>
        <w:tc>
          <w:tcPr>
            <w:tcW w:type="dxa" w:w="3470"/>
          </w:tcPr>
          <w:p>
            <w:pPr>
              <w:pStyle w:val="Compact"/>
              <w:keepNext w:val="0"/>
              <w:spacing w:after="60" w:before="60" w:line="264" w:lineRule="auto"/>
              <w:jc w:val="left"/>
            </w:pPr>
            <w:r>
              <w:rPr>
                <w:sz w:val="18"/>
              </w:rPr>
              <w:t xml:space="preserve">关联强度和频繁模式分数不能直接成为南网等级</w:t>
            </w:r>
          </w:p>
        </w:tc>
      </w:tr>
      <w:tr>
        <w:trPr>
          <w:cantSplit/>
        </w:trPr>
        <w:tc>
          <w:tcPr>
            <w:tcW w:type="dxa" w:w="2120"/>
          </w:tcPr>
          <w:p>
            <w:pPr>
              <w:pStyle w:val="Compact"/>
              <w:keepNext w:val="0"/>
              <w:spacing w:after="60" w:before="60" w:line="264" w:lineRule="auto"/>
              <w:jc w:val="left"/>
            </w:pPr>
            <w:r>
              <w:rPr>
                <w:sz w:val="18"/>
              </w:rPr>
              <w:t xml:space="preserve">你近期的研究</w:t>
            </w:r>
          </w:p>
        </w:tc>
        <w:tc>
          <w:tcPr>
            <w:tcW w:type="dxa" w:w="4048"/>
          </w:tcPr>
          <w:p>
            <w:pPr>
              <w:pStyle w:val="Compact"/>
              <w:keepNext w:val="0"/>
              <w:spacing w:after="60" w:before="60" w:line="264" w:lineRule="auto"/>
              <w:jc w:val="left"/>
            </w:pPr>
            <w:r>
              <w:rPr>
                <w:sz w:val="18"/>
              </w:rPr>
              <w:t xml:space="preserve">评估字段集合的推断能力，度量字段在不同背景下的增量风险，提供可复核组合证据</w:t>
            </w:r>
          </w:p>
        </w:tc>
        <w:tc>
          <w:tcPr>
            <w:tcW w:type="dxa" w:w="3470"/>
          </w:tcPr>
          <w:p>
            <w:pPr>
              <w:pStyle w:val="Compact"/>
              <w:keepNext w:val="0"/>
              <w:spacing w:after="60" w:before="60" w:line="264" w:lineRule="auto"/>
              <w:jc w:val="left"/>
            </w:pPr>
            <w:r>
              <w:rPr>
                <w:sz w:val="18"/>
              </w:rPr>
              <w:t xml:space="preserve">模型能力不等于事件概率、损害程度或法定身份</w:t>
            </w:r>
          </w:p>
        </w:tc>
      </w:tr>
    </w:tbl>
    <w:p>
      <w:pPr>
        <w:pStyle w:val="BodyText"/>
      </w:pPr>
      <w:r>
        <w:t xml:space="preserve">当前最直接的落点是：分类分级手册关于衍生、聚合及时效变化的复评要求，以及风险评估手册附录 3</w:t>
      </w:r>
      <w:r>
        <w:t xml:space="preserve"> </w:t>
      </w:r>
      <w:r>
        <w:rPr>
          <w:b/>
        </w:rPr>
        <w:t xml:space="preserve">第 382 项</w:t>
      </w:r>
      <w:r>
        <w:rPr>
          <w:b/>
        </w:rPr>
        <w:t xml:space="preserve">“</w:t>
      </w:r>
      <w:r>
        <w:rPr>
          <w:b/>
        </w:rPr>
        <w:t xml:space="preserve">数据公开聚合性风险</w:t>
      </w:r>
      <w:r>
        <w:rPr>
          <w:b/>
        </w:rPr>
        <w:t xml:space="preserve">”</w:t>
      </w:r>
      <w:r>
        <w:t xml:space="preserve">。体系不是另造一套脱离南网的分级标准，而是为现有标准增加可计算、可解释、可复核的证据。[S02，附录 D/E；S03，附录 3 序号 382]</w:t>
      </w:r>
    </w:p>
    <w:p>
      <w:pPr>
        <w:pStyle w:val="Heading2"/>
      </w:pPr>
      <w:bookmarkStart w:id="22" w:name="先分清六个经常混在一起的概念"/>
      <w:r>
        <w:t xml:space="preserve">2. 先分清六个经常混在一起的概念</w:t>
      </w:r>
      <w:bookmarkEnd w:id="22"/>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概念</w:t>
            </w:r>
          </w:p>
        </w:tc>
        <w:tc>
          <w:tcPr>
            <w:tcW w:type="dxa" w:w="4048"/>
            <w:shd w:fill="E8F0F5"/>
          </w:tcPr>
          <w:p>
            <w:pPr>
              <w:pStyle w:val="Compact"/>
              <w:keepNext w:val="0"/>
              <w:spacing w:after="60" w:before="60" w:line="264" w:lineRule="auto"/>
              <w:jc w:val="left"/>
            </w:pPr>
            <w:r>
              <w:rPr>
                <w:sz w:val="18"/>
              </w:rPr>
              <w:t xml:space="preserve">回答的问题</w:t>
            </w:r>
          </w:p>
        </w:tc>
        <w:tc>
          <w:tcPr>
            <w:tcW w:type="dxa" w:w="3470"/>
            <w:shd w:fill="E8F0F5"/>
          </w:tcPr>
          <w:p>
            <w:pPr>
              <w:pStyle w:val="Compact"/>
              <w:keepNext w:val="0"/>
              <w:spacing w:after="60" w:before="60" w:line="264" w:lineRule="auto"/>
              <w:jc w:val="left"/>
            </w:pPr>
            <w:r>
              <w:rPr>
                <w:sz w:val="18"/>
              </w:rPr>
              <w:t xml:space="preserve">结果形式</w:t>
            </w:r>
          </w:p>
        </w:tc>
      </w:tr>
      <w:tr>
        <w:trPr>
          <w:cantSplit/>
        </w:trPr>
        <w:tc>
          <w:tcPr>
            <w:tcW w:type="dxa" w:w="2120"/>
          </w:tcPr>
          <w:p>
            <w:pPr>
              <w:pStyle w:val="Compact"/>
              <w:keepNext w:val="0"/>
              <w:spacing w:after="60" w:before="60" w:line="264" w:lineRule="auto"/>
              <w:jc w:val="left"/>
            </w:pPr>
            <w:r>
              <w:rPr>
                <w:sz w:val="18"/>
              </w:rPr>
              <w:t xml:space="preserve">业务分类</w:t>
            </w:r>
          </w:p>
        </w:tc>
        <w:tc>
          <w:tcPr>
            <w:tcW w:type="dxa" w:w="4048"/>
          </w:tcPr>
          <w:p>
            <w:pPr>
              <w:pStyle w:val="Compact"/>
              <w:keepNext w:val="0"/>
              <w:spacing w:after="60" w:before="60" w:line="264" w:lineRule="auto"/>
              <w:jc w:val="left"/>
            </w:pPr>
            <w:r>
              <w:rPr>
                <w:sz w:val="18"/>
              </w:rPr>
              <w:t xml:space="preserve">数据属于什么业务、对象和流程？</w:t>
            </w:r>
          </w:p>
        </w:tc>
        <w:tc>
          <w:tcPr>
            <w:tcW w:type="dxa" w:w="3470"/>
          </w:tcPr>
          <w:p>
            <w:pPr>
              <w:pStyle w:val="Compact"/>
              <w:keepNext w:val="0"/>
              <w:spacing w:after="60" w:before="60" w:line="264" w:lineRule="auto"/>
              <w:jc w:val="left"/>
            </w:pPr>
            <w:r>
              <w:rPr>
                <w:sz w:val="18"/>
              </w:rPr>
              <w:t xml:space="preserve">业务分类路径及编码</w:t>
            </w:r>
          </w:p>
        </w:tc>
      </w:tr>
      <w:tr>
        <w:trPr>
          <w:cantSplit/>
        </w:trPr>
        <w:tc>
          <w:tcPr>
            <w:tcW w:type="dxa" w:w="2120"/>
          </w:tcPr>
          <w:p>
            <w:pPr>
              <w:pStyle w:val="Compact"/>
              <w:keepNext w:val="0"/>
              <w:spacing w:after="60" w:before="60" w:line="264" w:lineRule="auto"/>
              <w:jc w:val="left"/>
            </w:pPr>
            <w:r>
              <w:rPr>
                <w:sz w:val="18"/>
              </w:rPr>
              <w:t xml:space="preserve">数据安全级别</w:t>
            </w:r>
          </w:p>
        </w:tc>
        <w:tc>
          <w:tcPr>
            <w:tcW w:type="dxa" w:w="4048"/>
          </w:tcPr>
          <w:p>
            <w:pPr>
              <w:pStyle w:val="Compact"/>
              <w:keepNext w:val="0"/>
              <w:spacing w:after="60" w:before="60" w:line="264" w:lineRule="auto"/>
              <w:jc w:val="left"/>
            </w:pPr>
            <w:r>
              <w:rPr>
                <w:sz w:val="18"/>
              </w:rPr>
              <w:t xml:space="preserve">数据受损或被不当使用可能造成什么后果？</w:t>
            </w:r>
          </w:p>
        </w:tc>
        <w:tc>
          <w:tcPr>
            <w:tcW w:type="dxa" w:w="3470"/>
          </w:tcPr>
          <w:p>
            <w:pPr>
              <w:pStyle w:val="Compact"/>
              <w:keepNext w:val="0"/>
              <w:spacing w:after="60" w:before="60" w:line="264" w:lineRule="auto"/>
              <w:jc w:val="left"/>
            </w:pPr>
            <w:r>
              <w:rPr>
                <w:sz w:val="18"/>
              </w:rPr>
              <w:t xml:space="preserve">一般/重要/核心身份及 1—5 级，附依据和状态</w:t>
            </w:r>
          </w:p>
        </w:tc>
      </w:tr>
      <w:tr>
        <w:trPr>
          <w:cantSplit/>
        </w:trPr>
        <w:tc>
          <w:tcPr>
            <w:tcW w:type="dxa" w:w="2120"/>
          </w:tcPr>
          <w:p>
            <w:pPr>
              <w:pStyle w:val="Compact"/>
              <w:keepNext w:val="0"/>
              <w:spacing w:after="60" w:before="60" w:line="264" w:lineRule="auto"/>
              <w:jc w:val="left"/>
            </w:pPr>
            <w:r>
              <w:rPr>
                <w:sz w:val="18"/>
              </w:rPr>
              <w:t xml:space="preserve">推断暴露</w:t>
            </w:r>
          </w:p>
        </w:tc>
        <w:tc>
          <w:tcPr>
            <w:tcW w:type="dxa" w:w="4048"/>
          </w:tcPr>
          <w:p>
            <w:pPr>
              <w:pStyle w:val="Compact"/>
              <w:keepNext w:val="0"/>
              <w:spacing w:after="60" w:before="60" w:line="264" w:lineRule="auto"/>
              <w:jc w:val="left"/>
            </w:pPr>
            <w:r>
              <w:rPr>
                <w:sz w:val="18"/>
              </w:rPr>
              <w:t xml:space="preserve">在明确背景下，其他受保护信息能被恢复到什么程度？</w:t>
            </w:r>
          </w:p>
        </w:tc>
        <w:tc>
          <w:tcPr>
            <w:tcW w:type="dxa" w:w="3470"/>
          </w:tcPr>
          <w:p>
            <w:pPr>
              <w:pStyle w:val="Compact"/>
              <w:keepNext w:val="0"/>
              <w:spacing w:after="60" w:before="60" w:line="264" w:lineRule="auto"/>
              <w:jc w:val="left"/>
            </w:pPr>
            <w:r>
              <w:rPr>
                <w:sz w:val="18"/>
              </w:rPr>
              <w:t xml:space="preserve">集合能力、字段增益、关键背景及证据范围</w:t>
            </w:r>
          </w:p>
        </w:tc>
      </w:tr>
      <w:tr>
        <w:trPr>
          <w:cantSplit/>
        </w:trPr>
        <w:tc>
          <w:tcPr>
            <w:tcW w:type="dxa" w:w="2120"/>
          </w:tcPr>
          <w:p>
            <w:pPr>
              <w:pStyle w:val="Compact"/>
              <w:keepNext w:val="0"/>
              <w:spacing w:after="60" w:before="60" w:line="264" w:lineRule="auto"/>
              <w:jc w:val="left"/>
            </w:pPr>
            <w:r>
              <w:rPr>
                <w:sz w:val="18"/>
              </w:rPr>
              <w:t xml:space="preserve">风险问题等级</w:t>
            </w:r>
          </w:p>
        </w:tc>
        <w:tc>
          <w:tcPr>
            <w:tcW w:type="dxa" w:w="4048"/>
          </w:tcPr>
          <w:p>
            <w:pPr>
              <w:pStyle w:val="Compact"/>
              <w:keepNext w:val="0"/>
              <w:spacing w:after="60" w:before="60" w:line="264" w:lineRule="auto"/>
              <w:jc w:val="left"/>
            </w:pPr>
            <w:r>
              <w:rPr>
                <w:sz w:val="18"/>
              </w:rPr>
              <w:t xml:space="preserve">某场景下问题的可能性与危害如何？</w:t>
            </w:r>
          </w:p>
        </w:tc>
        <w:tc>
          <w:tcPr>
            <w:tcW w:type="dxa" w:w="3470"/>
          </w:tcPr>
          <w:p>
            <w:pPr>
              <w:pStyle w:val="Compact"/>
              <w:keepNext w:val="0"/>
              <w:spacing w:after="60" w:before="60" w:line="264" w:lineRule="auto"/>
              <w:jc w:val="left"/>
            </w:pPr>
            <w:r>
              <w:rPr>
                <w:sz w:val="18"/>
              </w:rPr>
              <w:t xml:space="preserve">高/中/低及整改优先级</w:t>
            </w:r>
          </w:p>
        </w:tc>
      </w:tr>
      <w:tr>
        <w:trPr>
          <w:cantSplit/>
        </w:trPr>
        <w:tc>
          <w:tcPr>
            <w:tcW w:type="dxa" w:w="2120"/>
          </w:tcPr>
          <w:p>
            <w:pPr>
              <w:pStyle w:val="Compact"/>
              <w:keepNext w:val="0"/>
              <w:spacing w:after="60" w:before="60" w:line="264" w:lineRule="auto"/>
              <w:jc w:val="left"/>
            </w:pPr>
            <w:r>
              <w:rPr>
                <w:sz w:val="18"/>
              </w:rPr>
              <w:t xml:space="preserve">开放/披露权限</w:t>
            </w:r>
          </w:p>
        </w:tc>
        <w:tc>
          <w:tcPr>
            <w:tcW w:type="dxa" w:w="4048"/>
          </w:tcPr>
          <w:p>
            <w:pPr>
              <w:pStyle w:val="Compact"/>
              <w:keepNext w:val="0"/>
              <w:spacing w:after="60" w:before="60" w:line="264" w:lineRule="auto"/>
              <w:jc w:val="left"/>
            </w:pPr>
            <w:r>
              <w:rPr>
                <w:sz w:val="18"/>
              </w:rPr>
              <w:t xml:space="preserve">谁在何时、何种用途下能获取哪些信息？</w:t>
            </w:r>
          </w:p>
        </w:tc>
        <w:tc>
          <w:tcPr>
            <w:tcW w:type="dxa" w:w="3470"/>
          </w:tcPr>
          <w:p>
            <w:pPr>
              <w:pStyle w:val="Compact"/>
              <w:keepNext w:val="0"/>
              <w:spacing w:after="60" w:before="60" w:line="264" w:lineRule="auto"/>
              <w:jc w:val="left"/>
            </w:pPr>
            <w:r>
              <w:rPr>
                <w:sz w:val="18"/>
              </w:rPr>
              <w:t xml:space="preserve">对象、内容、粒度、时点、授权与协议条件</w:t>
            </w:r>
          </w:p>
        </w:tc>
      </w:tr>
      <w:tr>
        <w:trPr>
          <w:cantSplit/>
        </w:trPr>
        <w:tc>
          <w:tcPr>
            <w:tcW w:type="dxa" w:w="2120"/>
          </w:tcPr>
          <w:p>
            <w:pPr>
              <w:pStyle w:val="Compact"/>
              <w:keepNext w:val="0"/>
              <w:spacing w:after="60" w:before="60" w:line="264" w:lineRule="auto"/>
              <w:jc w:val="left"/>
            </w:pPr>
            <w:r>
              <w:rPr>
                <w:sz w:val="18"/>
              </w:rPr>
              <w:t xml:space="preserve">保护动作</w:t>
            </w:r>
          </w:p>
        </w:tc>
        <w:tc>
          <w:tcPr>
            <w:tcW w:type="dxa" w:w="4048"/>
          </w:tcPr>
          <w:p>
            <w:pPr>
              <w:pStyle w:val="Compact"/>
              <w:keepNext w:val="0"/>
              <w:spacing w:after="60" w:before="60" w:line="264" w:lineRule="auto"/>
              <w:jc w:val="left"/>
            </w:pPr>
            <w:r>
              <w:rPr>
                <w:sz w:val="18"/>
              </w:rPr>
              <w:t xml:space="preserve">采用什么措施才能满足要求？</w:t>
            </w:r>
          </w:p>
        </w:tc>
        <w:tc>
          <w:tcPr>
            <w:tcW w:type="dxa" w:w="3470"/>
          </w:tcPr>
          <w:p>
            <w:pPr>
              <w:pStyle w:val="Compact"/>
              <w:keepNext w:val="0"/>
              <w:spacing w:after="60" w:before="60" w:line="264" w:lineRule="auto"/>
              <w:jc w:val="left"/>
            </w:pPr>
            <w:r>
              <w:rPr>
                <w:sz w:val="18"/>
              </w:rPr>
              <w:t xml:space="preserve">访问限制、处理后的产品、隔离使用、审计等措施</w:t>
            </w:r>
          </w:p>
        </w:tc>
      </w:tr>
    </w:tbl>
    <w:p>
      <w:pPr>
        <w:pStyle w:val="BodyText"/>
      </w:pPr>
      <w:r>
        <w:t xml:space="preserve">不能建立</w:t>
      </w:r>
      <w:r>
        <w:t xml:space="preserve">“</w:t>
      </w:r>
      <w:r>
        <w:t xml:space="preserve">MIC 高→4 级→禁止开放</w:t>
      </w:r>
      <w:r>
        <w:t xml:space="preserve">”</w:t>
      </w:r>
      <w:r>
        <w:t xml:space="preserve">这样的直接链条。也不能建立</w:t>
      </w:r>
      <w:r>
        <w:t xml:space="preserve">“</w:t>
      </w:r>
      <w:r>
        <w:t xml:space="preserve">开放目录中有→1 级→公众可下载</w:t>
      </w:r>
      <w:r>
        <w:t xml:space="preserve">”</w:t>
      </w:r>
      <w:r>
        <w:t xml:space="preserve">的直接链条。S06 共有 561 项资源，其中 548 项有条件开放、13 项无条件开放，且没有逐项安全等级列；市场规则的</w:t>
      </w:r>
      <w:r>
        <w:t xml:space="preserve">“</w:t>
      </w:r>
      <w:r>
        <w:t xml:space="preserve">公开信息</w:t>
      </w:r>
      <w:r>
        <w:t xml:space="preserve">”</w:t>
      </w:r>
      <w:r>
        <w:t xml:space="preserve">是向有关市场成员提供。[S06；S10，5.1]</w:t>
      </w:r>
    </w:p>
    <w:p>
      <w:pPr>
        <w:pStyle w:val="BodyText"/>
      </w:pPr>
      <w:r>
        <w:t xml:space="preserve">同一个字段可以保持原安全等级，但在特定主体、时间或组合下受到更严格的开放限制。一次应用风险上升，首先产生场景保护与复核需求；只有分级要素和影响判断确实变化，才进入正式等级变更。</w:t>
      </w:r>
    </w:p>
    <w:p>
      <w:pPr>
        <w:pStyle w:val="Heading2"/>
      </w:pPr>
      <w:bookmarkStart w:id="23" w:name="总体架构把规则对象证据和动作连起来"/>
      <w:r>
        <w:t xml:space="preserve">3. 总体架构：把规则、对象、证据和动作连起来</w:t>
      </w:r>
      <w:bookmarkEnd w:id="23"/>
    </w:p>
    <w:p>
      <w:pPr>
        <w:pStyle w:val="CaptionedFigure"/>
      </w:pPr>
      <w:r>
        <w:drawing>
          <wp:inline>
            <wp:extent cx="6108700" cy="5226332"/>
            <wp:effectExtent b="0" l="0" r="0" t="0"/>
            <wp:docPr descr="规则与推断证据协同分类分级流程" title="" id="1" name="Picture"/>
            <a:graphic>
              <a:graphicData uri="http://schemas.openxmlformats.org/drawingml/2006/picture">
                <pic:pic>
                  <pic:nvPicPr>
                    <pic:cNvPr descr="assets/体系流程.png" id="0" name="Picture"/>
                    <pic:cNvPicPr>
                      <a:picLocks noChangeArrowheads="1" noChangeAspect="1"/>
                    </pic:cNvPicPr>
                  </pic:nvPicPr>
                  <pic:blipFill>
                    <a:blip r:embed="rId24"/>
                    <a:stretch>
                      <a:fillRect/>
                    </a:stretch>
                  </pic:blipFill>
                  <pic:spPr bwMode="auto">
                    <a:xfrm>
                      <a:off x="0" y="0"/>
                      <a:ext cx="6108700" cy="5226332"/>
                    </a:xfrm>
                    <a:prstGeom prst="rect">
                      <a:avLst/>
                    </a:prstGeom>
                    <a:noFill/>
                    <a:ln w="9525">
                      <a:noFill/>
                      <a:headEnd/>
                      <a:tailEnd/>
                    </a:ln>
                  </pic:spPr>
                </pic:pic>
              </a:graphicData>
            </a:graphic>
          </wp:inline>
        </w:drawing>
      </w:r>
    </w:p>
    <w:p>
      <w:pPr>
        <w:pStyle w:val="ImageCaption"/>
      </w:pPr>
      <w:r>
        <w:t xml:space="preserve">规则与推断证据协同分类分级流程</w:t>
      </w:r>
    </w:p>
    <w:p>
      <w:pPr>
        <w:pStyle w:val="BodyText"/>
      </w:pPr>
      <w:r>
        <w:t xml:space="preserve">上图是本次整合设计，具体流程如下。</w:t>
      </w:r>
    </w:p>
    <w:p>
      <w:pPr>
        <w:pStyle w:val="Compact"/>
        <w:numPr>
          <w:numId w:val="1001"/>
          <w:ilvl w:val="0"/>
        </w:numPr>
      </w:pPr>
      <w:r>
        <w:rPr>
          <w:b/>
        </w:rPr>
        <w:t xml:space="preserve">规则和资产进入同一目录。</w:t>
      </w:r>
      <w:r>
        <w:t xml:space="preserve"> </w:t>
      </w:r>
      <w:r>
        <w:t xml:space="preserve">记录规范条款、版本、业务对象、字段语义、真实数据位置、加工血缘及已审批等级。</w:t>
      </w:r>
    </w:p>
    <w:p>
      <w:pPr>
        <w:pStyle w:val="Compact"/>
        <w:numPr>
          <w:numId w:val="1001"/>
          <w:ilvl w:val="0"/>
        </w:numPr>
      </w:pPr>
      <w:r>
        <w:rPr>
          <w:b/>
        </w:rPr>
        <w:t xml:space="preserve">按照南网口径分类和建立基线。</w:t>
      </w:r>
      <w:r>
        <w:t xml:space="preserve"> </w:t>
      </w:r>
      <w:r>
        <w:t xml:space="preserve">业务分类使用业务架构；分级根据适用规则、影响对象与程度形成识别/初判结果，再进入审批。</w:t>
      </w:r>
    </w:p>
    <w:p>
      <w:pPr>
        <w:pStyle w:val="Compact"/>
        <w:numPr>
          <w:numId w:val="1001"/>
          <w:ilvl w:val="0"/>
        </w:numPr>
      </w:pPr>
      <w:r>
        <w:rPr>
          <w:b/>
        </w:rPr>
        <w:t xml:space="preserve">定义具体开放场景。</w:t>
      </w:r>
      <w:r>
        <w:t xml:space="preserve"> </w:t>
      </w:r>
      <w:r>
        <w:t xml:space="preserve">明确接收主体、用途、时点、粒度、拟提供内容和该主体已可得的信息。</w:t>
      </w:r>
    </w:p>
    <w:p>
      <w:pPr>
        <w:pStyle w:val="Compact"/>
        <w:numPr>
          <w:numId w:val="1001"/>
          <w:ilvl w:val="0"/>
        </w:numPr>
      </w:pPr>
      <w:r>
        <w:rPr>
          <w:b/>
        </w:rPr>
        <w:t xml:space="preserve">发现线索并核验推断风险。</w:t>
      </w:r>
      <w:r>
        <w:t xml:space="preserve"> </w:t>
      </w:r>
      <w:r>
        <w:t xml:space="preserve">师兄的方法提出候选，近期研究补充集合能力、字段边际和背景解释。</w:t>
      </w:r>
    </w:p>
    <w:p>
      <w:pPr>
        <w:pStyle w:val="Compact"/>
        <w:numPr>
          <w:numId w:val="1001"/>
          <w:ilvl w:val="0"/>
        </w:numPr>
      </w:pPr>
      <w:r>
        <w:rPr>
          <w:b/>
        </w:rPr>
        <w:t xml:space="preserve">生成等级复核与保护建议。</w:t>
      </w:r>
      <w:r>
        <w:t xml:space="preserve"> </w:t>
      </w:r>
      <w:r>
        <w:t xml:space="preserve">分别回答</w:t>
      </w:r>
      <w:r>
        <w:t xml:space="preserve">“</w:t>
      </w:r>
      <w:r>
        <w:t xml:space="preserve">是否需要复核数据等级</w:t>
      </w:r>
      <w:r>
        <w:t xml:space="preserve">”</w:t>
      </w:r>
      <w:r>
        <w:t xml:space="preserve">和</w:t>
      </w:r>
      <w:r>
        <w:t xml:space="preserve">“</w:t>
      </w:r>
      <w:r>
        <w:t xml:space="preserve">当前场景如何提供</w:t>
      </w:r>
      <w:r>
        <w:t xml:space="preserve">”</w:t>
      </w:r>
      <w:r>
        <w:t xml:space="preserve">，并评估措施后的剩余风险及业务效用。</w:t>
      </w:r>
    </w:p>
    <w:p>
      <w:pPr>
        <w:pStyle w:val="Compact"/>
        <w:numPr>
          <w:numId w:val="1001"/>
          <w:ilvl w:val="0"/>
        </w:numPr>
      </w:pPr>
      <w:r>
        <w:rPr>
          <w:b/>
        </w:rPr>
        <w:t xml:space="preserve">审批、执行、留痕和更新。</w:t>
      </w:r>
      <w:r>
        <w:t xml:space="preserve"> </w:t>
      </w:r>
      <w:r>
        <w:t xml:space="preserve">审批结果进入目录与策略系统；新数据、新产品、新背景、新规则或主体状态变化触发复评。</w:t>
      </w:r>
    </w:p>
    <w:p>
      <w:pPr>
        <w:pStyle w:val="FirstParagraph"/>
      </w:pPr>
      <w:r>
        <w:t xml:space="preserve">关键是两条链始终相互关联：</w:t>
      </w:r>
      <w:r>
        <w:rPr>
          <w:b/>
        </w:rPr>
        <w:t xml:space="preserve">制度依据链</w:t>
      </w:r>
      <w:r>
        <w:t xml:space="preserve">解释为何需要保护，</w:t>
      </w:r>
      <w:r>
        <w:rPr>
          <w:b/>
        </w:rPr>
        <w:t xml:space="preserve">技术证据链</w:t>
      </w:r>
      <w:r>
        <w:t xml:space="preserve">解释具体场景中为何存在额外暴露。二者在人工复核与审批环节汇合。</w:t>
      </w:r>
    </w:p>
    <w:p>
      <w:pPr>
        <w:pStyle w:val="Heading2"/>
      </w:pPr>
      <w:bookmarkStart w:id="25" w:name="第一层把南网规定转成可用规则"/>
      <w:r>
        <w:t xml:space="preserve">4. 第一层：把南网规定转成可用规则</w:t>
      </w:r>
      <w:bookmarkEnd w:id="25"/>
    </w:p>
    <w:p>
      <w:pPr>
        <w:pStyle w:val="Heading3"/>
      </w:pPr>
      <w:bookmarkStart w:id="26" w:name="规则结构"/>
      <w:r>
        <w:t xml:space="preserve">4.1 规则结构</w:t>
      </w:r>
      <w:bookmarkEnd w:id="26"/>
    </w:p>
    <w:p>
      <w:pPr>
        <w:pStyle w:val="FirstParagraph"/>
      </w:pPr>
      <w:r>
        <w:t xml:space="preserve">沿用师兄的</w:t>
      </w:r>
      <w:r>
        <w:t xml:space="preserve">“</w:t>
      </w:r>
      <w:r>
        <w:t xml:space="preserve">大模型+检索增强+结构化输出</w:t>
      </w:r>
      <w:r>
        <w:t xml:space="preserve">”</w:t>
      </w:r>
      <w:r>
        <w:t xml:space="preserve">，但每条规则至少应包含：</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6939"/>
      </w:tblGrid>
      <w:tr>
        <w:trPr>
          <w:cantSplit/>
          <w:tblHeader/>
        </w:trPr>
        <w:tc>
          <w:tcPr>
            <w:tcW w:type="dxa" w:w="2699"/>
            <w:shd w:fill="E8F0F5"/>
          </w:tcPr>
          <w:p>
            <w:pPr>
              <w:pStyle w:val="Compact"/>
              <w:keepNext w:val="0"/>
              <w:spacing w:after="60" w:before="60" w:line="264" w:lineRule="auto"/>
              <w:jc w:val="left"/>
            </w:pPr>
            <w:r>
              <w:rPr>
                <w:sz w:val="18"/>
              </w:rPr>
              <w:t xml:space="preserve">字段组</w:t>
            </w:r>
          </w:p>
        </w:tc>
        <w:tc>
          <w:tcPr>
            <w:tcW w:type="dxa" w:w="6939"/>
            <w:shd w:fill="E8F0F5"/>
          </w:tcPr>
          <w:p>
            <w:pPr>
              <w:pStyle w:val="Compact"/>
              <w:keepNext w:val="0"/>
              <w:spacing w:after="60" w:before="60" w:line="264" w:lineRule="auto"/>
              <w:jc w:val="left"/>
            </w:pPr>
            <w:r>
              <w:rPr>
                <w:sz w:val="18"/>
              </w:rPr>
              <w:t xml:space="preserve">建议保存内容</w:t>
            </w:r>
          </w:p>
        </w:tc>
      </w:tr>
      <w:tr>
        <w:trPr>
          <w:cantSplit/>
        </w:trPr>
        <w:tc>
          <w:tcPr>
            <w:tcW w:type="dxa" w:w="2699"/>
          </w:tcPr>
          <w:p>
            <w:pPr>
              <w:pStyle w:val="Compact"/>
              <w:keepNext w:val="0"/>
              <w:spacing w:after="60" w:before="60" w:line="264" w:lineRule="auto"/>
              <w:jc w:val="left"/>
            </w:pPr>
            <w:r>
              <w:rPr>
                <w:sz w:val="18"/>
              </w:rPr>
              <w:t xml:space="preserve">来源</w:t>
            </w:r>
          </w:p>
        </w:tc>
        <w:tc>
          <w:tcPr>
            <w:tcW w:type="dxa" w:w="6939"/>
          </w:tcPr>
          <w:p>
            <w:pPr>
              <w:pStyle w:val="Compact"/>
              <w:keepNext w:val="0"/>
              <w:spacing w:after="60" w:before="60" w:line="264" w:lineRule="auto"/>
              <w:jc w:val="left"/>
            </w:pPr>
            <w:r>
              <w:rPr>
                <w:sz w:val="18"/>
              </w:rPr>
              <w:t xml:space="preserve">文档编号、具体条/表/行、原文片段、文件哈希</w:t>
            </w:r>
          </w:p>
        </w:tc>
      </w:tr>
      <w:tr>
        <w:trPr>
          <w:cantSplit/>
        </w:trPr>
        <w:tc>
          <w:tcPr>
            <w:tcW w:type="dxa" w:w="2699"/>
          </w:tcPr>
          <w:p>
            <w:pPr>
              <w:pStyle w:val="Compact"/>
              <w:keepNext w:val="0"/>
              <w:spacing w:after="60" w:before="60" w:line="264" w:lineRule="auto"/>
              <w:jc w:val="left"/>
            </w:pPr>
            <w:r>
              <w:rPr>
                <w:sz w:val="18"/>
              </w:rPr>
              <w:t xml:space="preserve">版本</w:t>
            </w:r>
          </w:p>
        </w:tc>
        <w:tc>
          <w:tcPr>
            <w:tcW w:type="dxa" w:w="6939"/>
          </w:tcPr>
          <w:p>
            <w:pPr>
              <w:pStyle w:val="Compact"/>
              <w:keepNext w:val="0"/>
              <w:spacing w:after="60" w:before="60" w:line="264" w:lineRule="auto"/>
              <w:jc w:val="left"/>
            </w:pPr>
            <w:r>
              <w:rPr>
                <w:sz w:val="18"/>
              </w:rPr>
              <w:t xml:space="preserve">发布/修订日期、生效日期、征求意见/审议/正式状态、被替代关系</w:t>
            </w:r>
          </w:p>
        </w:tc>
      </w:tr>
      <w:tr>
        <w:trPr>
          <w:cantSplit/>
        </w:trPr>
        <w:tc>
          <w:tcPr>
            <w:tcW w:type="dxa" w:w="2699"/>
          </w:tcPr>
          <w:p>
            <w:pPr>
              <w:pStyle w:val="Compact"/>
              <w:keepNext w:val="0"/>
              <w:spacing w:after="60" w:before="60" w:line="264" w:lineRule="auto"/>
              <w:jc w:val="left"/>
            </w:pPr>
            <w:r>
              <w:rPr>
                <w:sz w:val="18"/>
              </w:rPr>
              <w:t xml:space="preserve">适用范围</w:t>
            </w:r>
          </w:p>
        </w:tc>
        <w:tc>
          <w:tcPr>
            <w:tcW w:type="dxa" w:w="6939"/>
          </w:tcPr>
          <w:p>
            <w:pPr>
              <w:pStyle w:val="Compact"/>
              <w:keepNext w:val="0"/>
              <w:spacing w:after="60" w:before="60" w:line="264" w:lineRule="auto"/>
              <w:jc w:val="left"/>
            </w:pPr>
            <w:r>
              <w:rPr>
                <w:sz w:val="18"/>
              </w:rPr>
              <w:t xml:space="preserve">所属业务、对象、地域、主体、处理活动</w:t>
            </w:r>
          </w:p>
        </w:tc>
      </w:tr>
      <w:tr>
        <w:trPr>
          <w:cantSplit/>
        </w:trPr>
        <w:tc>
          <w:tcPr>
            <w:tcW w:type="dxa" w:w="2699"/>
          </w:tcPr>
          <w:p>
            <w:pPr>
              <w:pStyle w:val="Compact"/>
              <w:keepNext w:val="0"/>
              <w:spacing w:after="60" w:before="60" w:line="264" w:lineRule="auto"/>
              <w:jc w:val="left"/>
            </w:pPr>
            <w:r>
              <w:rPr>
                <w:sz w:val="18"/>
              </w:rPr>
              <w:t xml:space="preserve">条件</w:t>
            </w:r>
          </w:p>
        </w:tc>
        <w:tc>
          <w:tcPr>
            <w:tcW w:type="dxa" w:w="6939"/>
          </w:tcPr>
          <w:p>
            <w:pPr>
              <w:pStyle w:val="Compact"/>
              <w:keepNext w:val="0"/>
              <w:spacing w:after="60" w:before="60" w:line="264" w:lineRule="auto"/>
              <w:jc w:val="left"/>
            </w:pPr>
            <w:r>
              <w:rPr>
                <w:sz w:val="18"/>
              </w:rPr>
              <w:t xml:space="preserve">数据类型、规模、精度、时点、加工方式、例外条件及逻辑关系</w:t>
            </w:r>
          </w:p>
        </w:tc>
      </w:tr>
      <w:tr>
        <w:trPr>
          <w:cantSplit/>
        </w:trPr>
        <w:tc>
          <w:tcPr>
            <w:tcW w:type="dxa" w:w="2699"/>
          </w:tcPr>
          <w:p>
            <w:pPr>
              <w:pStyle w:val="Compact"/>
              <w:keepNext w:val="0"/>
              <w:spacing w:after="60" w:before="60" w:line="264" w:lineRule="auto"/>
              <w:jc w:val="left"/>
            </w:pPr>
            <w:r>
              <w:rPr>
                <w:sz w:val="18"/>
              </w:rPr>
              <w:t xml:space="preserve">结论</w:t>
            </w:r>
          </w:p>
        </w:tc>
        <w:tc>
          <w:tcPr>
            <w:tcW w:type="dxa" w:w="6939"/>
          </w:tcPr>
          <w:p>
            <w:pPr>
              <w:pStyle w:val="Compact"/>
              <w:keepNext w:val="0"/>
              <w:spacing w:after="60" w:before="60" w:line="264" w:lineRule="auto"/>
              <w:jc w:val="left"/>
            </w:pPr>
            <w:r>
              <w:rPr>
                <w:sz w:val="18"/>
              </w:rPr>
              <w:t xml:space="preserve">类别/等级识别条件、开放要求、披露义务或复评触发要求</w:t>
            </w:r>
          </w:p>
        </w:tc>
      </w:tr>
      <w:tr>
        <w:trPr>
          <w:cantSplit/>
        </w:trPr>
        <w:tc>
          <w:tcPr>
            <w:tcW w:type="dxa" w:w="2699"/>
          </w:tcPr>
          <w:p>
            <w:pPr>
              <w:pStyle w:val="Compact"/>
              <w:keepNext w:val="0"/>
              <w:spacing w:after="60" w:before="60" w:line="264" w:lineRule="auto"/>
              <w:jc w:val="left"/>
            </w:pPr>
            <w:r>
              <w:rPr>
                <w:sz w:val="18"/>
              </w:rPr>
              <w:t xml:space="preserve">治理</w:t>
            </w:r>
          </w:p>
        </w:tc>
        <w:tc>
          <w:tcPr>
            <w:tcW w:type="dxa" w:w="6939"/>
          </w:tcPr>
          <w:p>
            <w:pPr>
              <w:pStyle w:val="Compact"/>
              <w:keepNext w:val="0"/>
              <w:spacing w:after="60" w:before="60" w:line="264" w:lineRule="auto"/>
              <w:jc w:val="left"/>
            </w:pPr>
            <w:r>
              <w:rPr>
                <w:sz w:val="18"/>
              </w:rPr>
              <w:t xml:space="preserve">规则负责人、审校记录、冲突状态、批准版本</w:t>
            </w:r>
          </w:p>
        </w:tc>
      </w:tr>
    </w:tbl>
    <w:p>
      <w:pPr>
        <w:pStyle w:val="BodyText"/>
      </w:pPr>
      <w:r>
        <w:t xml:space="preserve">技术上可以从文档生成候选规则，项目流程上必须先审校后启用。文件里出现一个数字，不等于该数字可以脱离对象和条件成为全局阈值。</w:t>
      </w:r>
    </w:p>
    <w:p>
      <w:pPr>
        <w:pStyle w:val="Heading3"/>
      </w:pPr>
      <w:bookmarkStart w:id="27" w:name="分类与分级的基线"/>
      <w:r>
        <w:t xml:space="preserve">4.2 分类与分级的基线</w:t>
      </w:r>
      <w:bookmarkEnd w:id="27"/>
    </w:p>
    <w:p>
      <w:pPr>
        <w:pStyle w:val="FirstParagraph"/>
      </w:pPr>
      <w:r>
        <w:t xml:space="preserve">分类主路径使用</w:t>
      </w:r>
      <w:r>
        <w:t xml:space="preserve">“</w:t>
      </w:r>
      <w:r>
        <w:t xml:space="preserve">专业域—专业级流程组—操作级流程—业务对象—字段</w:t>
      </w:r>
      <w:r>
        <w:t xml:space="preserve">”</w:t>
      </w:r>
      <w:r>
        <w:t xml:space="preserve">，同时保留能源品种、活动类型、数据主体、结构类型等辅助标签。多维标签服务检索和分析，不替代业务主分类。[S02，附录 A]</w:t>
      </w:r>
    </w:p>
    <w:p>
      <w:pPr>
        <w:pStyle w:val="BodyText"/>
      </w:pPr>
      <w:r>
        <w:t xml:space="preserve">南网手册的等级框架为：1—3 级属于一般数据，4 级属于重要数据，5 级属于核心数据。对同一对象分别判断各影响对象的后果，并按照适用矩阵从严形成建议；重要/核心身份还需对照有效识别规则和管理程序。[S02，P0099、表 4.4]</w:t>
      </w:r>
    </w:p>
    <w:p>
      <w:pPr>
        <w:pStyle w:val="BodyText"/>
      </w:pPr>
      <w:r>
        <w:t xml:space="preserve">用符号表达制度判断，可以写为：</w:t>
      </w:r>
    </w:p>
    <w:p>
      <w:pPr>
        <w:pStyle w:val="BodyText"/>
      </w:pPr>
      <m:oMathPara>
        <m:oMathParaPr>
          <m:jc m:val="center"/>
        </m:oMathParaPr>
        <m:oMath>
          <m:sSub>
            <m:e>
              <m:r>
                <m:t>L</m:t>
              </m:r>
            </m:e>
            <m:sub>
              <m:r>
                <m:rPr>
                  <m:sty m:val="p"/>
                </m:rPr>
                <m:t>i</m:t>
              </m:r>
              <m:r>
                <m:rPr>
                  <m:sty m:val="p"/>
                </m:rPr>
                <m:t>m</m:t>
              </m:r>
              <m:r>
                <m:rPr>
                  <m:sty m:val="p"/>
                </m:rPr>
                <m:t>p</m:t>
              </m:r>
              <m:r>
                <m:rPr>
                  <m:sty m:val="p"/>
                </m:rPr>
                <m:t>a</m:t>
              </m:r>
              <m:r>
                <m:rPr>
                  <m:sty m:val="p"/>
                </m:rPr>
                <m:t>c</m:t>
              </m:r>
              <m:r>
                <m:rPr>
                  <m:sty m:val="p"/>
                </m:rPr>
                <m:t>t</m:t>
              </m:r>
            </m:sub>
          </m:sSub>
          <m:r>
            <m:t>(</m:t>
          </m:r>
          <m:r>
            <m:t>d</m:t>
          </m:r>
          <m:r>
            <m:t>)</m:t>
          </m:r>
          <m:r>
            <m:t>=</m:t>
          </m:r>
          <m:limLow>
            <m:e>
              <m:r>
                <m:rPr>
                  <m:nor/>
                  <m:sty m:val="p"/>
                </m:rPr>
                <m:t>max</m:t>
              </m:r>
            </m:e>
            <m:lim>
              <m:r>
                <m:t>o</m:t>
              </m:r>
              <m:r>
                <m:t>∈</m:t>
              </m:r>
              <m:r>
                <m:rPr>
                  <m:sty m:val="p"/>
                  <m:scr m:val="script"/>
                </m:rPr>
                <m:t>O</m:t>
              </m:r>
            </m:lim>
          </m:limLow>
          <m:sSub>
            <m:e>
              <m:r>
                <m:t>g</m:t>
              </m:r>
            </m:e>
            <m:sub>
              <m:r>
                <m:t>v</m:t>
              </m:r>
            </m:sub>
          </m:sSub>
          <m:r>
            <m:t>(</m:t>
          </m:r>
          <m:r>
            <m:t>o</m:t>
          </m:r>
          <m:r>
            <m:t>,</m:t>
          </m:r>
          <m:sSub>
            <m:e>
              <m:r>
                <m:t>h</m:t>
              </m:r>
            </m:e>
            <m:sub>
              <m:r>
                <m:t>o</m:t>
              </m:r>
            </m:sub>
          </m:sSub>
          <m:r>
            <m:t>(</m:t>
          </m:r>
          <m:r>
            <m:t>d</m:t>
          </m:r>
          <m:r>
            <m:t>)</m:t>
          </m:r>
          <m:r>
            <m:t>)</m:t>
          </m:r>
          <m:r>
            <m:t>,</m:t>
          </m:r>
        </m:oMath>
      </m:oMathPara>
    </w:p>
    <w:p>
      <w:pPr>
        <w:pStyle w:val="FirstParagraph"/>
      </w:pPr>
      <w:r>
        <w:t xml:space="preserve">其中</w:t>
      </w:r>
      <w:r>
        <w:t xml:space="preserve"> </w:t>
      </w:r>
      <m:oMath>
        <m:sSub>
          <m:e>
            <m:r>
              <m:t>h</m:t>
            </m:r>
          </m:e>
          <m:sub>
            <m:r>
              <m:t>o</m:t>
            </m:r>
          </m:sub>
        </m:sSub>
        <m:r>
          <m:t>(</m:t>
        </m:r>
        <m:r>
          <m:t>d</m:t>
        </m:r>
        <m:r>
          <m:t>)</m:t>
        </m:r>
      </m:oMath>
      <w:r>
        <w:t xml:space="preserve"> </w:t>
      </w:r>
      <w:r>
        <w:t xml:space="preserve">是对对象</w:t>
      </w:r>
      <w:r>
        <w:t xml:space="preserve"> </w:t>
      </w:r>
      <m:oMath>
        <m:r>
          <m:t>o</m:t>
        </m:r>
      </m:oMath>
      <w:r>
        <w:t xml:space="preserve"> </w:t>
      </w:r>
      <w:r>
        <w:t xml:space="preserve">的影响程度判断，</w:t>
      </w:r>
      <m:oMath>
        <m:sSub>
          <m:e>
            <m:r>
              <m:t>g</m:t>
            </m:r>
          </m:e>
          <m:sub>
            <m:r>
              <m:t>v</m:t>
            </m:r>
          </m:sub>
        </m:sSub>
      </m:oMath>
      <w:r>
        <w:t xml:space="preserve"> </w:t>
      </w:r>
      <w:r>
        <w:t xml:space="preserve">是经确认的版本</w:t>
      </w:r>
      <w:r>
        <w:t xml:space="preserve"> </w:t>
      </w:r>
      <m:oMath>
        <m:r>
          <m:t>v</m:t>
        </m:r>
      </m:oMath>
      <w:r>
        <w:t xml:space="preserve"> </w:t>
      </w:r>
      <w:r>
        <w:t xml:space="preserve">的矩阵。这只是制度规则的形式化表达，</w:t>
      </w:r>
      <w:r>
        <w:rPr>
          <w:b/>
        </w:rPr>
        <w:t xml:space="preserve">不是让模型自动预测影响程度或自动认定重要/核心数据</w:t>
      </w:r>
      <w:r>
        <w:t xml:space="preserve">。</w:t>
      </w:r>
    </w:p>
    <w:p>
      <w:pPr>
        <w:pStyle w:val="BodyText"/>
      </w:pPr>
      <w:r>
        <w:t xml:space="preserve">已有批准级别继续保留。发现冲突、遗漏或更高影响时生成复核任务；无法确定有效依据的对象记录为</w:t>
      </w:r>
      <w:r>
        <w:t xml:space="preserve">“</w:t>
      </w:r>
      <w:r>
        <w:t xml:space="preserve">待核实</w:t>
      </w:r>
      <w:r>
        <w:t xml:space="preserve">”</w:t>
      </w:r>
      <w:r>
        <w:t xml:space="preserve">，并保持适当保护，不能默认为公开。</w:t>
      </w:r>
    </w:p>
    <w:p>
      <w:pPr>
        <w:pStyle w:val="Heading3"/>
      </w:pPr>
      <w:bookmarkStart w:id="28" w:name="当前材料中的规则冲突要先入清单"/>
      <w:r>
        <w:t xml:space="preserve">4.3 当前材料中的规则冲突要先入清单</w:t>
      </w:r>
      <w:bookmarkEnd w:id="28"/>
    </w:p>
    <w:p>
      <w:pPr>
        <w:pStyle w:val="FirstParagraph"/>
      </w:pPr>
      <w:r>
        <w:t xml:space="preserve">所给手册的一些示例与国家能源局 2026 年正式指南在设施条件、数据类型及规模口径上存在差异；开放目录又引用较早的市场细则。应建立</w:t>
      </w:r>
      <w:r>
        <w:t xml:space="preserve">“</w:t>
      </w:r>
      <w:r>
        <w:t xml:space="preserve">冲突待决清单</w:t>
      </w:r>
      <w:r>
        <w:t xml:space="preserve">”</w:t>
      </w:r>
      <w:r>
        <w:t xml:space="preserve">，分别保留国家行业识别规则、企业内部从严要求和草案建议，交责任部门核实。详细对照见《南网文件逐份解读》第 7 节。正式指南来源为</w:t>
      </w:r>
      <w:hyperlink r:id="rId29">
        <w:r>
          <w:rPr>
            <w:rStyle w:val="Hyperlink"/>
          </w:rPr>
          <w:t xml:space="preserve">国家能源局发布页</w:t>
        </w:r>
      </w:hyperlink>
      <w:r>
        <w:t xml:space="preserve">。</w:t>
      </w:r>
    </w:p>
    <w:p>
      <w:pPr>
        <w:pStyle w:val="Heading3"/>
      </w:pPr>
      <w:bookmarkStart w:id="30" w:name="按南网原有七环节接入方法"/>
      <w:r>
        <w:t xml:space="preserve">4.4 按南网原有七环节接入方法</w:t>
      </w:r>
      <w:bookmarkEnd w:id="30"/>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1542"/>
        <w:gridCol w:w="2699"/>
        <w:gridCol w:w="2699"/>
        <w:gridCol w:w="2699"/>
      </w:tblGrid>
      <w:tr>
        <w:trPr>
          <w:cantSplit/>
          <w:tblHeader/>
        </w:trPr>
        <w:tc>
          <w:tcPr>
            <w:tcW w:type="dxa" w:w="1542"/>
            <w:shd w:fill="E8F0F5"/>
          </w:tcPr>
          <w:p>
            <w:pPr>
              <w:pStyle w:val="Compact"/>
              <w:keepNext w:val="0"/>
              <w:spacing w:after="60" w:before="60" w:line="264" w:lineRule="auto"/>
              <w:jc w:val="left"/>
            </w:pPr>
            <w:r>
              <w:rPr>
                <w:sz w:val="18"/>
              </w:rPr>
              <w:t xml:space="preserve">南网环节</w:t>
            </w:r>
          </w:p>
        </w:tc>
        <w:tc>
          <w:tcPr>
            <w:tcW w:type="dxa" w:w="2699"/>
            <w:shd w:fill="E8F0F5"/>
          </w:tcPr>
          <w:p>
            <w:pPr>
              <w:pStyle w:val="Compact"/>
              <w:keepNext w:val="0"/>
              <w:spacing w:after="60" w:before="60" w:line="264" w:lineRule="auto"/>
              <w:jc w:val="left"/>
            </w:pPr>
            <w:r>
              <w:rPr>
                <w:sz w:val="18"/>
              </w:rPr>
              <w:t xml:space="preserve">接入师兄的基础能力</w:t>
            </w:r>
          </w:p>
        </w:tc>
        <w:tc>
          <w:tcPr>
            <w:tcW w:type="dxa" w:w="2699"/>
            <w:shd w:fill="E8F0F5"/>
          </w:tcPr>
          <w:p>
            <w:pPr>
              <w:pStyle w:val="Compact"/>
              <w:keepNext w:val="0"/>
              <w:spacing w:after="60" w:before="60" w:line="264" w:lineRule="auto"/>
              <w:jc w:val="left"/>
            </w:pPr>
            <w:r>
              <w:rPr>
                <w:sz w:val="18"/>
              </w:rPr>
              <w:t xml:space="preserve">近期研究/本次设计补充</w:t>
            </w:r>
          </w:p>
        </w:tc>
        <w:tc>
          <w:tcPr>
            <w:tcW w:type="dxa" w:w="2699"/>
            <w:shd w:fill="E8F0F5"/>
          </w:tcPr>
          <w:p>
            <w:pPr>
              <w:pStyle w:val="Compact"/>
              <w:keepNext w:val="0"/>
              <w:spacing w:after="60" w:before="60" w:line="264" w:lineRule="auto"/>
              <w:jc w:val="left"/>
            </w:pPr>
            <w:r>
              <w:rPr>
                <w:sz w:val="18"/>
              </w:rPr>
              <w:t xml:space="preserve">留下的业务结果</w:t>
            </w:r>
          </w:p>
        </w:tc>
      </w:tr>
      <w:tr>
        <w:trPr>
          <w:cantSplit/>
        </w:trPr>
        <w:tc>
          <w:tcPr>
            <w:tcW w:type="dxa" w:w="1542"/>
          </w:tcPr>
          <w:p>
            <w:pPr>
              <w:pStyle w:val="Compact"/>
              <w:keepNext w:val="0"/>
              <w:spacing w:after="60" w:before="60" w:line="264" w:lineRule="auto"/>
              <w:jc w:val="left"/>
            </w:pPr>
            <w:r>
              <w:rPr>
                <w:sz w:val="18"/>
              </w:rPr>
              <w:t xml:space="preserve">资产梳理</w:t>
            </w:r>
          </w:p>
        </w:tc>
        <w:tc>
          <w:tcPr>
            <w:tcW w:type="dxa" w:w="2699"/>
          </w:tcPr>
          <w:p>
            <w:pPr>
              <w:pStyle w:val="Compact"/>
              <w:keepNext w:val="0"/>
              <w:spacing w:after="60" w:before="60" w:line="264" w:lineRule="auto"/>
              <w:jc w:val="left"/>
            </w:pPr>
            <w:r>
              <w:rPr>
                <w:sz w:val="18"/>
              </w:rPr>
              <w:t xml:space="preserve">数据接入、文档和字段解析</w:t>
            </w:r>
          </w:p>
        </w:tc>
        <w:tc>
          <w:tcPr>
            <w:tcW w:type="dxa" w:w="2699"/>
          </w:tcPr>
          <w:p>
            <w:pPr>
              <w:pStyle w:val="Compact"/>
              <w:keepNext w:val="0"/>
              <w:spacing w:after="60" w:before="60" w:line="264" w:lineRule="auto"/>
              <w:jc w:val="left"/>
            </w:pPr>
            <w:r>
              <w:rPr>
                <w:sz w:val="18"/>
              </w:rPr>
              <w:t xml:space="preserve">资源—字段—产品血缘、主体可得背景</w:t>
            </w:r>
          </w:p>
        </w:tc>
        <w:tc>
          <w:tcPr>
            <w:tcW w:type="dxa" w:w="2699"/>
          </w:tcPr>
          <w:p>
            <w:pPr>
              <w:pStyle w:val="Compact"/>
              <w:keepNext w:val="0"/>
              <w:spacing w:after="60" w:before="60" w:line="264" w:lineRule="auto"/>
              <w:jc w:val="left"/>
            </w:pPr>
            <w:r>
              <w:rPr>
                <w:sz w:val="18"/>
              </w:rPr>
              <w:t xml:space="preserve">资产与资源映射</w:t>
            </w:r>
          </w:p>
        </w:tc>
      </w:tr>
      <w:tr>
        <w:trPr>
          <w:cantSplit/>
        </w:trPr>
        <w:tc>
          <w:tcPr>
            <w:tcW w:type="dxa" w:w="1542"/>
          </w:tcPr>
          <w:p>
            <w:pPr>
              <w:pStyle w:val="Compact"/>
              <w:keepNext w:val="0"/>
              <w:spacing w:after="60" w:before="60" w:line="264" w:lineRule="auto"/>
              <w:jc w:val="left"/>
            </w:pPr>
            <w:r>
              <w:rPr>
                <w:sz w:val="18"/>
              </w:rPr>
              <w:t xml:space="preserve">数据分类</w:t>
            </w:r>
          </w:p>
        </w:tc>
        <w:tc>
          <w:tcPr>
            <w:tcW w:type="dxa" w:w="2699"/>
          </w:tcPr>
          <w:p>
            <w:pPr>
              <w:pStyle w:val="Compact"/>
              <w:keepNext w:val="0"/>
              <w:spacing w:after="60" w:before="60" w:line="264" w:lineRule="auto"/>
              <w:jc w:val="left"/>
            </w:pPr>
            <w:r>
              <w:rPr>
                <w:sz w:val="18"/>
              </w:rPr>
              <w:t xml:space="preserve">文档语义提取、规则匹配</w:t>
            </w:r>
          </w:p>
        </w:tc>
        <w:tc>
          <w:tcPr>
            <w:tcW w:type="dxa" w:w="2699"/>
          </w:tcPr>
          <w:p>
            <w:pPr>
              <w:pStyle w:val="Compact"/>
              <w:keepNext w:val="0"/>
              <w:spacing w:after="60" w:before="60" w:line="264" w:lineRule="auto"/>
              <w:jc w:val="left"/>
            </w:pPr>
            <w:r>
              <w:rPr>
                <w:sz w:val="18"/>
              </w:rPr>
              <w:t xml:space="preserve">接入正式业务架构，组合分析不改写业务分类</w:t>
            </w:r>
          </w:p>
        </w:tc>
        <w:tc>
          <w:tcPr>
            <w:tcW w:type="dxa" w:w="2699"/>
          </w:tcPr>
          <w:p>
            <w:pPr>
              <w:pStyle w:val="Compact"/>
              <w:keepNext w:val="0"/>
              <w:spacing w:after="60" w:before="60" w:line="264" w:lineRule="auto"/>
              <w:jc w:val="left"/>
            </w:pPr>
            <w:r>
              <w:rPr>
                <w:sz w:val="18"/>
              </w:rPr>
              <w:t xml:space="preserve">分类路径与依据</w:t>
            </w:r>
          </w:p>
        </w:tc>
      </w:tr>
      <w:tr>
        <w:trPr>
          <w:cantSplit/>
        </w:trPr>
        <w:tc>
          <w:tcPr>
            <w:tcW w:type="dxa" w:w="1542"/>
          </w:tcPr>
          <w:p>
            <w:pPr>
              <w:pStyle w:val="Compact"/>
              <w:keepNext w:val="0"/>
              <w:spacing w:after="60" w:before="60" w:line="264" w:lineRule="auto"/>
              <w:jc w:val="left"/>
            </w:pPr>
            <w:r>
              <w:rPr>
                <w:sz w:val="18"/>
              </w:rPr>
              <w:t xml:space="preserve">数据分级</w:t>
            </w:r>
          </w:p>
        </w:tc>
        <w:tc>
          <w:tcPr>
            <w:tcW w:type="dxa" w:w="2699"/>
          </w:tcPr>
          <w:p>
            <w:pPr>
              <w:pStyle w:val="Compact"/>
              <w:keepNext w:val="0"/>
              <w:spacing w:after="60" w:before="60" w:line="264" w:lineRule="auto"/>
              <w:jc w:val="left"/>
            </w:pPr>
            <w:r>
              <w:rPr>
                <w:sz w:val="18"/>
              </w:rPr>
              <w:t xml:space="preserve">敏感查找表、模式辅助分析</w:t>
            </w:r>
          </w:p>
        </w:tc>
        <w:tc>
          <w:tcPr>
            <w:tcW w:type="dxa" w:w="2699"/>
          </w:tcPr>
          <w:p>
            <w:pPr>
              <w:pStyle w:val="Compact"/>
              <w:keepNext w:val="0"/>
              <w:spacing w:after="60" w:before="60" w:line="264" w:lineRule="auto"/>
              <w:jc w:val="left"/>
            </w:pPr>
            <w:r>
              <w:rPr>
                <w:sz w:val="18"/>
              </w:rPr>
              <w:t xml:space="preserve">先按五级规则初判，再以组合证据补充影响复核</w:t>
            </w:r>
          </w:p>
        </w:tc>
        <w:tc>
          <w:tcPr>
            <w:tcW w:type="dxa" w:w="2699"/>
          </w:tcPr>
          <w:p>
            <w:pPr>
              <w:pStyle w:val="Compact"/>
              <w:keepNext w:val="0"/>
              <w:spacing w:after="60" w:before="60" w:line="264" w:lineRule="auto"/>
              <w:jc w:val="left"/>
            </w:pPr>
            <w:r>
              <w:rPr>
                <w:sz w:val="18"/>
              </w:rPr>
              <w:t xml:space="preserve">初判、复核建议与证据</w:t>
            </w:r>
          </w:p>
        </w:tc>
      </w:tr>
      <w:tr>
        <w:trPr>
          <w:cantSplit/>
        </w:trPr>
        <w:tc>
          <w:tcPr>
            <w:tcW w:type="dxa" w:w="1542"/>
          </w:tcPr>
          <w:p>
            <w:pPr>
              <w:pStyle w:val="Compact"/>
              <w:keepNext w:val="0"/>
              <w:spacing w:after="60" w:before="60" w:line="264" w:lineRule="auto"/>
              <w:jc w:val="left"/>
            </w:pPr>
            <w:r>
              <w:rPr>
                <w:sz w:val="18"/>
              </w:rPr>
              <w:t xml:space="preserve">审批</w:t>
            </w:r>
          </w:p>
        </w:tc>
        <w:tc>
          <w:tcPr>
            <w:tcW w:type="dxa" w:w="2699"/>
          </w:tcPr>
          <w:p>
            <w:pPr>
              <w:pStyle w:val="Compact"/>
              <w:keepNext w:val="0"/>
              <w:spacing w:after="60" w:before="60" w:line="264" w:lineRule="auto"/>
              <w:jc w:val="left"/>
            </w:pPr>
            <w:r>
              <w:rPr>
                <w:sz w:val="18"/>
              </w:rPr>
              <w:t xml:space="preserve">将原自动动作改为可审查建议</w:t>
            </w:r>
          </w:p>
        </w:tc>
        <w:tc>
          <w:tcPr>
            <w:tcW w:type="dxa" w:w="2699"/>
          </w:tcPr>
          <w:p>
            <w:pPr>
              <w:pStyle w:val="Compact"/>
              <w:keepNext w:val="0"/>
              <w:spacing w:after="60" w:before="60" w:line="264" w:lineRule="auto"/>
              <w:jc w:val="left"/>
            </w:pPr>
            <w:r>
              <w:rPr>
                <w:sz w:val="18"/>
              </w:rPr>
              <w:t xml:space="preserve">区分等级、授权和措施审批，保留职责边界</w:t>
            </w:r>
          </w:p>
        </w:tc>
        <w:tc>
          <w:tcPr>
            <w:tcW w:type="dxa" w:w="2699"/>
          </w:tcPr>
          <w:p>
            <w:pPr>
              <w:pStyle w:val="Compact"/>
              <w:keepNext w:val="0"/>
              <w:spacing w:after="60" w:before="60" w:line="264" w:lineRule="auto"/>
              <w:jc w:val="left"/>
            </w:pPr>
            <w:r>
              <w:rPr>
                <w:sz w:val="18"/>
              </w:rPr>
              <w:t xml:space="preserve">审批记录及批准结果</w:t>
            </w:r>
          </w:p>
        </w:tc>
      </w:tr>
      <w:tr>
        <w:trPr>
          <w:cantSplit/>
        </w:trPr>
        <w:tc>
          <w:tcPr>
            <w:tcW w:type="dxa" w:w="1542"/>
          </w:tcPr>
          <w:p>
            <w:pPr>
              <w:pStyle w:val="Compact"/>
              <w:keepNext w:val="0"/>
              <w:spacing w:after="60" w:before="60" w:line="264" w:lineRule="auto"/>
              <w:jc w:val="left"/>
            </w:pPr>
            <w:r>
              <w:rPr>
                <w:sz w:val="18"/>
              </w:rPr>
              <w:t xml:space="preserve">结果固化</w:t>
            </w:r>
          </w:p>
        </w:tc>
        <w:tc>
          <w:tcPr>
            <w:tcW w:type="dxa" w:w="2699"/>
          </w:tcPr>
          <w:p>
            <w:pPr>
              <w:pStyle w:val="Compact"/>
              <w:keepNext w:val="0"/>
              <w:spacing w:after="60" w:before="60" w:line="264" w:lineRule="auto"/>
              <w:jc w:val="left"/>
            </w:pPr>
            <w:r>
              <w:rPr>
                <w:sz w:val="18"/>
              </w:rPr>
              <w:t xml:space="preserve">标定结果入库与展示</w:t>
            </w:r>
          </w:p>
        </w:tc>
        <w:tc>
          <w:tcPr>
            <w:tcW w:type="dxa" w:w="2699"/>
          </w:tcPr>
          <w:p>
            <w:pPr>
              <w:pStyle w:val="Compact"/>
              <w:keepNext w:val="0"/>
              <w:spacing w:after="60" w:before="60" w:line="264" w:lineRule="auto"/>
              <w:jc w:val="left"/>
            </w:pPr>
            <w:r>
              <w:rPr>
                <w:sz w:val="18"/>
              </w:rPr>
              <w:t xml:space="preserve">对象、规则、证据、批准版本关联</w:t>
            </w:r>
          </w:p>
        </w:tc>
        <w:tc>
          <w:tcPr>
            <w:tcW w:type="dxa" w:w="2699"/>
          </w:tcPr>
          <w:p>
            <w:pPr>
              <w:pStyle w:val="Compact"/>
              <w:keepNext w:val="0"/>
              <w:spacing w:after="60" w:before="60" w:line="264" w:lineRule="auto"/>
              <w:jc w:val="left"/>
            </w:pPr>
            <w:r>
              <w:rPr>
                <w:sz w:val="18"/>
              </w:rPr>
              <w:t xml:space="preserve">分类分级清单与目录版本</w:t>
            </w:r>
          </w:p>
        </w:tc>
      </w:tr>
      <w:tr>
        <w:trPr>
          <w:cantSplit/>
        </w:trPr>
        <w:tc>
          <w:tcPr>
            <w:tcW w:type="dxa" w:w="1542"/>
          </w:tcPr>
          <w:p>
            <w:pPr>
              <w:pStyle w:val="Compact"/>
              <w:keepNext w:val="0"/>
              <w:spacing w:after="60" w:before="60" w:line="264" w:lineRule="auto"/>
              <w:jc w:val="left"/>
            </w:pPr>
            <w:r>
              <w:rPr>
                <w:sz w:val="18"/>
              </w:rPr>
              <w:t xml:space="preserve">技术管控</w:t>
            </w:r>
          </w:p>
        </w:tc>
        <w:tc>
          <w:tcPr>
            <w:tcW w:type="dxa" w:w="2699"/>
          </w:tcPr>
          <w:p>
            <w:pPr>
              <w:pStyle w:val="Compact"/>
              <w:keepNext w:val="0"/>
              <w:spacing w:after="60" w:before="60" w:line="264" w:lineRule="auto"/>
              <w:jc w:val="left"/>
            </w:pPr>
            <w:r>
              <w:rPr>
                <w:sz w:val="18"/>
              </w:rPr>
              <w:t xml:space="preserve">动态防护策略研究</w:t>
            </w:r>
          </w:p>
        </w:tc>
        <w:tc>
          <w:tcPr>
            <w:tcW w:type="dxa" w:w="2699"/>
          </w:tcPr>
          <w:p>
            <w:pPr>
              <w:pStyle w:val="Compact"/>
              <w:keepNext w:val="0"/>
              <w:spacing w:after="60" w:before="60" w:line="264" w:lineRule="auto"/>
              <w:jc w:val="left"/>
            </w:pPr>
            <w:r>
              <w:rPr>
                <w:sz w:val="18"/>
              </w:rPr>
              <w:t xml:space="preserve">限定可行动作，验证实际措施和披露义务</w:t>
            </w:r>
          </w:p>
        </w:tc>
        <w:tc>
          <w:tcPr>
            <w:tcW w:type="dxa" w:w="2699"/>
          </w:tcPr>
          <w:p>
            <w:pPr>
              <w:pStyle w:val="Compact"/>
              <w:keepNext w:val="0"/>
              <w:spacing w:after="60" w:before="60" w:line="264" w:lineRule="auto"/>
              <w:jc w:val="left"/>
            </w:pPr>
            <w:r>
              <w:rPr>
                <w:sz w:val="18"/>
              </w:rPr>
              <w:t xml:space="preserve">可执行策略及效果记录</w:t>
            </w:r>
          </w:p>
        </w:tc>
      </w:tr>
      <w:tr>
        <w:trPr>
          <w:cantSplit/>
        </w:trPr>
        <w:tc>
          <w:tcPr>
            <w:tcW w:type="dxa" w:w="1542"/>
          </w:tcPr>
          <w:p>
            <w:pPr>
              <w:pStyle w:val="Compact"/>
              <w:keepNext w:val="0"/>
              <w:spacing w:after="60" w:before="60" w:line="264" w:lineRule="auto"/>
              <w:jc w:val="left"/>
            </w:pPr>
            <w:r>
              <w:rPr>
                <w:sz w:val="18"/>
              </w:rPr>
              <w:t xml:space="preserve">动态更新</w:t>
            </w:r>
          </w:p>
        </w:tc>
        <w:tc>
          <w:tcPr>
            <w:tcW w:type="dxa" w:w="2699"/>
          </w:tcPr>
          <w:p>
            <w:pPr>
              <w:pStyle w:val="Compact"/>
              <w:keepNext w:val="0"/>
              <w:spacing w:after="60" w:before="60" w:line="264" w:lineRule="auto"/>
              <w:jc w:val="left"/>
            </w:pPr>
            <w:r>
              <w:rPr>
                <w:sz w:val="18"/>
              </w:rPr>
              <w:t xml:space="preserve">风险变化感知、策略推荐</w:t>
            </w:r>
          </w:p>
        </w:tc>
        <w:tc>
          <w:tcPr>
            <w:tcW w:type="dxa" w:w="2699"/>
          </w:tcPr>
          <w:p>
            <w:pPr>
              <w:pStyle w:val="Compact"/>
              <w:keepNext w:val="0"/>
              <w:spacing w:after="60" w:before="60" w:line="264" w:lineRule="auto"/>
              <w:jc w:val="left"/>
            </w:pPr>
            <w:r>
              <w:rPr>
                <w:sz w:val="18"/>
              </w:rPr>
              <w:t xml:space="preserve">主体、背景、时效、产品与规则变更共同触发</w:t>
            </w:r>
          </w:p>
        </w:tc>
        <w:tc>
          <w:tcPr>
            <w:tcW w:type="dxa" w:w="2699"/>
          </w:tcPr>
          <w:p>
            <w:pPr>
              <w:pStyle w:val="Compact"/>
              <w:keepNext w:val="0"/>
              <w:spacing w:after="60" w:before="60" w:line="264" w:lineRule="auto"/>
              <w:jc w:val="left"/>
            </w:pPr>
            <w:r>
              <w:rPr>
                <w:sz w:val="18"/>
              </w:rPr>
              <w:t xml:space="preserve">复评任务、变更与整改闭环</w:t>
            </w:r>
          </w:p>
        </w:tc>
      </w:tr>
    </w:tbl>
    <w:p>
      <w:pPr>
        <w:pStyle w:val="BodyText"/>
      </w:pPr>
      <w:r>
        <w:t xml:space="preserve">表中业务对接和审批设计是本次整合建议；不能把它们描述成论文系统已完整实现的功能。[S02，第四部分七环节；S01，第 4 章]</w:t>
      </w:r>
    </w:p>
    <w:p>
      <w:pPr>
        <w:pStyle w:val="Heading2"/>
      </w:pPr>
      <w:bookmarkStart w:id="31" w:name="第二层把数据与场景描述完整"/>
      <w:r>
        <w:t xml:space="preserve">5. 第二层：把数据与场景描述完整</w:t>
      </w:r>
      <w:bookmarkEnd w:id="31"/>
    </w:p>
    <w:p>
      <w:pPr>
        <w:pStyle w:val="Heading3"/>
      </w:pPr>
      <w:bookmarkStart w:id="32" w:name="以数据项资源和产品的关系为基础"/>
      <w:r>
        <w:t xml:space="preserve">5.1 以数据项、资源和产品的关系为基础</w:t>
      </w:r>
      <w:bookmarkEnd w:id="32"/>
    </w:p>
    <w:p>
      <w:pPr>
        <w:pStyle w:val="FirstParagraph"/>
      </w:pPr>
      <w:r>
        <w:t xml:space="preserve">开放目录的一项资源可能包含多个字段，一个字段也可能出现在多个产品或接口中。因此至少需要四级关联：</w:t>
      </w:r>
    </w:p>
    <w:p>
      <w:pPr>
        <w:pStyle w:val="BodyText"/>
      </w:pPr>
      <w:r>
        <w:rPr>
          <w:b/>
        </w:rPr>
        <w:t xml:space="preserve">业务资源 → 实际数据集/接口 → 字段及时间空间粒度 → 加工后产品。</w:t>
      </w:r>
    </w:p>
    <w:p>
      <w:pPr>
        <w:pStyle w:val="BodyText"/>
      </w:pPr>
      <w:r>
        <w:t xml:space="preserve">对于每个对象保存分类、规模、覆盖范围、精度、时效、来源与血缘；对于加工产品另外保存处理方式和处理版本。原始表的级别、产品的级别、一次提供的权限分别记录。</w:t>
      </w:r>
    </w:p>
    <w:p>
      <w:pPr>
        <w:pStyle w:val="Heading3"/>
      </w:pPr>
      <w:bookmarkStart w:id="33" w:name="场景卡解决公开给谁什么时候的歧义"/>
      <w:r>
        <w:t xml:space="preserve">5.2 场景卡：解决</w:t>
      </w:r>
      <w:r>
        <w:t xml:space="preserve">“</w:t>
      </w:r>
      <w:r>
        <w:t xml:space="preserve">公开给谁、什么时候</w:t>
      </w:r>
      <w:r>
        <w:t xml:space="preserve">”</w:t>
      </w:r>
      <w:r>
        <w:t xml:space="preserve">的歧义</w:t>
      </w:r>
      <w:bookmarkEnd w:id="33"/>
    </w:p>
    <w:p>
      <w:pPr>
        <w:pStyle w:val="FirstParagraph"/>
      </w:pPr>
      <w:r>
        <w:t xml:space="preserve">每次评估定义场景</w:t>
      </w:r>
      <w:r>
        <w:t xml:space="preserve"> </w:t>
      </w:r>
      <m:oMath>
        <m:r>
          <m:t>c</m:t>
        </m:r>
      </m:oMath>
      <w:r>
        <w:t xml:space="preserve">，至少包括：接收方及角色、用途、评估时点、披露时刻、时间/空间粒度、拟提供字段、已提供历史、目标及其保护理由、现实可得的背景、可用措施。</w:t>
      </w:r>
    </w:p>
    <w:p>
      <w:pPr>
        <w:pStyle w:val="BodyText"/>
      </w:pPr>
      <w:r>
        <w:t xml:space="preserve">其中四个集合应由业务语义和可得性确定：</w:t>
      </w:r>
    </w:p>
    <w:p>
      <w:pPr>
        <w:pStyle w:val="Compact"/>
        <w:numPr>
          <w:numId w:val="1002"/>
          <w:ilvl w:val="0"/>
        </w:numPr>
      </w:pPr>
      <m:oMath>
        <m:sSub>
          <m:e>
            <m:r>
              <m:t>B</m:t>
            </m:r>
          </m:e>
          <m:sub>
            <m:r>
              <m:t>c</m:t>
            </m:r>
          </m:sub>
        </m:sSub>
      </m:oMath>
      <w:r>
        <w:t xml:space="preserve">：该主体在该时点已经获得，或应按场景视为已经掌握的信息。</w:t>
      </w:r>
    </w:p>
    <w:p>
      <w:pPr>
        <w:pStyle w:val="Compact"/>
        <w:numPr>
          <w:numId w:val="1002"/>
          <w:ilvl w:val="0"/>
        </w:numPr>
      </w:pPr>
      <m:oMath>
        <m:sSub>
          <m:e>
            <m:r>
              <m:t>H</m:t>
            </m:r>
          </m:e>
          <m:sub>
            <m:r>
              <m:t>c</m:t>
            </m:r>
          </m:sub>
        </m:sSub>
      </m:oMath>
      <w:r>
        <w:t xml:space="preserve">：在该场景中可能另外掌握的字段范围，保留来源和可得性说明。</w:t>
      </w:r>
    </w:p>
    <w:p>
      <w:pPr>
        <w:pStyle w:val="Compact"/>
        <w:numPr>
          <w:numId w:val="1002"/>
          <w:ilvl w:val="0"/>
        </w:numPr>
      </w:pPr>
      <m:oMath>
        <m:sSub>
          <m:e>
            <m:r>
              <m:t>A</m:t>
            </m:r>
          </m:e>
          <m:sub>
            <m:r>
              <m:t>c</m:t>
            </m:r>
          </m:sub>
        </m:sSub>
      </m:oMath>
      <w:r>
        <w:t xml:space="preserve">：本次拟提供的实际数据集合/产品。</w:t>
      </w:r>
    </w:p>
    <w:p>
      <w:pPr>
        <w:pStyle w:val="Compact"/>
        <w:numPr>
          <w:numId w:val="1002"/>
          <w:ilvl w:val="0"/>
        </w:numPr>
      </w:pPr>
      <m:oMath>
        <m:sSub>
          <m:e>
            <m:r>
              <m:t>Y</m:t>
            </m:r>
          </m:e>
          <m:sub>
            <m:r>
              <m:t>c</m:t>
            </m:r>
          </m:sub>
        </m:sSub>
      </m:oMath>
      <w:r>
        <w:t xml:space="preserve">：对该主体、该时点仍需要保护的目标。</w:t>
      </w:r>
    </w:p>
    <w:p>
      <w:pPr>
        <w:pStyle w:val="FirstParagraph"/>
      </w:pPr>
      <m:oMath>
        <m:sSub>
          <m:e>
            <m:r>
              <m:t>B</m:t>
            </m:r>
          </m:e>
          <m:sub>
            <m:r>
              <m:t>c</m:t>
            </m:r>
          </m:sub>
        </m:sSub>
      </m:oMath>
      <w:r>
        <w:t xml:space="preserve"> </w:t>
      </w:r>
      <w:r>
        <w:t xml:space="preserve">既可以包含社会公众信息，也可以包含该接收方此前经授权获得的内容；不能只记本平台本次申请，忽略历史累计和其他合法来源。市场注册身份、可信数据空间入驻、具体资源授权需要分别判断。[S07，第三部分；S09，第 5—8 章；S10，2.7、5.1]</w:t>
      </w:r>
    </w:p>
    <w:p>
      <w:pPr>
        <w:pStyle w:val="Heading3"/>
      </w:pPr>
      <w:bookmarkStart w:id="34" w:name="背景预算不是访问控制保证"/>
      <w:r>
        <w:t xml:space="preserve">5.3 背景预算不是访问控制保证</w:t>
      </w:r>
      <w:bookmarkEnd w:id="34"/>
    </w:p>
    <w:p>
      <w:pPr>
        <w:pStyle w:val="FirstParagraph"/>
      </w:pPr>
      <w:r>
        <w:t xml:space="preserve">近期研究中的</w:t>
      </w:r>
      <w:r>
        <w:t xml:space="preserve"> </w:t>
      </w:r>
      <m:oMath>
        <m:r>
          <m:t>K</m:t>
        </m:r>
      </m:oMath>
      <w:r>
        <w:t xml:space="preserve"> </w:t>
      </w:r>
      <w:r>
        <w:t xml:space="preserve">表示额外背景字段数量的分析预算。项目中可按数据可得性设计多个预算场景，记录覆盖范围；不能因为实验采用</w:t>
      </w:r>
      <w:r>
        <w:t xml:space="preserve"> </w:t>
      </w:r>
      <m:oMath>
        <m:r>
          <m:t>K</m:t>
        </m:r>
        <m:r>
          <m:t>=</m:t>
        </m:r>
        <m:r>
          <m:t>2</m:t>
        </m:r>
      </m:oMath>
      <w:r>
        <w:t xml:space="preserve">，便声称使用方最多只能获得两个其他字段。</w:t>
      </w:r>
    </w:p>
    <w:p>
      <w:pPr>
        <w:pStyle w:val="BodyText"/>
      </w:pPr>
      <w:r>
        <w:t xml:space="preserve">若对方已经能获得完整一组市场数据，应直接检查其可得整组信息的总暴露。不能以小组合扫描替代完整提供方案的评估。</w:t>
      </w:r>
    </w:p>
    <w:p>
      <w:pPr>
        <w:pStyle w:val="Heading2"/>
      </w:pPr>
      <w:bookmarkStart w:id="35" w:name="第三层把师兄的方法与近期研究衔接起来"/>
      <w:r>
        <w:t xml:space="preserve">6. 第三层：把师兄的方法与近期研究衔接起来</w:t>
      </w:r>
      <w:bookmarkEnd w:id="35"/>
    </w:p>
    <w:p>
      <w:pPr>
        <w:pStyle w:val="Heading3"/>
      </w:pPr>
      <w:bookmarkStart w:id="36" w:name="先发现候选保留原方法的价值"/>
      <w:r>
        <w:t xml:space="preserve">6.1 先发现候选，保留原方法的价值</w:t>
      </w:r>
      <w:bookmarkEnd w:id="36"/>
    </w:p>
    <w:p>
      <w:pPr>
        <w:pStyle w:val="FirstParagraph"/>
      </w:pPr>
      <w:r>
        <w:t xml:space="preserve">师兄的三类能力分别使用：</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原能力</w:t>
            </w:r>
          </w:p>
        </w:tc>
        <w:tc>
          <w:tcPr>
            <w:tcW w:type="dxa" w:w="4048"/>
            <w:shd w:fill="E8F0F5"/>
          </w:tcPr>
          <w:p>
            <w:pPr>
              <w:pStyle w:val="Compact"/>
              <w:keepNext w:val="0"/>
              <w:spacing w:after="60" w:before="60" w:line="264" w:lineRule="auto"/>
              <w:jc w:val="left"/>
            </w:pPr>
            <w:r>
              <w:rPr>
                <w:sz w:val="18"/>
              </w:rPr>
              <w:t xml:space="preserve">保留的用途</w:t>
            </w:r>
          </w:p>
        </w:tc>
        <w:tc>
          <w:tcPr>
            <w:tcW w:type="dxa" w:w="3470"/>
            <w:shd w:fill="E8F0F5"/>
          </w:tcPr>
          <w:p>
            <w:pPr>
              <w:pStyle w:val="Compact"/>
              <w:keepNext w:val="0"/>
              <w:spacing w:after="60" w:before="60" w:line="264" w:lineRule="auto"/>
              <w:jc w:val="left"/>
            </w:pPr>
            <w:r>
              <w:rPr>
                <w:sz w:val="18"/>
              </w:rPr>
              <w:t xml:space="preserve">新增衔接</w:t>
            </w:r>
          </w:p>
        </w:tc>
      </w:tr>
      <w:tr>
        <w:trPr>
          <w:cantSplit/>
        </w:trPr>
        <w:tc>
          <w:tcPr>
            <w:tcW w:type="dxa" w:w="2120"/>
          </w:tcPr>
          <w:p>
            <w:pPr>
              <w:pStyle w:val="Compact"/>
              <w:keepNext w:val="0"/>
              <w:spacing w:after="60" w:before="60" w:line="264" w:lineRule="auto"/>
              <w:jc w:val="left"/>
            </w:pPr>
            <w:r>
              <w:rPr>
                <w:sz w:val="18"/>
              </w:rPr>
              <w:t xml:space="preserve">大模型/RAG</w:t>
            </w:r>
          </w:p>
        </w:tc>
        <w:tc>
          <w:tcPr>
            <w:tcW w:type="dxa" w:w="4048"/>
          </w:tcPr>
          <w:p>
            <w:pPr>
              <w:pStyle w:val="Compact"/>
              <w:keepNext w:val="0"/>
              <w:spacing w:after="60" w:before="60" w:line="264" w:lineRule="auto"/>
              <w:jc w:val="left"/>
            </w:pPr>
            <w:r>
              <w:rPr>
                <w:sz w:val="18"/>
              </w:rPr>
              <w:t xml:space="preserve">提取规范条件，识别业务语义</w:t>
            </w:r>
          </w:p>
        </w:tc>
        <w:tc>
          <w:tcPr>
            <w:tcW w:type="dxa" w:w="3470"/>
          </w:tcPr>
          <w:p>
            <w:pPr>
              <w:pStyle w:val="Compact"/>
              <w:keepNext w:val="0"/>
              <w:spacing w:after="60" w:before="60" w:line="264" w:lineRule="auto"/>
              <w:jc w:val="left"/>
            </w:pPr>
            <w:r>
              <w:rPr>
                <w:sz w:val="18"/>
              </w:rPr>
              <w:t xml:space="preserve">连接南网六类规则并保存版本与证据</w:t>
            </w:r>
          </w:p>
        </w:tc>
      </w:tr>
      <w:tr>
        <w:trPr>
          <w:cantSplit/>
        </w:trPr>
        <w:tc>
          <w:tcPr>
            <w:tcW w:type="dxa" w:w="2120"/>
          </w:tcPr>
          <w:p>
            <w:pPr>
              <w:pStyle w:val="Compact"/>
              <w:keepNext w:val="0"/>
              <w:spacing w:after="60" w:before="60" w:line="264" w:lineRule="auto"/>
              <w:jc w:val="left"/>
            </w:pPr>
            <w:r>
              <w:rPr>
                <w:sz w:val="18"/>
              </w:rPr>
              <w:t xml:space="preserve">自编码器、FP-Growth</w:t>
            </w:r>
          </w:p>
        </w:tc>
        <w:tc>
          <w:tcPr>
            <w:tcW w:type="dxa" w:w="4048"/>
          </w:tcPr>
          <w:p>
            <w:pPr>
              <w:pStyle w:val="Compact"/>
              <w:keepNext w:val="0"/>
              <w:spacing w:after="60" w:before="60" w:line="264" w:lineRule="auto"/>
              <w:jc w:val="left"/>
            </w:pPr>
            <w:r>
              <w:rPr>
                <w:sz w:val="18"/>
              </w:rPr>
              <w:t xml:space="preserve">辅助整理对象特征与常见敏感组合</w:t>
            </w:r>
          </w:p>
        </w:tc>
        <w:tc>
          <w:tcPr>
            <w:tcW w:type="dxa" w:w="3470"/>
          </w:tcPr>
          <w:p>
            <w:pPr>
              <w:pStyle w:val="Compact"/>
              <w:keepNext w:val="0"/>
              <w:spacing w:after="60" w:before="60" w:line="264" w:lineRule="auto"/>
              <w:jc w:val="left"/>
            </w:pPr>
            <w:r>
              <w:rPr>
                <w:sz w:val="18"/>
              </w:rPr>
              <w:t xml:space="preserve">输出待核验模式，不依据频率直接裁定等级</w:t>
            </w:r>
          </w:p>
        </w:tc>
      </w:tr>
      <w:tr>
        <w:trPr>
          <w:cantSplit/>
        </w:trPr>
        <w:tc>
          <w:tcPr>
            <w:tcW w:type="dxa" w:w="2120"/>
          </w:tcPr>
          <w:p>
            <w:pPr>
              <w:pStyle w:val="Compact"/>
              <w:keepNext w:val="0"/>
              <w:spacing w:after="60" w:before="60" w:line="264" w:lineRule="auto"/>
              <w:jc w:val="left"/>
            </w:pPr>
            <w:r>
              <w:rPr>
                <w:sz w:val="18"/>
              </w:rPr>
              <w:t xml:space="preserve">Pearson/Spearman/MIC 与关联图</w:t>
            </w:r>
          </w:p>
        </w:tc>
        <w:tc>
          <w:tcPr>
            <w:tcW w:type="dxa" w:w="4048"/>
          </w:tcPr>
          <w:p>
            <w:pPr>
              <w:pStyle w:val="Compact"/>
              <w:keepNext w:val="0"/>
              <w:spacing w:after="60" w:before="60" w:line="264" w:lineRule="auto"/>
              <w:jc w:val="left"/>
            </w:pPr>
            <w:r>
              <w:rPr>
                <w:sz w:val="18"/>
              </w:rPr>
              <w:t xml:space="preserve">缩小重点检查范围、解释物理业务联系</w:t>
            </w:r>
          </w:p>
        </w:tc>
        <w:tc>
          <w:tcPr>
            <w:tcW w:type="dxa" w:w="3470"/>
          </w:tcPr>
          <w:p>
            <w:pPr>
              <w:pStyle w:val="Compact"/>
              <w:keepNext w:val="0"/>
              <w:spacing w:after="60" w:before="60" w:line="264" w:lineRule="auto"/>
              <w:jc w:val="left"/>
            </w:pPr>
            <w:r>
              <w:rPr>
                <w:sz w:val="18"/>
              </w:rPr>
              <w:t xml:space="preserve">为组合风险评估提供候选，但不排除低两两关联的高阶组合</w:t>
            </w:r>
          </w:p>
        </w:tc>
      </w:tr>
    </w:tbl>
    <w:p>
      <w:pPr>
        <w:pStyle w:val="BodyText"/>
      </w:pPr>
      <w:r>
        <w:t xml:space="preserve">候选图与频繁模式都不能作为唯一准入筛选器。否则</w:t>
      </w:r>
      <w:r>
        <w:t xml:space="preserve">“</w:t>
      </w:r>
      <w:r>
        <w:t xml:space="preserve">单字段不显著、组合才显著</w:t>
      </w:r>
      <w:r>
        <w:t xml:space="preserve">”</w:t>
      </w:r>
      <w:r>
        <w:t xml:space="preserve">或</w:t>
      </w:r>
      <w:r>
        <w:t xml:space="preserve">“</w:t>
      </w:r>
      <w:r>
        <w:t xml:space="preserve">低频但高影响</w:t>
      </w:r>
      <w:r>
        <w:t xml:space="preserve">”</w:t>
      </w:r>
      <w:r>
        <w:t xml:space="preserve">的对象可能在验证前就被删除。</w:t>
      </w:r>
    </w:p>
    <w:p>
      <w:pPr>
        <w:pStyle w:val="Heading3"/>
      </w:pPr>
      <w:bookmarkStart w:id="37" w:name="近期研究补充什么量"/>
      <w:r>
        <w:t xml:space="preserve">6.2 近期研究补充什么量</w:t>
      </w:r>
      <w:bookmarkEnd w:id="37"/>
    </w:p>
    <w:p>
      <w:pPr>
        <w:pStyle w:val="FirstParagraph"/>
      </w:pPr>
      <w:r>
        <w:t xml:space="preserve">本次以</w:t>
      </w:r>
      <w:r>
        <w:t xml:space="preserve"> </w:t>
      </w:r>
      <w:r>
        <w:rPr>
          <w:rStyle w:val="VerbatimChar"/>
        </w:rPr>
        <w:t xml:space="preserve">paper/claude/V6_ieee</w:t>
      </w:r>
      <w:r>
        <w:t xml:space="preserve"> </w:t>
      </w:r>
      <w:r>
        <w:t xml:space="preserve">中的风险定义、方法和局限作为近期研究的主要口径，9 月 25 日的主线规划作为研究定位补充；没有把早期 41 字段/12 目标的所有结果混入最新口径。[R01—R03]</w:t>
      </w:r>
    </w:p>
    <w:p>
      <w:pPr>
        <w:pStyle w:val="BodyText"/>
      </w:pPr>
      <w:r>
        <w:rPr>
          <w:b/>
        </w:rPr>
        <w:t xml:space="preserve">集合能力。</w:t>
      </w:r>
      <w:r>
        <w:t xml:space="preserve"> </w:t>
      </w:r>
      <m:oMath>
        <m:sSub>
          <m:e>
            <m:r>
              <m:t>V</m:t>
            </m:r>
          </m:e>
          <m:sub>
            <m:r>
              <m:t>y</m:t>
            </m:r>
            <m:r>
              <m:t>,</m:t>
            </m:r>
            <m:r>
              <m:t>c</m:t>
            </m:r>
          </m:sub>
        </m:sSub>
        <m:r>
          <m:t>(</m:t>
        </m:r>
        <m:r>
          <m:t>S</m:t>
        </m:r>
        <m:r>
          <m:t>)</m:t>
        </m:r>
      </m:oMath>
      <w:r>
        <w:t xml:space="preserve"> </w:t>
      </w:r>
      <w:r>
        <w:t xml:space="preserve">表示：在指定评估协议下，使用字段集合</w:t>
      </w:r>
      <w:r>
        <w:t xml:space="preserve"> </w:t>
      </w:r>
      <m:oMath>
        <m:r>
          <m:t>S</m:t>
        </m:r>
      </m:oMath>
      <w:r>
        <w:t xml:space="preserve">，对受保护目标</w:t>
      </w:r>
      <w:r>
        <w:t xml:space="preserve"> </w:t>
      </w:r>
      <m:oMath>
        <m:r>
          <m:t>y</m:t>
        </m:r>
      </m:oMath>
      <w:r>
        <w:t xml:space="preserve"> </w:t>
      </w:r>
      <w:r>
        <w:t xml:space="preserve">能达到的样本外推断能力。连续量研究以测试集</w:t>
      </w:r>
      <w:r>
        <w:t xml:space="preserve"> </w:t>
      </w:r>
      <m:oMath>
        <m:sSup>
          <m:e>
            <m:r>
              <m:t>R</m:t>
            </m:r>
          </m:e>
          <m:sup>
            <m:r>
              <m:t>2</m:t>
            </m:r>
          </m:sup>
        </m:sSup>
      </m:oMath>
      <w:r>
        <w:t xml:space="preserve"> </w:t>
      </w:r>
      <w:r>
        <w:t xml:space="preserve">表征；模型训练、选择和数据划分必须独立于最终报告样本。</w:t>
      </w:r>
    </w:p>
    <w:p>
      <w:pPr>
        <w:pStyle w:val="BodyText"/>
      </w:pPr>
      <w:r>
        <w:rPr>
          <w:b/>
        </w:rPr>
        <w:t xml:space="preserve">字段边际。</w:t>
      </w:r>
      <w:r>
        <w:t xml:space="preserve"> </w:t>
      </w:r>
      <w:r>
        <w:t xml:space="preserve">对某个背景</w:t>
      </w:r>
      <w:r>
        <w:t xml:space="preserve"> </w:t>
      </w:r>
      <m:oMath>
        <m:r>
          <m:t>T</m:t>
        </m:r>
      </m:oMath>
      <w:r>
        <w:t xml:space="preserve">，考察加入字段</w:t>
      </w:r>
      <w:r>
        <w:t xml:space="preserve"> </w:t>
      </w:r>
      <m:oMath>
        <m:r>
          <m:t>i</m:t>
        </m:r>
      </m:oMath>
      <w:r>
        <w:t xml:space="preserve"> </w:t>
      </w:r>
      <w:r>
        <w:t xml:space="preserve">的增量：</w:t>
      </w:r>
    </w:p>
    <w:p>
      <w:pPr>
        <w:pStyle w:val="BodyText"/>
      </w:pPr>
      <m:oMathPara>
        <m:oMathParaPr>
          <m:jc m:val="center"/>
        </m:oMathParaPr>
        <m:oMath>
          <m:sSub>
            <m:e>
              <m:r>
                <m:t>Δ</m:t>
              </m:r>
            </m:e>
            <m:sub>
              <m:r>
                <m:t>i</m:t>
              </m:r>
              <m:r>
                <m:t>→</m:t>
              </m:r>
              <m:r>
                <m:t>y</m:t>
              </m:r>
              <m:r>
                <m:t>,</m:t>
              </m:r>
              <m:r>
                <m:t>c</m:t>
              </m:r>
            </m:sub>
          </m:sSub>
          <m:r>
            <m:t>(</m:t>
          </m:r>
          <m:r>
            <m:t>T</m:t>
          </m:r>
          <m:r>
            <m:t>)</m:t>
          </m:r>
          <m:r>
            <m:t>=</m:t>
          </m:r>
          <m:sSub>
            <m:e>
              <m:r>
                <m:t>V</m:t>
              </m:r>
            </m:e>
            <m:sub>
              <m:r>
                <m:t>y</m:t>
              </m:r>
              <m:r>
                <m:t>,</m:t>
              </m:r>
              <m:r>
                <m:t>c</m:t>
              </m:r>
            </m:sub>
          </m:sSub>
          <m:r>
            <m:t>(</m:t>
          </m:r>
          <m:sSub>
            <m:e>
              <m:r>
                <m:t>B</m:t>
              </m:r>
            </m:e>
            <m:sub>
              <m:r>
                <m:t>c</m:t>
              </m:r>
            </m:sub>
          </m:sSub>
          <m:r>
            <m:t>∪</m:t>
          </m:r>
          <m:r>
            <m:t>T</m:t>
          </m:r>
          <m:r>
            <m:t>∪</m:t>
          </m:r>
          <m:r>
            <m:t>{</m:t>
          </m:r>
          <m:r>
            <m:t>i</m:t>
          </m:r>
          <m:r>
            <m:t>}</m:t>
          </m:r>
          <m:r>
            <m:t>)</m:t>
          </m:r>
          <m:r>
            <m:t>−</m:t>
          </m:r>
          <m:sSub>
            <m:e>
              <m:r>
                <m:t>V</m:t>
              </m:r>
            </m:e>
            <m:sub>
              <m:r>
                <m:t>y</m:t>
              </m:r>
              <m:r>
                <m:t>,</m:t>
              </m:r>
              <m:r>
                <m:t>c</m:t>
              </m:r>
            </m:sub>
          </m:sSub>
          <m:r>
            <m:t>(</m:t>
          </m:r>
          <m:sSub>
            <m:e>
              <m:r>
                <m:t>B</m:t>
              </m:r>
            </m:e>
            <m:sub>
              <m:r>
                <m:t>c</m:t>
              </m:r>
            </m:sub>
          </m:sSub>
          <m:r>
            <m:t>∪</m:t>
          </m:r>
          <m:r>
            <m:t>T</m:t>
          </m:r>
          <m:r>
            <m:t>)</m:t>
          </m:r>
          <m:r>
            <m:t>.</m:t>
          </m:r>
        </m:oMath>
      </m:oMathPara>
    </w:p>
    <w:p>
      <w:pPr>
        <w:pStyle w:val="FirstParagraph"/>
      </w:pPr>
      <w:r>
        <w:rPr>
          <w:b/>
        </w:rPr>
        <w:t xml:space="preserve">有限背景最大边际。</w:t>
      </w:r>
    </w:p>
    <w:p>
      <w:pPr>
        <w:pStyle w:val="BodyText"/>
      </w:pPr>
      <m:oMathPara>
        <m:oMathParaPr>
          <m:jc m:val="center"/>
        </m:oMathParaPr>
        <m:oMath>
          <m:sSubSup>
            <m:e>
              <m:r>
                <m:t>M</m:t>
              </m:r>
            </m:e>
            <m:sub>
              <m:r>
                <m:t>i</m:t>
              </m:r>
              <m:r>
                <m:t>→</m:t>
              </m:r>
              <m:r>
                <m:t>y</m:t>
              </m:r>
              <m:r>
                <m:t>,</m:t>
              </m:r>
              <m:r>
                <m:t>c</m:t>
              </m:r>
            </m:sub>
            <m:sup>
              <m:r>
                <m:t>(</m:t>
              </m:r>
              <m:r>
                <m:t>K</m:t>
              </m:r>
              <m:r>
                <m:t>)</m:t>
              </m:r>
            </m:sup>
          </m:sSubSup>
          <m:r>
            <m:t>=</m:t>
          </m:r>
          <m:limLow>
            <m:e>
              <m:r>
                <m:rPr>
                  <m:nor/>
                  <m:sty m:val="p"/>
                </m:rPr>
                <m:t>max</m:t>
              </m:r>
            </m:e>
            <m:lim>
              <m:r>
                <m:t>T</m:t>
              </m:r>
              <m:r>
                <m:t>∈</m:t>
              </m:r>
              <m:sSubSup>
                <m:e>
                  <m:r>
                    <m:rPr>
                      <m:sty m:val="p"/>
                      <m:scr m:val="script"/>
                    </m:rPr>
                    <m:t>T</m:t>
                  </m:r>
                </m:e>
                <m:sub>
                  <m:r>
                    <m:t>c</m:t>
                  </m:r>
                </m:sub>
                <m:sup>
                  <m:r>
                    <m:t>(</m:t>
                  </m:r>
                  <m:r>
                    <m:t>K</m:t>
                  </m:r>
                  <m:r>
                    <m:t>)</m:t>
                  </m:r>
                </m:sup>
              </m:sSubSup>
              <m:r>
                <m:t>(</m:t>
              </m:r>
              <m:r>
                <m:t>i</m:t>
              </m:r>
              <m:r>
                <m:t>)</m:t>
              </m:r>
            </m:lim>
          </m:limLow>
          <m:sSub>
            <m:e>
              <m:r>
                <m:t>Δ</m:t>
              </m:r>
            </m:e>
            <m:sub>
              <m:r>
                <m:t>i</m:t>
              </m:r>
              <m:r>
                <m:t>→</m:t>
              </m:r>
              <m:r>
                <m:t>y</m:t>
              </m:r>
              <m:r>
                <m:t>,</m:t>
              </m:r>
              <m:r>
                <m:t>c</m:t>
              </m:r>
            </m:sub>
          </m:sSub>
          <m:r>
            <m:t>(</m:t>
          </m:r>
          <m:r>
            <m:t>T</m:t>
          </m:r>
          <m:r>
            <m:t>)</m:t>
          </m:r>
          <m:r>
            <m:t>.</m:t>
          </m:r>
        </m:oMath>
      </m:oMathPara>
    </w:p>
    <w:p>
      <w:pPr>
        <w:pStyle w:val="FirstParagraph"/>
      </w:pPr>
      <w:r>
        <w:t xml:space="preserve">其中，可行背景族</w:t>
      </w:r>
      <w:r>
        <w:t xml:space="preserve"> </w:t>
      </w:r>
      <m:oMath>
        <m:sSubSup>
          <m:e>
            <m:r>
              <m:rPr>
                <m:sty m:val="p"/>
                <m:scr m:val="script"/>
              </m:rPr>
              <m:t>T</m:t>
            </m:r>
          </m:e>
          <m:sub>
            <m:r>
              <m:t>c</m:t>
            </m:r>
          </m:sub>
          <m:sup>
            <m:r>
              <m:t>(</m:t>
            </m:r>
            <m:r>
              <m:t>K</m:t>
            </m:r>
            <m:r>
              <m:t>)</m:t>
            </m:r>
          </m:sup>
        </m:sSubSup>
        <m:r>
          <m:t>(</m:t>
        </m:r>
        <m:r>
          <m:t>i</m:t>
        </m:r>
        <m:r>
          <m:t>)</m:t>
        </m:r>
      </m:oMath>
      <w:r>
        <w:t xml:space="preserve"> </w:t>
      </w:r>
      <w:r>
        <w:t xml:space="preserve">包含满足以下条件的背景：</w:t>
      </w:r>
      <m:oMath>
        <m:r>
          <m:t>T</m:t>
        </m:r>
        <m:r>
          <m:t>⊆</m:t>
        </m:r>
        <m:sSub>
          <m:e>
            <m:r>
              <m:t>H</m:t>
            </m:r>
          </m:e>
          <m:sub>
            <m:r>
              <m:t>c</m:t>
            </m:r>
          </m:sub>
        </m:sSub>
      </m:oMath>
      <w:r>
        <w:t xml:space="preserve">，不含</w:t>
      </w:r>
      <w:r>
        <w:t xml:space="preserve"> </w:t>
      </w:r>
      <m:oMath>
        <m:sSub>
          <m:e>
            <m:r>
              <m:t>B</m:t>
            </m:r>
          </m:e>
          <m:sub>
            <m:r>
              <m:t>c</m:t>
            </m:r>
          </m:sub>
        </m:sSub>
      </m:oMath>
      <w:r>
        <w:t xml:space="preserve"> </w:t>
      </w:r>
      <w:r>
        <w:t xml:space="preserve">中已有字段及待评估字段</w:t>
      </w:r>
      <w:r>
        <w:t xml:space="preserve"> </w:t>
      </w:r>
      <m:oMath>
        <m:r>
          <m:t>i</m:t>
        </m:r>
      </m:oMath>
      <w:r>
        <w:t xml:space="preserve">，且背景字段数不超过</w:t>
      </w:r>
      <w:r>
        <w:t xml:space="preserve"> </w:t>
      </w:r>
      <m:oMath>
        <m:r>
          <m:t>K</m:t>
        </m:r>
      </m:oMath>
      <w:r>
        <w:t xml:space="preserve">。</w:t>
      </w:r>
    </w:p>
    <w:p>
      <w:pPr>
        <w:pStyle w:val="BodyText"/>
      </w:pPr>
      <w:r>
        <w:t xml:space="preserve">同时报告无额外背景的</w:t>
      </w:r>
      <w:r>
        <w:t xml:space="preserve"> </w:t>
      </w:r>
      <m:oMath>
        <m:sSup>
          <m:e>
            <m:r>
              <m:t>M</m:t>
            </m:r>
          </m:e>
          <m:sup>
            <m:r>
              <m:t>(</m:t>
            </m:r>
            <m:r>
              <m:t>0</m:t>
            </m:r>
            <m:r>
              <m:t>)</m:t>
            </m:r>
          </m:sup>
        </m:sSup>
      </m:oMath>
      <w:r>
        <w:t xml:space="preserve">、背景放大量</w:t>
      </w:r>
      <w:r>
        <w:t xml:space="preserve"> </w:t>
      </w:r>
      <m:oMath>
        <m:sSup>
          <m:e>
            <m:r>
              <m:t>Γ</m:t>
            </m:r>
          </m:e>
          <m:sup>
            <m:r>
              <m:t>(</m:t>
            </m:r>
            <m:r>
              <m:t>K</m:t>
            </m:r>
            <m:r>
              <m:t>)</m:t>
            </m:r>
          </m:sup>
        </m:sSup>
        <m:r>
          <m:t>=</m:t>
        </m:r>
        <m:sSup>
          <m:e>
            <m:r>
              <m:t>M</m:t>
            </m:r>
          </m:e>
          <m:sup>
            <m:r>
              <m:t>(</m:t>
            </m:r>
            <m:r>
              <m:t>K</m:t>
            </m:r>
            <m:r>
              <m:t>)</m:t>
            </m:r>
          </m:sup>
        </m:sSup>
        <m:r>
          <m:t>−</m:t>
        </m:r>
        <m:sSup>
          <m:e>
            <m:r>
              <m:t>M</m:t>
            </m:r>
          </m:e>
          <m:sup>
            <m:r>
              <m:t>(</m:t>
            </m:r>
            <m:r>
              <m:t>0</m:t>
            </m:r>
            <m:r>
              <m:t>)</m:t>
            </m:r>
          </m:sup>
        </m:sSup>
      </m:oMath>
      <w:r>
        <w:t xml:space="preserve">，以及支持高风险判断的背景集合和证据编号。这里</w:t>
      </w:r>
      <w:r>
        <w:t xml:space="preserve"> </w:t>
      </w:r>
      <m:oMath>
        <m:sSup>
          <m:e>
            <m:r>
              <m:t>Γ</m:t>
            </m:r>
          </m:e>
          <m:sup>
            <m:r>
              <m:t>(</m:t>
            </m:r>
            <m:r>
              <m:t>K</m:t>
            </m:r>
            <m:r>
              <m:t>)</m:t>
            </m:r>
          </m:sup>
        </m:sSup>
      </m:oMath>
      <w:r>
        <w:t xml:space="preserve"> </w:t>
      </w:r>
      <w:r>
        <w:t xml:space="preserve">不同于师兄以 MIC 定义的</w:t>
      </w:r>
      <w:r>
        <w:t xml:space="preserve"> </w:t>
      </w:r>
      <m:oMath>
        <m:sSub>
          <m:e>
            <m:r>
              <m:t>Γ</m:t>
            </m:r>
          </m:e>
          <m:sub>
            <m:r>
              <m:t>i</m:t>
            </m:r>
          </m:sub>
        </m:sSub>
      </m:oMath>
      <w:r>
        <w:t xml:space="preserve">。</w:t>
      </w:r>
    </w:p>
    <w:p>
      <w:pPr>
        <w:pStyle w:val="BodyText"/>
      </w:pPr>
      <w:r>
        <w:t xml:space="preserve">四个量分别回答：这组数据能推到多准；该字段增加多少信息；最不利的已评估背景是什么；组合比单字段多暴露多少。它们共同支撑</w:t>
      </w:r>
      <w:r>
        <w:t xml:space="preserve">“</w:t>
      </w:r>
      <w:r>
        <w:t xml:space="preserve">为什么应复核这个字段或产品</w:t>
      </w:r>
      <w:r>
        <w:t xml:space="preserve">”</w:t>
      </w:r>
      <w:r>
        <w:t xml:space="preserve">。</w:t>
      </w:r>
    </w:p>
    <w:p>
      <w:pPr>
        <w:pStyle w:val="Heading3"/>
      </w:pPr>
      <w:bookmarkStart w:id="38" w:name="不能只看最大边际还要看最终暴露"/>
      <w:r>
        <w:t xml:space="preserve">6.3 不能只看最大边际，还要看最终暴露</w:t>
      </w:r>
      <w:bookmarkEnd w:id="38"/>
    </w:p>
    <w:p>
      <w:pPr>
        <w:pStyle w:val="FirstParagraph"/>
      </w:pPr>
      <w:r>
        <w:t xml:space="preserve">一个字段的边际增益小，可能是因为背景本身已经泄露了目标。因此应同时报告：</w:t>
      </w:r>
    </w:p>
    <w:p>
      <w:pPr>
        <w:pStyle w:val="BodyText"/>
      </w:pPr>
      <m:oMathPara>
        <m:oMathParaPr>
          <m:jc m:val="center"/>
        </m:oMathParaPr>
        <m:oMath>
          <m:sSub>
            <m:e>
              <m:r>
                <m:t>V</m:t>
              </m:r>
            </m:e>
            <m:sub>
              <m:r>
                <m:t>y</m:t>
              </m:r>
              <m:r>
                <m:t>,</m:t>
              </m:r>
              <m:r>
                <m:t>c</m:t>
              </m:r>
            </m:sub>
          </m:sSub>
          <m:r>
            <m:t>(</m:t>
          </m:r>
          <m:sSub>
            <m:e>
              <m:r>
                <m:t>B</m:t>
              </m:r>
            </m:e>
            <m:sub>
              <m:r>
                <m:t>c</m:t>
              </m:r>
            </m:sub>
          </m:sSub>
          <m:r>
            <m:t>)</m:t>
          </m:r>
          <m:r>
            <m:t>,</m:t>
          </m:r>
          <m:r>
            <m:t>  </m:t>
          </m:r>
          <m:sSub>
            <m:e>
              <m:r>
                <m:t>V</m:t>
              </m:r>
            </m:e>
            <m:sub>
              <m:r>
                <m:t>y</m:t>
              </m:r>
              <m:r>
                <m:t>,</m:t>
              </m:r>
              <m:r>
                <m:t>c</m:t>
              </m:r>
            </m:sub>
          </m:sSub>
          <m:r>
            <m:t>(</m:t>
          </m:r>
          <m:sSub>
            <m:e>
              <m:r>
                <m:t>B</m:t>
              </m:r>
            </m:e>
            <m:sub>
              <m:r>
                <m:t>c</m:t>
              </m:r>
            </m:sub>
          </m:sSub>
          <m:r>
            <m:t>∪</m:t>
          </m:r>
          <m:sSub>
            <m:e>
              <m:r>
                <m:t>A</m:t>
              </m:r>
            </m:e>
            <m:sub>
              <m:r>
                <m:t>c</m:t>
              </m:r>
            </m:sub>
          </m:sSub>
          <m:r>
            <m:t>)</m:t>
          </m:r>
          <m:r>
            <m:t>,</m:t>
          </m:r>
          <m:r>
            <m:t>  </m:t>
          </m:r>
          <m:sSubSup>
            <m:e>
              <m:r>
                <m:t>M</m:t>
              </m:r>
            </m:e>
            <m:sub>
              <m:r>
                <m:t>i</m:t>
              </m:r>
              <m:r>
                <m:t>→</m:t>
              </m:r>
              <m:r>
                <m:t>y</m:t>
              </m:r>
              <m:r>
                <m:t>,</m:t>
              </m:r>
              <m:r>
                <m:t>c</m:t>
              </m:r>
            </m:sub>
            <m:sup>
              <m:r>
                <m:t>(</m:t>
              </m:r>
              <m:r>
                <m:t>K</m:t>
              </m:r>
              <m:r>
                <m:t>)</m:t>
              </m:r>
            </m:sup>
          </m:sSubSup>
          <m:r>
            <m:t>.</m:t>
          </m:r>
        </m:oMath>
      </m:oMathPara>
    </w:p>
    <w:p>
      <w:pPr>
        <w:pStyle w:val="FirstParagraph"/>
      </w:pPr>
      <w:r>
        <w:t xml:space="preserve">例如，纯示意地设某目标背景能力为 0.80，加入字段后为 0.82，则增量只有 0.02，但不能据此称发布后目标得到良好保护。这些数字只是解释定义，</w:t>
      </w:r>
      <w:r>
        <w:rPr>
          <w:b/>
        </w:rPr>
        <w:t xml:space="preserve">不代表南网实测，也不对应任何等级阈值</w:t>
      </w:r>
      <w:r>
        <w:t xml:space="preserve">。</w:t>
      </w:r>
    </w:p>
    <w:p>
      <w:pPr>
        <w:pStyle w:val="BodyText"/>
      </w:pPr>
      <w:r>
        <w:t xml:space="preserve">相反，某字段在一个背景下带来的增量很大，也不必然意味着全部情况下均应提高正式级别。可能更合适的措施是收紧该组合的提供方式、降低产品精度或调整授权范围，再对等级作独立复核。</w:t>
      </w:r>
    </w:p>
    <w:p>
      <w:pPr>
        <w:pStyle w:val="Heading3"/>
      </w:pPr>
      <w:bookmarkStart w:id="39" w:name="用快速扫描支持规模用独立复核支持结论"/>
      <w:r>
        <w:t xml:space="preserve">6.4 用快速扫描支持规模，用独立复核支持结论</w:t>
      </w:r>
      <w:bookmarkEnd w:id="39"/>
    </w:p>
    <w:p>
      <w:pPr>
        <w:pStyle w:val="FirstParagraph"/>
      </w:pPr>
      <w:r>
        <w:t xml:space="preserve">近期研究的通用模型共享字段集合间的表示学习，并为具体集合建立专用读出；当前稿还包含隐藏字段重构、随机特征及多种子预测平均等改进。项目层面把它定位为</w:t>
      </w:r>
      <w:r>
        <w:rPr>
          <w:b/>
        </w:rPr>
        <w:t xml:space="preserve">快速提出重点复核对象</w:t>
      </w:r>
      <w:r>
        <w:t xml:space="preserve">的工具即可，不必把所有模型组件放到业务流程描述中。[R01，方法部分]</w:t>
      </w:r>
    </w:p>
    <w:p>
      <w:pPr>
        <w:pStyle w:val="BodyText"/>
      </w:pPr>
      <w:r>
        <w:t xml:space="preserve">推荐证据流程为：训练侧学习与检索候选，验证侧选择重点场景，冻结场景后用独立留出数据复核；对实际拟提供集合及处理后的产品再作检查。时间序列业务应补充时间顺序留出和漂移分析，不能只沿用随机划分。</w:t>
      </w:r>
    </w:p>
    <w:p>
      <w:pPr>
        <w:pStyle w:val="BodyText"/>
      </w:pPr>
      <w:r>
        <w:t xml:space="preserve">“</w:t>
      </w:r>
      <w:r>
        <w:t xml:space="preserve">扫描—认证</w:t>
      </w:r>
      <w:r>
        <w:t xml:space="preserve">”</w:t>
      </w:r>
      <w:r>
        <w:t xml:space="preserve">在项目文档中建议称为</w:t>
      </w:r>
      <w:r>
        <w:t xml:space="preserve">“</w:t>
      </w:r>
      <w:r>
        <w:t xml:space="preserve">扫描—独立复核</w:t>
      </w:r>
      <w:r>
        <w:t xml:space="preserve">”</w:t>
      </w:r>
      <w:r>
        <w:t xml:space="preserve">：验证少数候选可确认存在风险，</w:t>
      </w:r>
      <w:r>
        <w:rPr>
          <w:b/>
        </w:rPr>
        <w:t xml:space="preserve">未发现风险不能证明所有未检验背景都安全</w:t>
      </w:r>
      <w:r>
        <w:t xml:space="preserve">。抽样背景所得最大增益至多是固定经验评估范围内的搜索下界，不是所有未来模型、所有背景的安全上界，也不自动带有统计置信度。</w:t>
      </w:r>
    </w:p>
    <w:p>
      <w:pPr>
        <w:pStyle w:val="Heading3"/>
      </w:pPr>
      <w:bookmarkStart w:id="40" w:name="多目标保留影响差异"/>
      <w:r>
        <w:t xml:space="preserve">6.5 多目标保留影响差异</w:t>
      </w:r>
      <w:bookmarkEnd w:id="40"/>
    </w:p>
    <w:p>
      <w:pPr>
        <w:pStyle w:val="FirstParagraph"/>
      </w:pPr>
      <w:r>
        <w:t xml:space="preserve">同一个增益作用于个人权益、企业经营和系统运行目标，其后果不同。保留逐目标风险向量与影响对象，必要时按最严重后果排序。不能简单对多个目标的</w:t>
      </w:r>
      <w:r>
        <w:t xml:space="preserve"> </w:t>
      </w:r>
      <m:oMath>
        <m:sSup>
          <m:e>
            <m:r>
              <m:t>R</m:t>
            </m:r>
          </m:e>
          <m:sup>
            <m:r>
              <m:t>2</m:t>
            </m:r>
          </m:sup>
        </m:sSup>
      </m:oMath>
      <w:r>
        <w:t xml:space="preserve"> </w:t>
      </w:r>
      <w:r>
        <w:t xml:space="preserve">求平均，也不能把</w:t>
      </w:r>
      <w:r>
        <w:t xml:space="preserve">“</w:t>
      </w:r>
      <w:r>
        <w:t xml:space="preserve">目标定为 4 级</w:t>
      </w:r>
      <w:r>
        <w:t xml:space="preserve">”</w:t>
      </w:r>
      <w:r>
        <w:t xml:space="preserve">自动复制到每个与之有关联的字段。</w:t>
      </w:r>
    </w:p>
    <w:p>
      <w:pPr>
        <w:pStyle w:val="BodyText"/>
      </w:pPr>
      <w:r>
        <w:t xml:space="preserve">现有回归型方法适合连续运行量的推断风险。身份重识别、文本泄露、位置识别等需要相应的评估指标与验证任务，不能直接复用相同</w:t>
      </w:r>
      <w:r>
        <w:t xml:space="preserve"> </w:t>
      </w:r>
      <m:oMath>
        <m:sSup>
          <m:e>
            <m:r>
              <m:t>R</m:t>
            </m:r>
          </m:e>
          <m:sup>
            <m:r>
              <m:t>2</m:t>
            </m:r>
          </m:sup>
        </m:sSup>
      </m:oMath>
      <w:r>
        <w:t xml:space="preserve"> </w:t>
      </w:r>
      <w:r>
        <w:t xml:space="preserve">档位。</w:t>
      </w:r>
    </w:p>
    <w:p>
      <w:pPr>
        <w:pStyle w:val="Heading2"/>
      </w:pPr>
      <w:bookmarkStart w:id="41" w:name="第四层从证据到治理决定"/>
      <w:r>
        <w:t xml:space="preserve">7. 第四层：从证据到治理决定</w:t>
      </w:r>
      <w:bookmarkEnd w:id="41"/>
    </w:p>
    <w:p>
      <w:pPr>
        <w:pStyle w:val="Heading3"/>
      </w:pPr>
      <w:bookmarkStart w:id="42" w:name="两种输出分开审批"/>
      <w:r>
        <w:t xml:space="preserve">7.1 两种输出分开审批</w:t>
      </w:r>
      <w:bookmarkEnd w:id="42"/>
    </w:p>
    <w:p>
      <w:pPr>
        <w:pStyle w:val="FirstParagraph"/>
      </w:pPr>
      <w:r>
        <w:rPr>
          <w:b/>
        </w:rPr>
        <w:t xml:space="preserve">输出一：等级复核建议。</w:t>
      </w:r>
      <w:r>
        <w:t xml:space="preserve"> </w:t>
      </w:r>
      <w:r>
        <w:t xml:space="preserve">说明新证据是否改变了深度、覆盖范围、可恢复性、影响对象或影响程度，依据哪条有效规则建议重新判断。未经复核审批不覆盖正式等级；重要/核心识别按对应管理程序处理。</w:t>
      </w:r>
    </w:p>
    <w:p>
      <w:pPr>
        <w:pStyle w:val="BodyText"/>
      </w:pPr>
      <w:r>
        <w:rPr>
          <w:b/>
        </w:rPr>
        <w:t xml:space="preserve">输出二：场景保护建议。</w:t>
      </w:r>
      <w:r>
        <w:t xml:space="preserve"> </w:t>
      </w:r>
      <w:r>
        <w:t xml:space="preserve">在当前有效等级和披露义务下，说明本次申请能提供什么、对谁提供、以什么粒度提供、如何验证剩余风险。即使无需改级，也可能需要增强保护。</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6939"/>
      </w:tblGrid>
      <w:tr>
        <w:trPr>
          <w:cantSplit/>
          <w:tblHeader/>
        </w:trPr>
        <w:tc>
          <w:tcPr>
            <w:tcW w:type="dxa" w:w="2699"/>
            <w:shd w:fill="E8F0F5"/>
          </w:tcPr>
          <w:p>
            <w:pPr>
              <w:pStyle w:val="Compact"/>
              <w:keepNext w:val="0"/>
              <w:spacing w:after="60" w:before="60" w:line="264" w:lineRule="auto"/>
              <w:jc w:val="left"/>
            </w:pPr>
            <w:r>
              <w:rPr>
                <w:sz w:val="18"/>
              </w:rPr>
              <w:t xml:space="preserve">发现</w:t>
            </w:r>
          </w:p>
        </w:tc>
        <w:tc>
          <w:tcPr>
            <w:tcW w:type="dxa" w:w="6939"/>
            <w:shd w:fill="E8F0F5"/>
          </w:tcPr>
          <w:p>
            <w:pPr>
              <w:pStyle w:val="Compact"/>
              <w:keepNext w:val="0"/>
              <w:spacing w:after="60" w:before="60" w:line="264" w:lineRule="auto"/>
              <w:jc w:val="left"/>
            </w:pPr>
            <w:r>
              <w:rPr>
                <w:sz w:val="18"/>
              </w:rPr>
              <w:t xml:space="preserve">建议处理</w:t>
            </w:r>
          </w:p>
        </w:tc>
      </w:tr>
      <w:tr>
        <w:trPr>
          <w:cantSplit/>
        </w:trPr>
        <w:tc>
          <w:tcPr>
            <w:tcW w:type="dxa" w:w="2699"/>
          </w:tcPr>
          <w:p>
            <w:pPr>
              <w:pStyle w:val="Compact"/>
              <w:keepNext w:val="0"/>
              <w:spacing w:after="60" w:before="60" w:line="264" w:lineRule="auto"/>
              <w:jc w:val="left"/>
            </w:pPr>
            <w:r>
              <w:rPr>
                <w:sz w:val="18"/>
              </w:rPr>
              <w:t xml:space="preserve">命中明确有效的高等级识别条件</w:t>
            </w:r>
          </w:p>
        </w:tc>
        <w:tc>
          <w:tcPr>
            <w:tcW w:type="dxa" w:w="6939"/>
          </w:tcPr>
          <w:p>
            <w:pPr>
              <w:pStyle w:val="Compact"/>
              <w:keepNext w:val="0"/>
              <w:spacing w:after="60" w:before="60" w:line="264" w:lineRule="auto"/>
              <w:jc w:val="left"/>
            </w:pPr>
            <w:r>
              <w:rPr>
                <w:sz w:val="18"/>
              </w:rPr>
              <w:t xml:space="preserve">进入相应识别/审批/报送流程，模型低分不能抵消</w:t>
            </w:r>
          </w:p>
        </w:tc>
      </w:tr>
      <w:tr>
        <w:trPr>
          <w:cantSplit/>
        </w:trPr>
        <w:tc>
          <w:tcPr>
            <w:tcW w:type="dxa" w:w="2699"/>
          </w:tcPr>
          <w:p>
            <w:pPr>
              <w:pStyle w:val="Compact"/>
              <w:keepNext w:val="0"/>
              <w:spacing w:after="60" w:before="60" w:line="264" w:lineRule="auto"/>
              <w:jc w:val="left"/>
            </w:pPr>
            <w:r>
              <w:rPr>
                <w:sz w:val="18"/>
              </w:rPr>
              <w:t xml:space="preserve">新证据表明衍生产品揭示了更深层受保护信息</w:t>
            </w:r>
          </w:p>
        </w:tc>
        <w:tc>
          <w:tcPr>
            <w:tcW w:type="dxa" w:w="6939"/>
          </w:tcPr>
          <w:p>
            <w:pPr>
              <w:pStyle w:val="Compact"/>
              <w:keepNext w:val="0"/>
              <w:spacing w:after="60" w:before="60" w:line="264" w:lineRule="auto"/>
              <w:jc w:val="left"/>
            </w:pPr>
            <w:r>
              <w:rPr>
                <w:sz w:val="18"/>
              </w:rPr>
              <w:t xml:space="preserve">复核产品的分级要素与等级，检查源数据和其他产品关联</w:t>
            </w:r>
          </w:p>
        </w:tc>
      </w:tr>
      <w:tr>
        <w:trPr>
          <w:cantSplit/>
        </w:trPr>
        <w:tc>
          <w:tcPr>
            <w:tcW w:type="dxa" w:w="2699"/>
          </w:tcPr>
          <w:p>
            <w:pPr>
              <w:pStyle w:val="Compact"/>
              <w:keepNext w:val="0"/>
              <w:spacing w:after="60" w:before="60" w:line="264" w:lineRule="auto"/>
              <w:jc w:val="left"/>
            </w:pPr>
            <w:r>
              <w:rPr>
                <w:sz w:val="18"/>
              </w:rPr>
              <w:t xml:space="preserve">单字段风险不高，但某些组合暴露明显</w:t>
            </w:r>
          </w:p>
        </w:tc>
        <w:tc>
          <w:tcPr>
            <w:tcW w:type="dxa" w:w="6939"/>
          </w:tcPr>
          <w:p>
            <w:pPr>
              <w:pStyle w:val="Compact"/>
              <w:keepNext w:val="0"/>
              <w:spacing w:after="60" w:before="60" w:line="264" w:lineRule="auto"/>
              <w:jc w:val="left"/>
            </w:pPr>
            <w:r>
              <w:rPr>
                <w:sz w:val="18"/>
              </w:rPr>
              <w:t xml:space="preserve">标记组合条件，调整提供方案并提出等级复核建议</w:t>
            </w:r>
          </w:p>
        </w:tc>
      </w:tr>
      <w:tr>
        <w:trPr>
          <w:cantSplit/>
        </w:trPr>
        <w:tc>
          <w:tcPr>
            <w:tcW w:type="dxa" w:w="2699"/>
          </w:tcPr>
          <w:p>
            <w:pPr>
              <w:pStyle w:val="Compact"/>
              <w:keepNext w:val="0"/>
              <w:spacing w:after="60" w:before="60" w:line="264" w:lineRule="auto"/>
              <w:jc w:val="left"/>
            </w:pPr>
            <w:r>
              <w:rPr>
                <w:sz w:val="18"/>
              </w:rPr>
              <w:t xml:space="preserve">背景本身已高度暴露目标</w:t>
            </w:r>
          </w:p>
        </w:tc>
        <w:tc>
          <w:tcPr>
            <w:tcW w:type="dxa" w:w="6939"/>
          </w:tcPr>
          <w:p>
            <w:pPr>
              <w:pStyle w:val="Compact"/>
              <w:keepNext w:val="0"/>
              <w:spacing w:after="60" w:before="60" w:line="264" w:lineRule="auto"/>
              <w:jc w:val="left"/>
            </w:pPr>
            <w:r>
              <w:rPr>
                <w:sz w:val="18"/>
              </w:rPr>
              <w:t xml:space="preserve">检查既有公开/共享范围与目标定义，不能只处理本次字段</w:t>
            </w:r>
          </w:p>
        </w:tc>
      </w:tr>
      <w:tr>
        <w:trPr>
          <w:cantSplit/>
        </w:trPr>
        <w:tc>
          <w:tcPr>
            <w:tcW w:type="dxa" w:w="2699"/>
          </w:tcPr>
          <w:p>
            <w:pPr>
              <w:pStyle w:val="Compact"/>
              <w:keepNext w:val="0"/>
              <w:spacing w:after="60" w:before="60" w:line="264" w:lineRule="auto"/>
              <w:jc w:val="left"/>
            </w:pPr>
            <w:r>
              <w:rPr>
                <w:sz w:val="18"/>
              </w:rPr>
              <w:t xml:space="preserve">证据不足或来源版本冲突</w:t>
            </w:r>
          </w:p>
        </w:tc>
        <w:tc>
          <w:tcPr>
            <w:tcW w:type="dxa" w:w="6939"/>
          </w:tcPr>
          <w:p>
            <w:pPr>
              <w:pStyle w:val="Compact"/>
              <w:keepNext w:val="0"/>
              <w:spacing w:after="60" w:before="60" w:line="264" w:lineRule="auto"/>
              <w:jc w:val="left"/>
            </w:pPr>
            <w:r>
              <w:rPr>
                <w:sz w:val="18"/>
              </w:rPr>
              <w:t xml:space="preserve">保持现行适当保护，补齐业务依据与验证材料</w:t>
            </w:r>
          </w:p>
        </w:tc>
      </w:tr>
      <w:tr>
        <w:trPr>
          <w:cantSplit/>
        </w:trPr>
        <w:tc>
          <w:tcPr>
            <w:tcW w:type="dxa" w:w="2699"/>
          </w:tcPr>
          <w:p>
            <w:pPr>
              <w:pStyle w:val="Compact"/>
              <w:keepNext w:val="0"/>
              <w:spacing w:after="60" w:before="60" w:line="264" w:lineRule="auto"/>
              <w:jc w:val="left"/>
            </w:pPr>
            <w:r>
              <w:rPr>
                <w:sz w:val="18"/>
              </w:rPr>
              <w:t xml:space="preserve">处理后风险下降</w:t>
            </w:r>
          </w:p>
        </w:tc>
        <w:tc>
          <w:tcPr>
            <w:tcW w:type="dxa" w:w="6939"/>
          </w:tcPr>
          <w:p>
            <w:pPr>
              <w:pStyle w:val="Compact"/>
              <w:keepNext w:val="0"/>
              <w:spacing w:after="60" w:before="60" w:line="264" w:lineRule="auto"/>
              <w:jc w:val="left"/>
            </w:pPr>
            <w:r>
              <w:rPr>
                <w:sz w:val="18"/>
              </w:rPr>
              <w:t xml:space="preserve">评价新产品，保留原数据等级；降级须经充分复评与审批</w:t>
            </w:r>
          </w:p>
        </w:tc>
      </w:tr>
    </w:tbl>
    <w:p>
      <w:pPr>
        <w:pStyle w:val="Heading3"/>
      </w:pPr>
      <w:bookmarkStart w:id="43" w:name="原样汇聚与经处理产品分别判断"/>
      <w:r>
        <w:t xml:space="preserve">7.2 原样汇聚与经处理产品分别判断</w:t>
      </w:r>
      <w:bookmarkEnd w:id="43"/>
    </w:p>
    <w:p>
      <w:pPr>
        <w:pStyle w:val="FirstParagraph"/>
      </w:pPr>
      <w:r>
        <w:t xml:space="preserve">原样合并的数据集按手册要求不低于来源最高级别，并检查组合后是否进一步提高影响。脱敏、统计、标签等新产品需要重新评价其语义、可恢复性和使用场景，而不是对原始数据直接</w:t>
      </w:r>
      <w:r>
        <w:t xml:space="preserve">“</w:t>
      </w:r>
      <w:r>
        <w:t xml:space="preserve">减一级</w:t>
      </w:r>
      <w:r>
        <w:t xml:space="preserve">”</w:t>
      </w:r>
      <w:r>
        <w:t xml:space="preserve">。[S02，附录 D/E]</w:t>
      </w:r>
    </w:p>
    <w:p>
      <w:pPr>
        <w:pStyle w:val="BodyText"/>
      </w:pPr>
      <w:r>
        <w:t xml:space="preserve">在这里，你的研究最有价值的输出是</w:t>
      </w:r>
      <w:r>
        <w:t xml:space="preserve">“</w:t>
      </w:r>
      <w:r>
        <w:t xml:space="preserve">处理后与既有背景联合时还能恢复多少</w:t>
      </w:r>
      <w:r>
        <w:t xml:space="preserve">”</w:t>
      </w:r>
      <w:r>
        <w:t xml:space="preserve">，但经验上的低推断能力只能构成复评材料的一部分，不能单独证明匿名化或不可恢复。</w:t>
      </w:r>
    </w:p>
    <w:p>
      <w:pPr>
        <w:pStyle w:val="Heading3"/>
      </w:pPr>
      <w:bookmarkStart w:id="44" w:name="把强化学习的动作改成实际措施建议"/>
      <w:r>
        <w:t xml:space="preserve">7.3 把强化学习的动作改成实际措施建议</w:t>
      </w:r>
      <w:bookmarkEnd w:id="44"/>
    </w:p>
    <w:p>
      <w:pPr>
        <w:pStyle w:val="FirstParagraph"/>
      </w:pPr>
      <w:r>
        <w:t xml:space="preserve">建议保留师兄的动态优化思想，但将主要动作从</w:t>
      </w:r>
      <w:r>
        <w:t xml:space="preserve">“</w:t>
      </w:r>
      <w:r>
        <w:t xml:space="preserve">任意修改等级数字</w:t>
      </w:r>
      <w:r>
        <w:t xml:space="preserve">”</w:t>
      </w:r>
      <w:r>
        <w:t xml:space="preserve">调整为</w:t>
      </w:r>
      <w:r>
        <w:t xml:space="preserve">“</w:t>
      </w:r>
      <w:r>
        <w:t xml:space="preserve">选择经过许可的保护方案</w:t>
      </w:r>
      <w:r>
        <w:t xml:space="preserve">”</w:t>
      </w:r>
      <w:r>
        <w:t xml:space="preserve">，包括接收方限制、字段/粒度调整、受控计算、组合提供限制等。每种方案保存成本、使用效果及复测结果。</w:t>
      </w:r>
    </w:p>
    <w:p>
      <w:pPr>
        <w:pStyle w:val="BodyText"/>
      </w:pPr>
      <w:r>
        <w:t xml:space="preserve">优化问题可以表达为：在</w:t>
      </w:r>
      <w:r>
        <w:rPr>
          <w:b/>
        </w:rPr>
        <w:t xml:space="preserve">有效规则、授权、最低保护和披露义务</w:t>
      </w:r>
      <w:r>
        <w:t xml:space="preserve">构成的可行域内，减少剩余风险，同时控制业务效用损失。规则作为硬约束，不能只在奖励中给有限惩罚。</w:t>
      </w:r>
    </w:p>
    <w:p>
      <w:pPr>
        <w:pStyle w:val="BodyText"/>
      </w:pPr>
      <w:r>
        <w:t xml:space="preserve">对于按规则必须披露的内容，不能因风险分数高就自行暂停披露；应选择规则允许的保护措施或依细则第 6 章发起调整程序。跨批次提供也不能自动消除组合风险，因为接收方可能累计保存历史数据。[S10，6.1—6.4]</w:t>
      </w:r>
    </w:p>
    <w:p>
      <w:pPr>
        <w:pStyle w:val="BodyText"/>
      </w:pPr>
      <w:r>
        <w:t xml:space="preserve">对措施较少、任务静态的场景，先以规则和枚举形成可解释基线；当存在多期提供、历史累积、组合约束和长期成本时，再评估 GRPO 的实际增益。该安排保留既有研究，也能使工程价值更容易验证。</w:t>
      </w:r>
    </w:p>
    <w:p>
      <w:pPr>
        <w:pStyle w:val="Heading2"/>
      </w:pPr>
      <w:bookmarkStart w:id="45" w:name="三个贯穿材料的试点场景"/>
      <w:r>
        <w:t xml:space="preserve">8. 三个贯穿材料的试点场景</w:t>
      </w:r>
      <w:bookmarkEnd w:id="45"/>
    </w:p>
    <w:p>
      <w:pPr>
        <w:pStyle w:val="FirstParagraph"/>
      </w:pPr>
      <w:r>
        <w:t xml:space="preserve">以下是可直接用于项目讨论的场景设计，不是南网实测结果。</w:t>
      </w:r>
    </w:p>
    <w:p>
      <w:pPr>
        <w:pStyle w:val="Heading3"/>
      </w:pPr>
      <w:bookmarkStart w:id="46" w:name="系统运行域预测与实际运行数据的时点差异"/>
      <w:r>
        <w:t xml:space="preserve">8.1 系统运行域：预测与实际运行数据的时点差异</w:t>
      </w:r>
      <w:bookmarkEnd w:id="46"/>
    </w:p>
    <w:p>
      <w:pPr>
        <w:pStyle w:val="FirstParagraph"/>
      </w:pPr>
      <w:r>
        <w:rPr>
          <w:b/>
        </w:rPr>
        <w:t xml:space="preserve">材料入口</w:t>
      </w:r>
      <w:r>
        <w:t xml:space="preserve">：S06 序号 532—543，S10 第 2.7、5.1、5.7 条及附表。</w:t>
      </w:r>
    </w:p>
    <w:p>
      <w:pPr>
        <w:pStyle w:val="BodyText"/>
      </w:pPr>
      <w:r>
        <w:t xml:space="preserve">以拟接入资源为对象，先根据主体和时点确定哪些预测及运行信息已经可得，哪些目标尚未对该主体披露。按资源字段建立数据对应关系，评估本次提供前后的总暴露和背景增益，输出</w:t>
      </w:r>
      <w:r>
        <w:t xml:space="preserve">“</w:t>
      </w:r>
      <w:r>
        <w:t xml:space="preserve">字段—目标—场景—证据</w:t>
      </w:r>
      <w:r>
        <w:t xml:space="preserve">”</w:t>
      </w:r>
      <w:r>
        <w:t xml:space="preserve">记录。</w:t>
      </w:r>
    </w:p>
    <w:p>
      <w:pPr>
        <w:pStyle w:val="BodyText"/>
      </w:pPr>
      <w:r>
        <w:t xml:space="preserve">注意，研究稿为了分析非平凡关系剔除过部分同目标预测/近副本。</w:t>
      </w:r>
      <w:r>
        <w:rPr>
          <w:b/>
        </w:rPr>
        <w:t xml:space="preserve">生产审计中，真实可得的强代理不能为了得到更好看的组合现象而删除。</w:t>
      </w:r>
      <w:r>
        <w:t xml:space="preserve"> </w:t>
      </w:r>
      <w:r>
        <w:t xml:space="preserve">应分别报告直接暴露与额外组合暴露。</w:t>
      </w:r>
    </w:p>
    <w:p>
      <w:pPr>
        <w:pStyle w:val="BodyText"/>
      </w:pPr>
      <w:r>
        <w:t xml:space="preserve">以序号 533</w:t>
      </w:r>
      <w:r>
        <w:t xml:space="preserve">“</w:t>
      </w:r>
      <w:r>
        <w:t xml:space="preserve">周、日系统负荷预测</w:t>
      </w:r>
      <w:r>
        <w:t xml:space="preserve">”</w:t>
      </w:r>
      <w:r>
        <w:t xml:space="preserve">为例，一条完整记录可按下表形成：</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步骤</w:t>
            </w:r>
          </w:p>
        </w:tc>
        <w:tc>
          <w:tcPr>
            <w:tcW w:type="dxa" w:w="4048"/>
            <w:shd w:fill="E8F0F5"/>
          </w:tcPr>
          <w:p>
            <w:pPr>
              <w:pStyle w:val="Compact"/>
              <w:keepNext w:val="0"/>
              <w:spacing w:after="60" w:before="60" w:line="264" w:lineRule="auto"/>
              <w:jc w:val="left"/>
            </w:pPr>
            <w:r>
              <w:rPr>
                <w:sz w:val="18"/>
              </w:rPr>
              <w:t xml:space="preserve">已有材料能够确认的内容</w:t>
            </w:r>
          </w:p>
        </w:tc>
        <w:tc>
          <w:tcPr>
            <w:tcW w:type="dxa" w:w="3470"/>
            <w:shd w:fill="E8F0F5"/>
          </w:tcPr>
          <w:p>
            <w:pPr>
              <w:pStyle w:val="Compact"/>
              <w:keepNext w:val="0"/>
              <w:spacing w:after="60" w:before="60" w:line="264" w:lineRule="auto"/>
              <w:jc w:val="left"/>
            </w:pPr>
            <w:r>
              <w:rPr>
                <w:sz w:val="18"/>
              </w:rPr>
              <w:t xml:space="preserve">还需项目补充的内容</w:t>
            </w:r>
          </w:p>
        </w:tc>
      </w:tr>
      <w:tr>
        <w:trPr>
          <w:cantSplit/>
        </w:trPr>
        <w:tc>
          <w:tcPr>
            <w:tcW w:type="dxa" w:w="2120"/>
          </w:tcPr>
          <w:p>
            <w:pPr>
              <w:pStyle w:val="Compact"/>
              <w:keepNext w:val="0"/>
              <w:spacing w:after="60" w:before="60" w:line="264" w:lineRule="auto"/>
              <w:jc w:val="left"/>
            </w:pPr>
            <w:r>
              <w:rPr>
                <w:sz w:val="18"/>
              </w:rPr>
              <w:t xml:space="preserve">识别对象</w:t>
            </w:r>
          </w:p>
        </w:tc>
        <w:tc>
          <w:tcPr>
            <w:tcW w:type="dxa" w:w="4048"/>
          </w:tcPr>
          <w:p>
            <w:pPr>
              <w:pStyle w:val="Compact"/>
              <w:keepNext w:val="0"/>
              <w:spacing w:after="60" w:before="60" w:line="264" w:lineRule="auto"/>
              <w:jc w:val="left"/>
            </w:pPr>
            <w:r>
              <w:rPr>
                <w:sz w:val="18"/>
              </w:rPr>
              <w:t xml:space="preserve">系统运行域；区域名称、每 15 分钟有功预测值；按日更新</w:t>
            </w:r>
          </w:p>
        </w:tc>
        <w:tc>
          <w:tcPr>
            <w:tcW w:type="dxa" w:w="3470"/>
          </w:tcPr>
          <w:p>
            <w:pPr>
              <w:pStyle w:val="Compact"/>
              <w:keepNext w:val="0"/>
              <w:spacing w:after="60" w:before="60" w:line="264" w:lineRule="auto"/>
              <w:jc w:val="left"/>
            </w:pPr>
            <w:r>
              <w:rPr>
                <w:sz w:val="18"/>
              </w:rPr>
              <w:t xml:space="preserve">对应系统、字段编码、数据规模及实际版本</w:t>
            </w:r>
          </w:p>
        </w:tc>
      </w:tr>
      <w:tr>
        <w:trPr>
          <w:cantSplit/>
        </w:trPr>
        <w:tc>
          <w:tcPr>
            <w:tcW w:type="dxa" w:w="2120"/>
          </w:tcPr>
          <w:p>
            <w:pPr>
              <w:pStyle w:val="Compact"/>
              <w:keepNext w:val="0"/>
              <w:spacing w:after="60" w:before="60" w:line="264" w:lineRule="auto"/>
              <w:jc w:val="left"/>
            </w:pPr>
            <w:r>
              <w:rPr>
                <w:sz w:val="18"/>
              </w:rPr>
              <w:t xml:space="preserve">核对开放</w:t>
            </w:r>
          </w:p>
        </w:tc>
        <w:tc>
          <w:tcPr>
            <w:tcW w:type="dxa" w:w="4048"/>
          </w:tcPr>
          <w:p>
            <w:pPr>
              <w:pStyle w:val="Compact"/>
              <w:keepNext w:val="0"/>
              <w:spacing w:after="60" w:before="60" w:line="264" w:lineRule="auto"/>
              <w:jc w:val="left"/>
            </w:pPr>
            <w:r>
              <w:rPr>
                <w:sz w:val="18"/>
              </w:rPr>
              <w:t xml:space="preserve">目录写有条件开放，对象为南方区域电力市场有关市场成员</w:t>
            </w:r>
          </w:p>
        </w:tc>
        <w:tc>
          <w:tcPr>
            <w:tcW w:type="dxa" w:w="3470"/>
          </w:tcPr>
          <w:p>
            <w:pPr>
              <w:pStyle w:val="Compact"/>
              <w:keepNext w:val="0"/>
              <w:spacing w:after="60" w:before="60" w:line="264" w:lineRule="auto"/>
              <w:jc w:val="left"/>
            </w:pPr>
            <w:r>
              <w:rPr>
                <w:sz w:val="18"/>
              </w:rPr>
              <w:t xml:space="preserve">接收方资格、具体授权及当前适用细则</w:t>
            </w:r>
          </w:p>
        </w:tc>
      </w:tr>
      <w:tr>
        <w:trPr>
          <w:cantSplit/>
        </w:trPr>
        <w:tc>
          <w:tcPr>
            <w:tcW w:type="dxa" w:w="2120"/>
          </w:tcPr>
          <w:p>
            <w:pPr>
              <w:pStyle w:val="Compact"/>
              <w:keepNext w:val="0"/>
              <w:spacing w:after="60" w:before="60" w:line="264" w:lineRule="auto"/>
              <w:jc w:val="left"/>
            </w:pPr>
            <w:r>
              <w:rPr>
                <w:sz w:val="18"/>
              </w:rPr>
              <w:t xml:space="preserve">建立等级基线</w:t>
            </w:r>
          </w:p>
        </w:tc>
        <w:tc>
          <w:tcPr>
            <w:tcW w:type="dxa" w:w="4048"/>
          </w:tcPr>
          <w:p>
            <w:pPr>
              <w:pStyle w:val="Compact"/>
              <w:keepNext w:val="0"/>
              <w:spacing w:after="60" w:before="60" w:line="264" w:lineRule="auto"/>
              <w:jc w:val="left"/>
            </w:pPr>
            <w:r>
              <w:rPr>
                <w:sz w:val="18"/>
              </w:rPr>
              <w:t xml:space="preserve">目录没有给出该项安全等级</w:t>
            </w:r>
          </w:p>
        </w:tc>
        <w:tc>
          <w:tcPr>
            <w:tcW w:type="dxa" w:w="3470"/>
          </w:tcPr>
          <w:p>
            <w:pPr>
              <w:pStyle w:val="Compact"/>
              <w:keepNext w:val="0"/>
              <w:spacing w:after="60" w:before="60" w:line="264" w:lineRule="auto"/>
              <w:jc w:val="left"/>
            </w:pPr>
            <w:r>
              <w:rPr>
                <w:sz w:val="18"/>
              </w:rPr>
              <w:t xml:space="preserve">现有批准级别、影响判断及有效规则依据</w:t>
            </w:r>
          </w:p>
        </w:tc>
      </w:tr>
      <w:tr>
        <w:trPr>
          <w:cantSplit/>
        </w:trPr>
        <w:tc>
          <w:tcPr>
            <w:tcW w:type="dxa" w:w="2120"/>
          </w:tcPr>
          <w:p>
            <w:pPr>
              <w:pStyle w:val="Compact"/>
              <w:keepNext w:val="0"/>
              <w:spacing w:after="60" w:before="60" w:line="264" w:lineRule="auto"/>
              <w:jc w:val="left"/>
            </w:pPr>
            <w:r>
              <w:rPr>
                <w:sz w:val="18"/>
              </w:rPr>
              <w:t xml:space="preserve">定义场景</w:t>
            </w:r>
          </w:p>
        </w:tc>
        <w:tc>
          <w:tcPr>
            <w:tcW w:type="dxa" w:w="4048"/>
          </w:tcPr>
          <w:p>
            <w:pPr>
              <w:pStyle w:val="Compact"/>
              <w:keepNext w:val="0"/>
              <w:spacing w:after="60" w:before="60" w:line="264" w:lineRule="auto"/>
              <w:jc w:val="left"/>
            </w:pPr>
            <w:r>
              <w:rPr>
                <w:sz w:val="18"/>
              </w:rPr>
              <w:t xml:space="preserve">可围绕预测和实际运行信息的披露时点差异设置场景</w:t>
            </w:r>
          </w:p>
        </w:tc>
        <w:tc>
          <w:tcPr>
            <w:tcW w:type="dxa" w:w="3470"/>
          </w:tcPr>
          <w:p>
            <w:pPr>
              <w:pStyle w:val="Compact"/>
              <w:keepNext w:val="0"/>
              <w:spacing w:after="60" w:before="60" w:line="264" w:lineRule="auto"/>
              <w:jc w:val="left"/>
            </w:pPr>
            <w:r>
              <w:rPr>
                <w:sz w:val="18"/>
              </w:rPr>
              <w:t xml:space="preserve">真实发布时间、已可得背景和仍受保护目标</w:t>
            </w:r>
          </w:p>
        </w:tc>
      </w:tr>
      <w:tr>
        <w:trPr>
          <w:cantSplit/>
        </w:trPr>
        <w:tc>
          <w:tcPr>
            <w:tcW w:type="dxa" w:w="2120"/>
          </w:tcPr>
          <w:p>
            <w:pPr>
              <w:pStyle w:val="Compact"/>
              <w:keepNext w:val="0"/>
              <w:spacing w:after="60" w:before="60" w:line="264" w:lineRule="auto"/>
              <w:jc w:val="left"/>
            </w:pPr>
            <w:r>
              <w:rPr>
                <w:sz w:val="18"/>
              </w:rPr>
              <w:t xml:space="preserve">风险复核</w:t>
            </w:r>
          </w:p>
        </w:tc>
        <w:tc>
          <w:tcPr>
            <w:tcW w:type="dxa" w:w="4048"/>
          </w:tcPr>
          <w:p>
            <w:pPr>
              <w:pStyle w:val="Compact"/>
              <w:keepNext w:val="0"/>
              <w:spacing w:after="60" w:before="60" w:line="264" w:lineRule="auto"/>
              <w:jc w:val="left"/>
            </w:pPr>
            <w:r>
              <w:rPr>
                <w:sz w:val="18"/>
              </w:rPr>
              <w:t xml:space="preserve">方法接口为集合能力和字段增益</w:t>
            </w:r>
          </w:p>
        </w:tc>
        <w:tc>
          <w:tcPr>
            <w:tcW w:type="dxa" w:w="3470"/>
          </w:tcPr>
          <w:p>
            <w:pPr>
              <w:pStyle w:val="Compact"/>
              <w:keepNext w:val="0"/>
              <w:spacing w:after="60" w:before="60" w:line="264" w:lineRule="auto"/>
              <w:jc w:val="left"/>
            </w:pPr>
            <w:r>
              <w:rPr>
                <w:sz w:val="18"/>
              </w:rPr>
              <w:t xml:space="preserve">经授权的历史数据、独立验证结果及不确定性</w:t>
            </w:r>
          </w:p>
        </w:tc>
      </w:tr>
      <w:tr>
        <w:trPr>
          <w:cantSplit/>
        </w:trPr>
        <w:tc>
          <w:tcPr>
            <w:tcW w:type="dxa" w:w="2120"/>
          </w:tcPr>
          <w:p>
            <w:pPr>
              <w:pStyle w:val="Compact"/>
              <w:keepNext w:val="0"/>
              <w:spacing w:after="60" w:before="60" w:line="264" w:lineRule="auto"/>
              <w:jc w:val="left"/>
            </w:pPr>
            <w:r>
              <w:rPr>
                <w:sz w:val="18"/>
              </w:rPr>
              <w:t xml:space="preserve">形成决定</w:t>
            </w:r>
          </w:p>
        </w:tc>
        <w:tc>
          <w:tcPr>
            <w:tcW w:type="dxa" w:w="4048"/>
          </w:tcPr>
          <w:p>
            <w:pPr>
              <w:pStyle w:val="Compact"/>
              <w:keepNext w:val="0"/>
              <w:spacing w:after="60" w:before="60" w:line="264" w:lineRule="auto"/>
              <w:jc w:val="left"/>
            </w:pPr>
            <w:r>
              <w:rPr>
                <w:sz w:val="18"/>
              </w:rPr>
              <w:t xml:space="preserve">等级复核与场景保护分别处理</w:t>
            </w:r>
          </w:p>
        </w:tc>
        <w:tc>
          <w:tcPr>
            <w:tcW w:type="dxa" w:w="3470"/>
          </w:tcPr>
          <w:p>
            <w:pPr>
              <w:pStyle w:val="Compact"/>
              <w:keepNext w:val="0"/>
              <w:spacing w:after="60" w:before="60" w:line="264" w:lineRule="auto"/>
              <w:jc w:val="left"/>
            </w:pPr>
            <w:r>
              <w:rPr>
                <w:sz w:val="18"/>
              </w:rPr>
              <w:t xml:space="preserve">审批结论、可行措施、复测及执行记录</w:t>
            </w:r>
          </w:p>
        </w:tc>
      </w:tr>
    </w:tbl>
    <w:p>
      <w:pPr>
        <w:pStyle w:val="BodyText"/>
      </w:pPr>
      <w:r>
        <w:t xml:space="preserve">这个例子说明：目录能直接给出一部分语义和条件，模型补充一部分风险证据，其余必须由真实资产和管理流程衔接，不能靠文档阅读补造实测结果或最终等级。</w:t>
      </w:r>
    </w:p>
    <w:p>
      <w:pPr>
        <w:pStyle w:val="Heading3"/>
      </w:pPr>
      <w:bookmarkStart w:id="47" w:name="市场营销域统计标签产品的衍生风险"/>
      <w:r>
        <w:t xml:space="preserve">8.2 市场营销域：统计/标签产品的衍生风险</w:t>
      </w:r>
      <w:bookmarkEnd w:id="47"/>
    </w:p>
    <w:p>
      <w:pPr>
        <w:pStyle w:val="FirstParagraph"/>
      </w:pPr>
      <w:r>
        <w:rPr>
          <w:b/>
        </w:rPr>
        <w:t xml:space="preserve">材料入口</w:t>
      </w:r>
      <w:r>
        <w:t xml:space="preserve">：S06 序号 471、476、484，S02 附录 D/E，S03 序号 239、382。</w:t>
      </w:r>
    </w:p>
    <w:p>
      <w:pPr>
        <w:pStyle w:val="BodyText"/>
      </w:pPr>
      <w:r>
        <w:t xml:space="preserve">先核对产品是否含可定位企业或小群体的信息，再结合已有背景和授权用途，判断是否可能产生超出声明用途的推断。比较候选产品版本的风险及使用价值，分别形成原始数据、衍生产品、提供场景的记录。</w:t>
      </w:r>
    </w:p>
    <w:p>
      <w:pPr>
        <w:pStyle w:val="BodyText"/>
      </w:pPr>
      <w:r>
        <w:t xml:space="preserve">涉及自然人重识别时另设合适指标；企业授权、个人信息保护及合同范围由规则核验负责，不能由一个回归模型替代。</w:t>
      </w:r>
    </w:p>
    <w:p>
      <w:pPr>
        <w:pStyle w:val="Heading3"/>
      </w:pPr>
      <w:bookmarkStart w:id="48" w:name="主体变化相同数据不同可见范围"/>
      <w:r>
        <w:t xml:space="preserve">8.3 主体变化：相同数据、不同可见范围</w:t>
      </w:r>
      <w:bookmarkEnd w:id="48"/>
    </w:p>
    <w:p>
      <w:pPr>
        <w:pStyle w:val="FirstParagraph"/>
      </w:pPr>
      <w:r>
        <w:rPr>
          <w:b/>
        </w:rPr>
        <w:t xml:space="preserve">材料入口</w:t>
      </w:r>
      <w:r>
        <w:t xml:space="preserve">：S09 的注册、市场范围变更与注销条款；S07 的注册/入驻权限；S10 的三类披露范围。</w:t>
      </w:r>
    </w:p>
    <w:p>
      <w:pPr>
        <w:pStyle w:val="BodyText"/>
      </w:pPr>
      <w:r>
        <w:t xml:space="preserve">主体角色或范围变化后，重新生成允许访问的数据范围与场景背景，检查历史已提供数据与本次新增权限结合后的影响。重点输出</w:t>
      </w:r>
      <w:r>
        <w:t xml:space="preserve">“</w:t>
      </w:r>
      <w:r>
        <w:t xml:space="preserve">为什么此时需要复评</w:t>
      </w:r>
      <w:r>
        <w:t xml:space="preserve">”</w:t>
      </w:r>
      <w:r>
        <w:t xml:space="preserve">，以及权限、合同与目录的更新记录。</w:t>
      </w:r>
    </w:p>
    <w:p>
      <w:pPr>
        <w:pStyle w:val="BodyText"/>
      </w:pPr>
      <w:r>
        <w:t xml:space="preserve">这个场景体现动态性来自真实管理事件，而不是单纯按模型分数日常波动反复改级。</w:t>
      </w:r>
    </w:p>
    <w:p>
      <w:pPr>
        <w:pStyle w:val="Heading2"/>
      </w:pPr>
      <w:bookmarkStart w:id="49" w:name="交付物从论文方法变成项目成果"/>
      <w:r>
        <w:t xml:space="preserve">9. 交付物：从论文方法变成项目成果</w:t>
      </w:r>
      <w:bookmarkEnd w:id="49"/>
    </w:p>
    <w:p>
      <w:pPr>
        <w:pStyle w:val="FirstParagraph"/>
      </w:pPr>
      <w:r>
        <w:t xml:space="preserve">建议形成</w:t>
      </w:r>
      <w:r>
        <w:t xml:space="preserve">“</w:t>
      </w:r>
      <w:r>
        <w:t xml:space="preserve">一套规则、四张主表、两类报告、一个闭环</w:t>
      </w:r>
      <w:r>
        <w:t xml:space="preserve">”</w:t>
      </w:r>
      <w:r>
        <w:t xml:space="preserve">。</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6939"/>
      </w:tblGrid>
      <w:tr>
        <w:trPr>
          <w:cantSplit/>
          <w:tblHeader/>
        </w:trPr>
        <w:tc>
          <w:tcPr>
            <w:tcW w:type="dxa" w:w="2699"/>
            <w:shd w:fill="E8F0F5"/>
          </w:tcPr>
          <w:p>
            <w:pPr>
              <w:pStyle w:val="Compact"/>
              <w:keepNext w:val="0"/>
              <w:spacing w:after="60" w:before="60" w:line="264" w:lineRule="auto"/>
              <w:jc w:val="left"/>
            </w:pPr>
            <w:r>
              <w:rPr>
                <w:sz w:val="18"/>
              </w:rPr>
              <w:t xml:space="preserve">交付物</w:t>
            </w:r>
          </w:p>
        </w:tc>
        <w:tc>
          <w:tcPr>
            <w:tcW w:type="dxa" w:w="6939"/>
            <w:shd w:fill="E8F0F5"/>
          </w:tcPr>
          <w:p>
            <w:pPr>
              <w:pStyle w:val="Compact"/>
              <w:keepNext w:val="0"/>
              <w:spacing w:after="60" w:before="60" w:line="264" w:lineRule="auto"/>
              <w:jc w:val="left"/>
            </w:pPr>
            <w:r>
              <w:rPr>
                <w:sz w:val="18"/>
              </w:rPr>
              <w:t xml:space="preserve">最低内容</w:t>
            </w:r>
          </w:p>
        </w:tc>
      </w:tr>
      <w:tr>
        <w:trPr>
          <w:cantSplit/>
        </w:trPr>
        <w:tc>
          <w:tcPr>
            <w:tcW w:type="dxa" w:w="2699"/>
          </w:tcPr>
          <w:p>
            <w:pPr>
              <w:pStyle w:val="Compact"/>
              <w:keepNext w:val="0"/>
              <w:spacing w:after="60" w:before="60" w:line="264" w:lineRule="auto"/>
              <w:jc w:val="left"/>
            </w:pPr>
            <w:r>
              <w:rPr>
                <w:sz w:val="18"/>
              </w:rPr>
              <w:t xml:space="preserve">可追溯规则库</w:t>
            </w:r>
          </w:p>
        </w:tc>
        <w:tc>
          <w:tcPr>
            <w:tcW w:type="dxa" w:w="6939"/>
          </w:tcPr>
          <w:p>
            <w:pPr>
              <w:pStyle w:val="Compact"/>
              <w:keepNext w:val="0"/>
              <w:spacing w:after="60" w:before="60" w:line="264" w:lineRule="auto"/>
              <w:jc w:val="left"/>
            </w:pPr>
            <w:r>
              <w:rPr>
                <w:sz w:val="18"/>
              </w:rPr>
              <w:t xml:space="preserve">六类规则、条款定位、适用条件、版本、生效/冲突状态</w:t>
            </w:r>
          </w:p>
        </w:tc>
      </w:tr>
      <w:tr>
        <w:trPr>
          <w:cantSplit/>
        </w:trPr>
        <w:tc>
          <w:tcPr>
            <w:tcW w:type="dxa" w:w="2699"/>
          </w:tcPr>
          <w:p>
            <w:pPr>
              <w:pStyle w:val="Compact"/>
              <w:keepNext w:val="0"/>
              <w:spacing w:after="60" w:before="60" w:line="264" w:lineRule="auto"/>
              <w:jc w:val="left"/>
            </w:pPr>
            <w:r>
              <w:rPr>
                <w:sz w:val="18"/>
              </w:rPr>
              <w:t xml:space="preserve">分类分级主表</w:t>
            </w:r>
          </w:p>
        </w:tc>
        <w:tc>
          <w:tcPr>
            <w:tcW w:type="dxa" w:w="6939"/>
          </w:tcPr>
          <w:p>
            <w:pPr>
              <w:pStyle w:val="Compact"/>
              <w:keepNext w:val="0"/>
              <w:spacing w:after="60" w:before="60" w:line="264" w:lineRule="auto"/>
              <w:jc w:val="left"/>
            </w:pPr>
            <w:r>
              <w:rPr>
                <w:sz w:val="18"/>
              </w:rPr>
              <w:t xml:space="preserve">对象、分类路径、当前级别、识别/审批状态、影响依据、责任部门</w:t>
            </w:r>
          </w:p>
        </w:tc>
      </w:tr>
      <w:tr>
        <w:trPr>
          <w:cantSplit/>
        </w:trPr>
        <w:tc>
          <w:tcPr>
            <w:tcW w:type="dxa" w:w="2699"/>
          </w:tcPr>
          <w:p>
            <w:pPr>
              <w:pStyle w:val="Compact"/>
              <w:keepNext w:val="0"/>
              <w:spacing w:after="60" w:before="60" w:line="264" w:lineRule="auto"/>
              <w:jc w:val="left"/>
            </w:pPr>
            <w:r>
              <w:rPr>
                <w:sz w:val="18"/>
              </w:rPr>
              <w:t xml:space="preserve">场景与授权表</w:t>
            </w:r>
          </w:p>
        </w:tc>
        <w:tc>
          <w:tcPr>
            <w:tcW w:type="dxa" w:w="6939"/>
          </w:tcPr>
          <w:p>
            <w:pPr>
              <w:pStyle w:val="Compact"/>
              <w:keepNext w:val="0"/>
              <w:spacing w:after="60" w:before="60" w:line="264" w:lineRule="auto"/>
              <w:jc w:val="left"/>
            </w:pPr>
            <w:r>
              <w:rPr>
                <w:sz w:val="18"/>
              </w:rPr>
              <w:t xml:space="preserve">主体、用途、时点、粒度、候选/已知背景、目标与依据</w:t>
            </w:r>
          </w:p>
        </w:tc>
      </w:tr>
      <w:tr>
        <w:trPr>
          <w:cantSplit/>
        </w:trPr>
        <w:tc>
          <w:tcPr>
            <w:tcW w:type="dxa" w:w="2699"/>
          </w:tcPr>
          <w:p>
            <w:pPr>
              <w:pStyle w:val="Compact"/>
              <w:keepNext w:val="0"/>
              <w:spacing w:after="60" w:before="60" w:line="264" w:lineRule="auto"/>
              <w:jc w:val="left"/>
            </w:pPr>
            <w:r>
              <w:rPr>
                <w:sz w:val="18"/>
              </w:rPr>
              <w:t xml:space="preserve">组合风险证据表</w:t>
            </w:r>
          </w:p>
        </w:tc>
        <w:tc>
          <w:tcPr>
            <w:tcW w:type="dxa" w:w="6939"/>
          </w:tcPr>
          <w:p>
            <w:pPr>
              <w:pStyle w:val="Compact"/>
              <w:keepNext w:val="0"/>
              <w:spacing w:after="60" w:before="60" w:line="264" w:lineRule="auto"/>
              <w:jc w:val="left"/>
            </w:pPr>
            <w:r>
              <w:rPr>
                <w:sz w:val="18"/>
              </w:rPr>
              <w:t xml:space="preserve">集合能力、字段边际、背景放大、关键组合、数据划分、模型与复核范围</w:t>
            </w:r>
          </w:p>
        </w:tc>
      </w:tr>
      <w:tr>
        <w:trPr>
          <w:cantSplit/>
        </w:trPr>
        <w:tc>
          <w:tcPr>
            <w:tcW w:type="dxa" w:w="2699"/>
          </w:tcPr>
          <w:p>
            <w:pPr>
              <w:pStyle w:val="Compact"/>
              <w:keepNext w:val="0"/>
              <w:spacing w:after="60" w:before="60" w:line="264" w:lineRule="auto"/>
              <w:jc w:val="left"/>
            </w:pPr>
            <w:r>
              <w:rPr>
                <w:sz w:val="18"/>
              </w:rPr>
              <w:t xml:space="preserve">处置与变更表</w:t>
            </w:r>
          </w:p>
        </w:tc>
        <w:tc>
          <w:tcPr>
            <w:tcW w:type="dxa" w:w="6939"/>
          </w:tcPr>
          <w:p>
            <w:pPr>
              <w:pStyle w:val="Compact"/>
              <w:keepNext w:val="0"/>
              <w:spacing w:after="60" w:before="60" w:line="264" w:lineRule="auto"/>
              <w:jc w:val="left"/>
            </w:pPr>
            <w:r>
              <w:rPr>
                <w:sz w:val="18"/>
              </w:rPr>
              <w:t xml:space="preserve">实际保护动作、措施前后结果、业务影响、审批、策略执行及回滚记录</w:t>
            </w:r>
          </w:p>
        </w:tc>
      </w:tr>
      <w:tr>
        <w:trPr>
          <w:cantSplit/>
        </w:trPr>
        <w:tc>
          <w:tcPr>
            <w:tcW w:type="dxa" w:w="2699"/>
          </w:tcPr>
          <w:p>
            <w:pPr>
              <w:pStyle w:val="Compact"/>
              <w:keepNext w:val="0"/>
              <w:spacing w:after="60" w:before="60" w:line="264" w:lineRule="auto"/>
              <w:jc w:val="left"/>
            </w:pPr>
            <w:r>
              <w:rPr>
                <w:sz w:val="18"/>
              </w:rPr>
              <w:t xml:space="preserve">分类分级说明报告</w:t>
            </w:r>
          </w:p>
        </w:tc>
        <w:tc>
          <w:tcPr>
            <w:tcW w:type="dxa" w:w="6939"/>
          </w:tcPr>
          <w:p>
            <w:pPr>
              <w:pStyle w:val="Compact"/>
              <w:keepNext w:val="0"/>
              <w:spacing w:after="60" w:before="60" w:line="264" w:lineRule="auto"/>
              <w:jc w:val="left"/>
            </w:pPr>
            <w:r>
              <w:rPr>
                <w:sz w:val="18"/>
              </w:rPr>
              <w:t xml:space="preserve">规则依据、初判、复核与正式结果的区别，未决冲突</w:t>
            </w:r>
          </w:p>
        </w:tc>
      </w:tr>
      <w:tr>
        <w:trPr>
          <w:cantSplit/>
        </w:trPr>
        <w:tc>
          <w:tcPr>
            <w:tcW w:type="dxa" w:w="2699"/>
          </w:tcPr>
          <w:p>
            <w:pPr>
              <w:pStyle w:val="Compact"/>
              <w:keepNext w:val="0"/>
              <w:spacing w:after="60" w:before="60" w:line="264" w:lineRule="auto"/>
              <w:jc w:val="left"/>
            </w:pPr>
            <w:r>
              <w:rPr>
                <w:sz w:val="18"/>
              </w:rPr>
              <w:t xml:space="preserve">风险评估专题附件</w:t>
            </w:r>
          </w:p>
        </w:tc>
        <w:tc>
          <w:tcPr>
            <w:tcW w:type="dxa" w:w="6939"/>
          </w:tcPr>
          <w:p>
            <w:pPr>
              <w:pStyle w:val="Compact"/>
              <w:keepNext w:val="0"/>
              <w:spacing w:after="60" w:before="60" w:line="264" w:lineRule="auto"/>
              <w:jc w:val="left"/>
            </w:pPr>
            <w:r>
              <w:rPr>
                <w:sz w:val="18"/>
              </w:rPr>
              <w:t xml:space="preserve">对应检查项、风险问题、危害与可能性分析、整改与复测</w:t>
            </w:r>
          </w:p>
        </w:tc>
      </w:tr>
      <w:tr>
        <w:trPr>
          <w:cantSplit/>
        </w:trPr>
        <w:tc>
          <w:tcPr>
            <w:tcW w:type="dxa" w:w="2699"/>
          </w:tcPr>
          <w:p>
            <w:pPr>
              <w:pStyle w:val="Compact"/>
              <w:keepNext w:val="0"/>
              <w:spacing w:after="60" w:before="60" w:line="264" w:lineRule="auto"/>
              <w:jc w:val="left"/>
            </w:pPr>
            <w:r>
              <w:rPr>
                <w:sz w:val="18"/>
              </w:rPr>
              <w:t xml:space="preserve">持续复评闭环</w:t>
            </w:r>
          </w:p>
        </w:tc>
        <w:tc>
          <w:tcPr>
            <w:tcW w:type="dxa" w:w="6939"/>
          </w:tcPr>
          <w:p>
            <w:pPr>
              <w:pStyle w:val="Compact"/>
              <w:keepNext w:val="0"/>
              <w:spacing w:after="60" w:before="60" w:line="264" w:lineRule="auto"/>
              <w:jc w:val="left"/>
            </w:pPr>
            <w:r>
              <w:rPr>
                <w:sz w:val="18"/>
              </w:rPr>
              <w:t xml:space="preserve">规则/数据/产品/主体/背景变化触发，责任人处理，目录与策略同步</w:t>
            </w:r>
          </w:p>
        </w:tc>
      </w:tr>
    </w:tbl>
    <w:p>
      <w:pPr>
        <w:pStyle w:val="BodyText"/>
      </w:pPr>
      <w:r>
        <w:t xml:space="preserve">尤其要使每一个项目结论都能追溯到：</w:t>
      </w:r>
      <w:r>
        <w:rPr>
          <w:b/>
        </w:rPr>
        <w:t xml:space="preserve">哪条规则、哪份数据、哪个场景、什么证据、谁审批、执行了什么。</w:t>
      </w:r>
    </w:p>
    <w:p>
      <w:pPr>
        <w:pStyle w:val="Heading2"/>
      </w:pPr>
      <w:bookmarkStart w:id="50" w:name="实施顺序与验证标准"/>
      <w:r>
        <w:t xml:space="preserve">10. 实施顺序与验证标准</w:t>
      </w:r>
      <w:bookmarkEnd w:id="50"/>
    </w:p>
    <w:p>
      <w:pPr>
        <w:pStyle w:val="Heading3"/>
      </w:pPr>
      <w:bookmarkStart w:id="51" w:name="第一阶段先打通制度和数据"/>
      <w:r>
        <w:t xml:space="preserve">10.1 第一阶段：先打通制度和数据</w:t>
      </w:r>
      <w:bookmarkEnd w:id="51"/>
    </w:p>
    <w:p>
      <w:pPr>
        <w:pStyle w:val="FirstParagraph"/>
      </w:pPr>
      <w:r>
        <w:t xml:space="preserve">完成版本核对、业务分类映射、561 项目录导入、字段与真实资产关联、现有等级与审批状态整理，选择一个系统运行域试点。关键产出是可追溯规则与人工复核样本，不是先训练一个更复杂的模型。</w:t>
      </w:r>
    </w:p>
    <w:p>
      <w:pPr>
        <w:pStyle w:val="Heading3"/>
      </w:pPr>
      <w:bookmarkStart w:id="52" w:name="第二阶段把组合证据接入复评"/>
      <w:r>
        <w:t xml:space="preserve">10.2 第二阶段：把组合证据接入复评</w:t>
      </w:r>
      <w:bookmarkEnd w:id="52"/>
    </w:p>
    <w:p>
      <w:pPr>
        <w:pStyle w:val="FirstParagraph"/>
      </w:pPr>
      <w:r>
        <w:t xml:space="preserve">在有数据和授权的试点范围内，比较规则基线、规则加两两关联、规则加背景组合分析三种方案。小规模范围可做充分组合核验，以测量快速扫描漏掉多少；大规模范围明确搜索覆盖和不确定性。对具体发布集合及产品做措施前后比较。</w:t>
      </w:r>
    </w:p>
    <w:p>
      <w:pPr>
        <w:pStyle w:val="Heading3"/>
      </w:pPr>
      <w:bookmarkStart w:id="53" w:name="第三阶段策略与持续治理"/>
      <w:r>
        <w:t xml:space="preserve">10.3 第三阶段：策略与持续治理</w:t>
      </w:r>
      <w:bookmarkEnd w:id="53"/>
    </w:p>
    <w:p>
      <w:pPr>
        <w:pStyle w:val="FirstParagraph"/>
      </w:pPr>
      <w:r>
        <w:t xml:space="preserve">把通过验证的措施接入审批、目录和控制系统，跟踪动态事件。需要时比较枚举/规则策略与 GRPO，衡量其是否在相同约束下提高使用价值或降低剩余风险。</w:t>
      </w:r>
    </w:p>
    <w:p>
      <w:pPr>
        <w:pStyle w:val="Heading3"/>
      </w:pPr>
      <w:bookmarkStart w:id="54" w:name="验收指标应对应业务问题"/>
      <w:r>
        <w:t xml:space="preserve">10.4 验收指标应对应业务问题</w:t>
      </w:r>
      <w:bookmarkEnd w:id="54"/>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6939"/>
      </w:tblGrid>
      <w:tr>
        <w:trPr>
          <w:cantSplit/>
          <w:tblHeader/>
        </w:trPr>
        <w:tc>
          <w:tcPr>
            <w:tcW w:type="dxa" w:w="2699"/>
            <w:shd w:fill="E8F0F5"/>
          </w:tcPr>
          <w:p>
            <w:pPr>
              <w:pStyle w:val="Compact"/>
              <w:keepNext w:val="0"/>
              <w:spacing w:after="60" w:before="60" w:line="264" w:lineRule="auto"/>
              <w:jc w:val="left"/>
            </w:pPr>
            <w:r>
              <w:rPr>
                <w:sz w:val="18"/>
              </w:rPr>
              <w:t xml:space="preserve">目标</w:t>
            </w:r>
          </w:p>
        </w:tc>
        <w:tc>
          <w:tcPr>
            <w:tcW w:type="dxa" w:w="6939"/>
            <w:shd w:fill="E8F0F5"/>
          </w:tcPr>
          <w:p>
            <w:pPr>
              <w:pStyle w:val="Compact"/>
              <w:keepNext w:val="0"/>
              <w:spacing w:after="60" w:before="60" w:line="264" w:lineRule="auto"/>
              <w:jc w:val="left"/>
            </w:pPr>
            <w:r>
              <w:rPr>
                <w:sz w:val="18"/>
              </w:rPr>
              <w:t xml:space="preserve">建议指标</w:t>
            </w:r>
          </w:p>
        </w:tc>
      </w:tr>
      <w:tr>
        <w:trPr>
          <w:cantSplit/>
        </w:trPr>
        <w:tc>
          <w:tcPr>
            <w:tcW w:type="dxa" w:w="2699"/>
          </w:tcPr>
          <w:p>
            <w:pPr>
              <w:pStyle w:val="Compact"/>
              <w:keepNext w:val="0"/>
              <w:spacing w:after="60" w:before="60" w:line="264" w:lineRule="auto"/>
              <w:jc w:val="left"/>
            </w:pPr>
            <w:r>
              <w:rPr>
                <w:sz w:val="18"/>
              </w:rPr>
              <w:t xml:space="preserve">规则可用</w:t>
            </w:r>
          </w:p>
        </w:tc>
        <w:tc>
          <w:tcPr>
            <w:tcW w:type="dxa" w:w="6939"/>
          </w:tcPr>
          <w:p>
            <w:pPr>
              <w:pStyle w:val="Compact"/>
              <w:keepNext w:val="0"/>
              <w:spacing w:after="60" w:before="60" w:line="264" w:lineRule="auto"/>
              <w:jc w:val="left"/>
            </w:pPr>
            <w:r>
              <w:rPr>
                <w:sz w:val="18"/>
              </w:rPr>
              <w:t xml:space="preserve">条件、例外、版本及来源抽取正确率；关键漏项数；人工审校通过率</w:t>
            </w:r>
          </w:p>
        </w:tc>
      </w:tr>
      <w:tr>
        <w:trPr>
          <w:cantSplit/>
        </w:trPr>
        <w:tc>
          <w:tcPr>
            <w:tcW w:type="dxa" w:w="2699"/>
          </w:tcPr>
          <w:p>
            <w:pPr>
              <w:pStyle w:val="Compact"/>
              <w:keepNext w:val="0"/>
              <w:spacing w:after="60" w:before="60" w:line="264" w:lineRule="auto"/>
              <w:jc w:val="left"/>
            </w:pPr>
            <w:r>
              <w:rPr>
                <w:sz w:val="18"/>
              </w:rPr>
              <w:t xml:space="preserve">分类分级可解释</w:t>
            </w:r>
          </w:p>
        </w:tc>
        <w:tc>
          <w:tcPr>
            <w:tcW w:type="dxa" w:w="6939"/>
          </w:tcPr>
          <w:p>
            <w:pPr>
              <w:pStyle w:val="Compact"/>
              <w:keepNext w:val="0"/>
              <w:spacing w:after="60" w:before="60" w:line="264" w:lineRule="auto"/>
              <w:jc w:val="left"/>
            </w:pPr>
            <w:r>
              <w:rPr>
                <w:sz w:val="18"/>
              </w:rPr>
              <w:t xml:space="preserve">人工确认样本上的一致率；高影响漏判数；依据完整率；未决冲突数</w:t>
            </w:r>
          </w:p>
        </w:tc>
      </w:tr>
      <w:tr>
        <w:trPr>
          <w:cantSplit/>
        </w:trPr>
        <w:tc>
          <w:tcPr>
            <w:tcW w:type="dxa" w:w="2699"/>
          </w:tcPr>
          <w:p>
            <w:pPr>
              <w:pStyle w:val="Compact"/>
              <w:keepNext w:val="0"/>
              <w:spacing w:after="60" w:before="60" w:line="264" w:lineRule="auto"/>
              <w:jc w:val="left"/>
            </w:pPr>
            <w:r>
              <w:rPr>
                <w:sz w:val="18"/>
              </w:rPr>
              <w:t xml:space="preserve">组合分析有效</w:t>
            </w:r>
          </w:p>
        </w:tc>
        <w:tc>
          <w:tcPr>
            <w:tcW w:type="dxa" w:w="6939"/>
          </w:tcPr>
          <w:p>
            <w:pPr>
              <w:pStyle w:val="Compact"/>
              <w:keepNext w:val="0"/>
              <w:spacing w:after="60" w:before="60" w:line="264" w:lineRule="auto"/>
              <w:jc w:val="left"/>
            </w:pPr>
            <w:r>
              <w:rPr>
                <w:sz w:val="18"/>
              </w:rPr>
              <w:t xml:space="preserve">已核验范围的高风险组合召回、误报、边际误差、复核成本与时延</w:t>
            </w:r>
          </w:p>
        </w:tc>
      </w:tr>
      <w:tr>
        <w:trPr>
          <w:cantSplit/>
        </w:trPr>
        <w:tc>
          <w:tcPr>
            <w:tcW w:type="dxa" w:w="2699"/>
          </w:tcPr>
          <w:p>
            <w:pPr>
              <w:pStyle w:val="Compact"/>
              <w:keepNext w:val="0"/>
              <w:spacing w:after="60" w:before="60" w:line="264" w:lineRule="auto"/>
              <w:jc w:val="left"/>
            </w:pPr>
            <w:r>
              <w:rPr>
                <w:sz w:val="18"/>
              </w:rPr>
              <w:t xml:space="preserve">处置确实有效</w:t>
            </w:r>
          </w:p>
        </w:tc>
        <w:tc>
          <w:tcPr>
            <w:tcW w:type="dxa" w:w="6939"/>
          </w:tcPr>
          <w:p>
            <w:pPr>
              <w:pStyle w:val="Compact"/>
              <w:keepNext w:val="0"/>
              <w:spacing w:after="60" w:before="60" w:line="264" w:lineRule="auto"/>
              <w:jc w:val="left"/>
            </w:pPr>
            <w:r>
              <w:rPr>
                <w:sz w:val="18"/>
              </w:rPr>
              <w:t xml:space="preserve">实际集合的措施前后风险、业务可用性、应披露内容满足情况</w:t>
            </w:r>
          </w:p>
        </w:tc>
      </w:tr>
      <w:tr>
        <w:trPr>
          <w:cantSplit/>
        </w:trPr>
        <w:tc>
          <w:tcPr>
            <w:tcW w:type="dxa" w:w="2699"/>
          </w:tcPr>
          <w:p>
            <w:pPr>
              <w:pStyle w:val="Compact"/>
              <w:keepNext w:val="0"/>
              <w:spacing w:after="60" w:before="60" w:line="264" w:lineRule="auto"/>
              <w:jc w:val="left"/>
            </w:pPr>
            <w:r>
              <w:rPr>
                <w:sz w:val="18"/>
              </w:rPr>
              <w:t xml:space="preserve">管理闭环可执行</w:t>
            </w:r>
          </w:p>
        </w:tc>
        <w:tc>
          <w:tcPr>
            <w:tcW w:type="dxa" w:w="6939"/>
          </w:tcPr>
          <w:p>
            <w:pPr>
              <w:pStyle w:val="Compact"/>
              <w:keepNext w:val="0"/>
              <w:spacing w:after="60" w:before="60" w:line="264" w:lineRule="auto"/>
              <w:jc w:val="left"/>
            </w:pPr>
            <w:r>
              <w:rPr>
                <w:sz w:val="18"/>
              </w:rPr>
              <w:t xml:space="preserve">变更审批完整率、目录/策略一致率、复评响应时间、审计证据完整率</w:t>
            </w:r>
          </w:p>
        </w:tc>
      </w:tr>
    </w:tbl>
    <w:p>
      <w:pPr>
        <w:pStyle w:val="BodyText"/>
      </w:pPr>
      <w:r>
        <w:t xml:space="preserve">以上是建议指标，不是已达到的数值或预先承诺的验收阈值。现有研究中的统计结果可以证明方法值得试点，不能代替南网数据上的验证。</w:t>
      </w:r>
    </w:p>
    <w:p>
      <w:pPr>
        <w:pStyle w:val="Heading2"/>
      </w:pPr>
      <w:bookmarkStart w:id="55" w:name="汇报时建议这样讲"/>
      <w:r>
        <w:t xml:space="preserve">11. 汇报时建议这样讲</w:t>
      </w:r>
      <w:bookmarkEnd w:id="55"/>
    </w:p>
    <w:p>
      <w:pPr>
        <w:pStyle w:val="BlockText"/>
      </w:pPr>
      <w:r>
        <w:t xml:space="preserve">南网已经规定了数据如何分类、如何分级、哪些资源可以面向哪些对象开放，以及开放前需要检查哪些风险。我们首先将这些规定转成可追溯的规则和数据目录。师兄的工作提供了知识抽取、关联发现和动态优化基础；在此基础上，我们补充背景组合推断评估，回答单个字段看不出来、但与既有数据结合后是否会暴露受保护信息。评估结果形成等级复核与具体保护建议，经审批后落实到目录和开放策略，并随数据、主体和规则变化持续复评。这样，现有制度、算法证据和工程管控就能在一套流程中衔接起来。</w:t>
      </w:r>
    </w:p>
    <w:p>
      <w:pPr>
        <w:pStyle w:val="FirstParagraph"/>
      </w:pPr>
      <w:r>
        <w:t xml:space="preserve">技术贡献宜表述为三点：</w:t>
      </w:r>
      <w:r>
        <w:rPr>
          <w:b/>
        </w:rPr>
        <w:t xml:space="preserve">规则与业务数据对齐、背景组合风险可验证、风险证据与分级/开放流程联动。</w:t>
      </w:r>
      <w:r>
        <w:t xml:space="preserve"> </w:t>
      </w:r>
      <w:r>
        <w:t xml:space="preserve">各算法服务于这三件事，避免将方案写成互不相连的算法清单。</w:t>
      </w:r>
    </w:p>
    <w:p>
      <w:pPr>
        <w:pStyle w:val="Heading2"/>
      </w:pPr>
      <w:bookmarkStart w:id="56" w:name="材料与完成边界"/>
      <w:r>
        <w:t xml:space="preserve">12. 材料与完成边界</w:t>
      </w:r>
      <w:bookmarkEnd w:id="56"/>
    </w:p>
    <w:p>
      <w:pPr>
        <w:pStyle w:val="FirstParagraph"/>
      </w:pPr>
      <w:r>
        <w:t xml:space="preserve">论文 3.1、3.4.2、第 4 章的逐节解释及方法边界见《师兄论文指定章节梳理》；南网 9 份材料的逐份摘要、完整矩阵、目录统计和版本差异见《南网文件逐份解读》；来源与定位见《来源索引》。本文提出的是体系方案及落地接口，本次未对南网实际业务数据训练模型、给出真实定级或实施开放控制。</w:t>
      </w:r>
    </w:p>
    <w:p>
      <w:pPr>
        <w:pStyle w:val="Heading1"/>
        <w:pageBreakBefore/>
      </w:pPr>
      <w:bookmarkStart w:id="57" w:name="附录一师兄论文指定章节梳理"/>
      <w:r>
        <w:t xml:space="preserve">附录一：师兄论文指定章节梳理</w:t>
      </w:r>
      <w:bookmarkEnd w:id="57"/>
    </w:p>
    <w:p>
      <w:pPr>
        <w:pStyle w:val="FirstParagraph"/>
      </w:pPr>
      <w:r>
        <w:t xml:space="preserve">分析对象：邢之熠《面向推断泄露威胁的电力数据风险识别与分级治理方法研究》所给 DOCX，重点为 3.1、3.4.2 和第 4 章。以下</w:t>
      </w:r>
      <w:r>
        <w:t xml:space="preserve">“</w:t>
      </w:r>
      <w:r>
        <w:t xml:space="preserve">论文报告</w:t>
      </w:r>
      <w:r>
        <w:t xml:space="preserve">”</w:t>
      </w:r>
      <w:r>
        <w:t xml:space="preserve">指原文陈述，本次未重新运行其模型或核验外部部署效果。来源编号 S01，详细定位见文末。</w:t>
      </w:r>
    </w:p>
    <w:p>
      <w:pPr>
        <w:pStyle w:val="Heading2"/>
      </w:pPr>
      <w:bookmarkStart w:id="58" w:name="先把这几个章节的关系讲清楚"/>
      <w:r>
        <w:t xml:space="preserve">1. 先把这几个章节的关系讲清楚</w:t>
      </w:r>
      <w:bookmarkEnd w:id="58"/>
    </w:p>
    <w:p>
      <w:pPr>
        <w:pStyle w:val="FirstParagraph"/>
      </w:pPr>
      <w:r>
        <w:t xml:space="preserve">论文的主线可以概括为：</w:t>
      </w:r>
      <w:r>
        <w:rPr>
          <w:b/>
        </w:rPr>
        <w:t xml:space="preserve">从制度和业务文档建立初始分级依据，从数据关联中发现潜在泄露风险，再结合安全收益与使用成本动态调整防护。</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964"/>
        <w:gridCol w:w="1735"/>
        <w:gridCol w:w="2313"/>
        <w:gridCol w:w="2313"/>
        <w:gridCol w:w="2313"/>
      </w:tblGrid>
      <w:tr>
        <w:trPr>
          <w:cantSplit/>
          <w:tblHeader/>
        </w:trPr>
        <w:tc>
          <w:tcPr>
            <w:tcW w:type="dxa" w:w="964"/>
            <w:shd w:fill="E8F0F5"/>
          </w:tcPr>
          <w:p>
            <w:pPr>
              <w:pStyle w:val="Compact"/>
              <w:keepNext w:val="0"/>
              <w:spacing w:after="60" w:before="60" w:line="264" w:lineRule="auto"/>
              <w:jc w:val="left"/>
            </w:pPr>
            <w:r>
              <w:rPr>
                <w:sz w:val="18"/>
              </w:rPr>
              <w:t xml:space="preserve">章节</w:t>
            </w:r>
          </w:p>
        </w:tc>
        <w:tc>
          <w:tcPr>
            <w:tcW w:type="dxa" w:w="1735"/>
            <w:shd w:fill="E8F0F5"/>
          </w:tcPr>
          <w:p>
            <w:pPr>
              <w:pStyle w:val="Compact"/>
              <w:keepNext w:val="0"/>
              <w:spacing w:after="60" w:before="60" w:line="264" w:lineRule="auto"/>
              <w:jc w:val="left"/>
            </w:pPr>
            <w:r>
              <w:rPr>
                <w:sz w:val="18"/>
              </w:rPr>
              <w:t xml:space="preserve">实际解决的问题</w:t>
            </w:r>
          </w:p>
        </w:tc>
        <w:tc>
          <w:tcPr>
            <w:tcW w:type="dxa" w:w="2313"/>
            <w:shd w:fill="E8F0F5"/>
          </w:tcPr>
          <w:p>
            <w:pPr>
              <w:pStyle w:val="Compact"/>
              <w:keepNext w:val="0"/>
              <w:spacing w:after="60" w:before="60" w:line="264" w:lineRule="auto"/>
              <w:jc w:val="left"/>
            </w:pPr>
            <w:r>
              <w:rPr>
                <w:sz w:val="18"/>
              </w:rPr>
              <w:t xml:space="preserve">输入</w:t>
            </w:r>
          </w:p>
        </w:tc>
        <w:tc>
          <w:tcPr>
            <w:tcW w:type="dxa" w:w="2313"/>
            <w:shd w:fill="E8F0F5"/>
          </w:tcPr>
          <w:p>
            <w:pPr>
              <w:pStyle w:val="Compact"/>
              <w:keepNext w:val="0"/>
              <w:spacing w:after="60" w:before="60" w:line="264" w:lineRule="auto"/>
              <w:jc w:val="left"/>
            </w:pPr>
            <w:r>
              <w:rPr>
                <w:sz w:val="18"/>
              </w:rPr>
              <w:t xml:space="preserve">方法</w:t>
            </w:r>
          </w:p>
        </w:tc>
        <w:tc>
          <w:tcPr>
            <w:tcW w:type="dxa" w:w="2313"/>
            <w:shd w:fill="E8F0F5"/>
          </w:tcPr>
          <w:p>
            <w:pPr>
              <w:pStyle w:val="Compact"/>
              <w:keepNext w:val="0"/>
              <w:spacing w:after="60" w:before="60" w:line="264" w:lineRule="auto"/>
              <w:jc w:val="left"/>
            </w:pPr>
            <w:r>
              <w:rPr>
                <w:sz w:val="18"/>
              </w:rPr>
              <w:t xml:space="preserve">输出及作用</w:t>
            </w:r>
          </w:p>
        </w:tc>
      </w:tr>
      <w:tr>
        <w:trPr>
          <w:cantSplit/>
        </w:trPr>
        <w:tc>
          <w:tcPr>
            <w:tcW w:type="dxa" w:w="964"/>
          </w:tcPr>
          <w:p>
            <w:pPr>
              <w:pStyle w:val="Compact"/>
              <w:keepNext w:val="0"/>
              <w:spacing w:after="60" w:before="60" w:line="264" w:lineRule="auto"/>
              <w:jc w:val="left"/>
            </w:pPr>
            <w:r>
              <w:rPr>
                <w:sz w:val="18"/>
              </w:rPr>
              <w:t xml:space="preserve">3.1</w:t>
            </w:r>
          </w:p>
        </w:tc>
        <w:tc>
          <w:tcPr>
            <w:tcW w:type="dxa" w:w="1735"/>
          </w:tcPr>
          <w:p>
            <w:pPr>
              <w:pStyle w:val="Compact"/>
              <w:keepNext w:val="0"/>
              <w:spacing w:after="60" w:before="60" w:line="264" w:lineRule="auto"/>
              <w:jc w:val="left"/>
            </w:pPr>
            <w:r>
              <w:rPr>
                <w:sz w:val="18"/>
              </w:rPr>
              <w:t xml:space="preserve">哪些数据之间可能存在推断关系？</w:t>
            </w:r>
          </w:p>
        </w:tc>
        <w:tc>
          <w:tcPr>
            <w:tcW w:type="dxa" w:w="2313"/>
          </w:tcPr>
          <w:p>
            <w:pPr>
              <w:pStyle w:val="Compact"/>
              <w:keepNext w:val="0"/>
              <w:spacing w:after="60" w:before="60" w:line="264" w:lineRule="auto"/>
              <w:jc w:val="left"/>
            </w:pPr>
            <w:r>
              <w:rPr>
                <w:sz w:val="18"/>
              </w:rPr>
              <w:t xml:space="preserve">电力运行及市场字段、物理与业务先验</w:t>
            </w:r>
          </w:p>
        </w:tc>
        <w:tc>
          <w:tcPr>
            <w:tcW w:type="dxa" w:w="2313"/>
          </w:tcPr>
          <w:p>
            <w:pPr>
              <w:pStyle w:val="Compact"/>
              <w:keepNext w:val="0"/>
              <w:spacing w:after="60" w:before="60" w:line="264" w:lineRule="auto"/>
              <w:jc w:val="left"/>
            </w:pPr>
            <w:r>
              <w:rPr>
                <w:sz w:val="18"/>
              </w:rPr>
              <w:t xml:space="preserve">信息论解释；Pearson、Spearman、MIC 多度量；关联图及路径评分</w:t>
            </w:r>
          </w:p>
        </w:tc>
        <w:tc>
          <w:tcPr>
            <w:tcW w:type="dxa" w:w="2313"/>
          </w:tcPr>
          <w:p>
            <w:pPr>
              <w:pStyle w:val="Compact"/>
              <w:keepNext w:val="0"/>
              <w:spacing w:after="60" w:before="60" w:line="264" w:lineRule="auto"/>
              <w:jc w:val="left"/>
            </w:pPr>
            <w:r>
              <w:rPr>
                <w:sz w:val="18"/>
              </w:rPr>
              <w:t xml:space="preserve">候选关联边、路径和先验强度，供后续验证使用</w:t>
            </w:r>
          </w:p>
        </w:tc>
      </w:tr>
      <w:tr>
        <w:trPr>
          <w:cantSplit/>
        </w:trPr>
        <w:tc>
          <w:tcPr>
            <w:tcW w:type="dxa" w:w="964"/>
          </w:tcPr>
          <w:p>
            <w:pPr>
              <w:pStyle w:val="Compact"/>
              <w:keepNext w:val="0"/>
              <w:spacing w:after="60" w:before="60" w:line="264" w:lineRule="auto"/>
              <w:jc w:val="left"/>
            </w:pPr>
            <w:r>
              <w:rPr>
                <w:sz w:val="18"/>
              </w:rPr>
              <w:t xml:space="preserve">3.4.2</w:t>
            </w:r>
          </w:p>
        </w:tc>
        <w:tc>
          <w:tcPr>
            <w:tcW w:type="dxa" w:w="1735"/>
          </w:tcPr>
          <w:p>
            <w:pPr>
              <w:pStyle w:val="Compact"/>
              <w:keepNext w:val="0"/>
              <w:spacing w:after="60" w:before="60" w:line="264" w:lineRule="auto"/>
              <w:jc w:val="left"/>
            </w:pPr>
            <w:r>
              <w:rPr>
                <w:sz w:val="18"/>
              </w:rPr>
              <w:t xml:space="preserve">上述关联发现方法在样本中是否能找到关系？</w:t>
            </w:r>
          </w:p>
        </w:tc>
        <w:tc>
          <w:tcPr>
            <w:tcW w:type="dxa" w:w="2313"/>
          </w:tcPr>
          <w:p>
            <w:pPr>
              <w:pStyle w:val="Compact"/>
              <w:keepNext w:val="0"/>
              <w:spacing w:after="60" w:before="60" w:line="264" w:lineRule="auto"/>
              <w:jc w:val="left"/>
            </w:pPr>
            <w:r>
              <w:rPr>
                <w:sz w:val="18"/>
              </w:rPr>
              <w:t xml:space="preserve">仿真数据和 PJM 数据</w:t>
            </w:r>
          </w:p>
        </w:tc>
        <w:tc>
          <w:tcPr>
            <w:tcW w:type="dxa" w:w="2313"/>
          </w:tcPr>
          <w:p>
            <w:pPr>
              <w:pStyle w:val="Compact"/>
              <w:keepNext w:val="0"/>
              <w:spacing w:after="60" w:before="60" w:line="264" w:lineRule="auto"/>
              <w:jc w:val="left"/>
            </w:pPr>
            <w:r>
              <w:rPr>
                <w:sz w:val="18"/>
              </w:rPr>
              <w:t xml:space="preserve">不同关联指标的矩阵及典型字段对比较</w:t>
            </w:r>
          </w:p>
        </w:tc>
        <w:tc>
          <w:tcPr>
            <w:tcW w:type="dxa" w:w="2313"/>
          </w:tcPr>
          <w:p>
            <w:pPr>
              <w:pStyle w:val="Compact"/>
              <w:keepNext w:val="0"/>
              <w:spacing w:after="60" w:before="60" w:line="264" w:lineRule="auto"/>
              <w:jc w:val="left"/>
            </w:pPr>
            <w:r>
              <w:rPr>
                <w:sz w:val="18"/>
              </w:rPr>
              <w:t xml:space="preserve">对候选发现能力的实验证据</w:t>
            </w:r>
          </w:p>
        </w:tc>
      </w:tr>
      <w:tr>
        <w:trPr>
          <w:cantSplit/>
        </w:trPr>
        <w:tc>
          <w:tcPr>
            <w:tcW w:type="dxa" w:w="964"/>
          </w:tcPr>
          <w:p>
            <w:pPr>
              <w:pStyle w:val="Compact"/>
              <w:keepNext w:val="0"/>
              <w:spacing w:after="60" w:before="60" w:line="264" w:lineRule="auto"/>
              <w:jc w:val="left"/>
            </w:pPr>
            <w:r>
              <w:rPr>
                <w:sz w:val="18"/>
              </w:rPr>
              <w:t xml:space="preserve">4.1</w:t>
            </w:r>
          </w:p>
        </w:tc>
        <w:tc>
          <w:tcPr>
            <w:tcW w:type="dxa" w:w="1735"/>
          </w:tcPr>
          <w:p>
            <w:pPr>
              <w:pStyle w:val="Compact"/>
              <w:keepNext w:val="0"/>
              <w:spacing w:after="60" w:before="60" w:line="264" w:lineRule="auto"/>
              <w:jc w:val="left"/>
            </w:pPr>
            <w:r>
              <w:rPr>
                <w:sz w:val="18"/>
              </w:rPr>
              <w:t xml:space="preserve">如何把文档知识和对象字段转成初始等级？</w:t>
            </w:r>
          </w:p>
        </w:tc>
        <w:tc>
          <w:tcPr>
            <w:tcW w:type="dxa" w:w="2313"/>
          </w:tcPr>
          <w:p>
            <w:pPr>
              <w:pStyle w:val="Compact"/>
              <w:keepNext w:val="0"/>
              <w:spacing w:after="60" w:before="60" w:line="264" w:lineRule="auto"/>
              <w:jc w:val="left"/>
            </w:pPr>
            <w:r>
              <w:rPr>
                <w:sz w:val="18"/>
              </w:rPr>
              <w:t xml:space="preserve">规范、工程文档、字段规则和对象数据</w:t>
            </w:r>
          </w:p>
        </w:tc>
        <w:tc>
          <w:tcPr>
            <w:tcW w:type="dxa" w:w="2313"/>
          </w:tcPr>
          <w:p>
            <w:pPr>
              <w:pStyle w:val="Compact"/>
              <w:keepNext w:val="0"/>
              <w:spacing w:after="60" w:before="60" w:line="264" w:lineRule="auto"/>
              <w:jc w:val="left"/>
            </w:pPr>
            <w:r>
              <w:rPr>
                <w:sz w:val="18"/>
              </w:rPr>
              <w:t xml:space="preserve">大模型与 RAG；自编码器；FP-Growth；得分映射</w:t>
            </w:r>
          </w:p>
        </w:tc>
        <w:tc>
          <w:tcPr>
            <w:tcW w:type="dxa" w:w="2313"/>
          </w:tcPr>
          <w:p>
            <w:pPr>
              <w:pStyle w:val="Compact"/>
              <w:keepNext w:val="0"/>
              <w:spacing w:after="60" w:before="60" w:line="264" w:lineRule="auto"/>
              <w:jc w:val="left"/>
            </w:pPr>
            <w:r>
              <w:rPr>
                <w:sz w:val="18"/>
              </w:rPr>
              <w:t xml:space="preserve">结构化规则、敏感字段模式、对象级初始等级</w:t>
            </w:r>
          </w:p>
        </w:tc>
      </w:tr>
      <w:tr>
        <w:trPr>
          <w:cantSplit/>
        </w:trPr>
        <w:tc>
          <w:tcPr>
            <w:tcW w:type="dxa" w:w="964"/>
          </w:tcPr>
          <w:p>
            <w:pPr>
              <w:pStyle w:val="Compact"/>
              <w:keepNext w:val="0"/>
              <w:spacing w:after="60" w:before="60" w:line="264" w:lineRule="auto"/>
              <w:jc w:val="left"/>
            </w:pPr>
            <w:r>
              <w:rPr>
                <w:sz w:val="18"/>
              </w:rPr>
              <w:t xml:space="preserve">4.2</w:t>
            </w:r>
          </w:p>
        </w:tc>
        <w:tc>
          <w:tcPr>
            <w:tcW w:type="dxa" w:w="1735"/>
          </w:tcPr>
          <w:p>
            <w:pPr>
              <w:pStyle w:val="Compact"/>
              <w:keepNext w:val="0"/>
              <w:spacing w:after="60" w:before="60" w:line="264" w:lineRule="auto"/>
              <w:jc w:val="left"/>
            </w:pPr>
            <w:r>
              <w:rPr>
                <w:sz w:val="18"/>
              </w:rPr>
              <w:t xml:space="preserve">风险变化后如何调整等级？</w:t>
            </w:r>
          </w:p>
        </w:tc>
        <w:tc>
          <w:tcPr>
            <w:tcW w:type="dxa" w:w="2313"/>
          </w:tcPr>
          <w:p>
            <w:pPr>
              <w:pStyle w:val="Compact"/>
              <w:keepNext w:val="0"/>
              <w:spacing w:after="60" w:before="60" w:line="264" w:lineRule="auto"/>
              <w:jc w:val="left"/>
            </w:pPr>
            <w:r>
              <w:rPr>
                <w:sz w:val="18"/>
              </w:rPr>
              <w:t xml:space="preserve">字段风险、物理上下文、最低等级要求和成本</w:t>
            </w:r>
          </w:p>
        </w:tc>
        <w:tc>
          <w:tcPr>
            <w:tcW w:type="dxa" w:w="2313"/>
          </w:tcPr>
          <w:p>
            <w:pPr>
              <w:pStyle w:val="Compact"/>
              <w:keepNext w:val="0"/>
              <w:spacing w:after="60" w:before="60" w:line="264" w:lineRule="auto"/>
              <w:jc w:val="left"/>
            </w:pPr>
            <w:r>
              <w:rPr>
                <w:sz w:val="18"/>
              </w:rPr>
              <w:t xml:space="preserve">状态—动作—效用建模；增强型 GRPO</w:t>
            </w:r>
          </w:p>
        </w:tc>
        <w:tc>
          <w:tcPr>
            <w:tcW w:type="dxa" w:w="2313"/>
          </w:tcPr>
          <w:p>
            <w:pPr>
              <w:pStyle w:val="Compact"/>
              <w:keepNext w:val="0"/>
              <w:spacing w:after="60" w:before="60" w:line="264" w:lineRule="auto"/>
              <w:jc w:val="left"/>
            </w:pPr>
            <w:r>
              <w:rPr>
                <w:sz w:val="18"/>
              </w:rPr>
              <w:t xml:space="preserve">字段的等级动作及调整策略</w:t>
            </w:r>
          </w:p>
        </w:tc>
      </w:tr>
      <w:tr>
        <w:trPr>
          <w:cantSplit/>
        </w:trPr>
        <w:tc>
          <w:tcPr>
            <w:tcW w:type="dxa" w:w="964"/>
          </w:tcPr>
          <w:p>
            <w:pPr>
              <w:pStyle w:val="Compact"/>
              <w:keepNext w:val="0"/>
              <w:spacing w:after="60" w:before="60" w:line="264" w:lineRule="auto"/>
              <w:jc w:val="left"/>
            </w:pPr>
            <w:r>
              <w:rPr>
                <w:sz w:val="18"/>
              </w:rPr>
              <w:t xml:space="preserve">4.3</w:t>
            </w:r>
          </w:p>
        </w:tc>
        <w:tc>
          <w:tcPr>
            <w:tcW w:type="dxa" w:w="1735"/>
          </w:tcPr>
          <w:p>
            <w:pPr>
              <w:pStyle w:val="Compact"/>
              <w:keepNext w:val="0"/>
              <w:spacing w:after="60" w:before="60" w:line="264" w:lineRule="auto"/>
              <w:jc w:val="left"/>
            </w:pPr>
            <w:r>
              <w:rPr>
                <w:sz w:val="18"/>
              </w:rPr>
              <w:t xml:space="preserve">规则抽取、初步标定和动态调整是否可行？</w:t>
            </w:r>
          </w:p>
        </w:tc>
        <w:tc>
          <w:tcPr>
            <w:tcW w:type="dxa" w:w="2313"/>
          </w:tcPr>
          <w:p>
            <w:pPr>
              <w:pStyle w:val="Compact"/>
              <w:keepNext w:val="0"/>
              <w:spacing w:after="60" w:before="60" w:line="264" w:lineRule="auto"/>
              <w:jc w:val="left"/>
            </w:pPr>
            <w:r>
              <w:rPr>
                <w:sz w:val="18"/>
              </w:rPr>
              <w:t xml:space="preserve">小规模抽取/模式样例和 PJM 动态环境</w:t>
            </w:r>
          </w:p>
        </w:tc>
        <w:tc>
          <w:tcPr>
            <w:tcW w:type="dxa" w:w="2313"/>
          </w:tcPr>
          <w:p>
            <w:pPr>
              <w:pStyle w:val="Compact"/>
              <w:keepNext w:val="0"/>
              <w:spacing w:after="60" w:before="60" w:line="264" w:lineRule="auto"/>
              <w:jc w:val="left"/>
            </w:pPr>
            <w:r>
              <w:rPr>
                <w:sz w:val="18"/>
              </w:rPr>
              <w:t xml:space="preserve">抽取指标、模式结果、算法效用比较</w:t>
            </w:r>
          </w:p>
        </w:tc>
        <w:tc>
          <w:tcPr>
            <w:tcW w:type="dxa" w:w="2313"/>
          </w:tcPr>
          <w:p>
            <w:pPr>
              <w:pStyle w:val="Compact"/>
              <w:keepNext w:val="0"/>
              <w:spacing w:after="60" w:before="60" w:line="264" w:lineRule="auto"/>
              <w:jc w:val="left"/>
            </w:pPr>
            <w:r>
              <w:rPr>
                <w:sz w:val="18"/>
              </w:rPr>
              <w:t xml:space="preserve">分模块实验，而非一套已对齐南网五级制的验收结果</w:t>
            </w:r>
          </w:p>
        </w:tc>
      </w:tr>
    </w:tbl>
    <w:p>
      <w:pPr>
        <w:pStyle w:val="BodyText"/>
      </w:pPr>
      <w:r>
        <w:t xml:space="preserve">3.1 与 3.4.2 本身不是完整分类分级算法。它们为第 4 章提供关联风险信息。第 4 章也主要研究</w:t>
      </w:r>
      <w:r>
        <w:t xml:space="preserve">“</w:t>
      </w:r>
      <w:r>
        <w:t xml:space="preserve">分级</w:t>
      </w:r>
      <w:r>
        <w:t xml:space="preserve">”</w:t>
      </w:r>
      <w:r>
        <w:t xml:space="preserve">，业务分类体系的制定和跨层级分类编码，需要接入南网既有业务架构。</w:t>
      </w:r>
    </w:p>
    <w:p>
      <w:pPr>
        <w:pStyle w:val="Heading2"/>
      </w:pPr>
      <w:bookmarkStart w:id="59" w:name="第-3.1-节由关联发现候选风险"/>
      <w:r>
        <w:t xml:space="preserve">2. 第 3.1 节：由关联发现候选风险</w:t>
      </w:r>
      <w:bookmarkEnd w:id="59"/>
    </w:p>
    <w:p>
      <w:pPr>
        <w:pStyle w:val="Heading3"/>
      </w:pPr>
      <w:bookmarkStart w:id="60" w:name="为什么低等级数据也值得检查"/>
      <w:r>
        <w:t xml:space="preserve">2.1 为什么低等级数据也值得检查</w:t>
      </w:r>
      <w:bookmarkEnd w:id="60"/>
    </w:p>
    <w:p>
      <w:pPr>
        <w:pStyle w:val="FirstParagraph"/>
      </w:pPr>
      <w:r>
        <w:t xml:space="preserve">电力字段由物理规律和业务流程共同生成。一个字段的直接含义可能并不敏感，但它携带的信息可能有助于恢复其他受保护信息。因此，论文先从</w:t>
      </w:r>
      <w:r>
        <w:t xml:space="preserve">“</w:t>
      </w:r>
      <w:r>
        <w:t xml:space="preserve">获知一个变量后，另一个变量的不确定性减少了多少</w:t>
      </w:r>
      <w:r>
        <w:t xml:space="preserve">”</w:t>
      </w:r>
      <w:r>
        <w:t xml:space="preserve">解释推断关联，再以费诺不等式讨论离散推断问题中信息量与错误概率的关系。</w:t>
      </w:r>
    </w:p>
    <w:p>
      <w:pPr>
        <w:pStyle w:val="BodyText"/>
      </w:pPr>
      <w:r>
        <w:t xml:space="preserve">这里应保留的思想是：</w:t>
      </w:r>
      <w:r>
        <w:rPr>
          <w:b/>
        </w:rPr>
        <w:t xml:space="preserve">直接敏感性与关联引出的间接风险需要同时考虑。</w:t>
      </w:r>
      <w:r>
        <w:t xml:space="preserve"> </w:t>
      </w:r>
      <w:r>
        <w:t xml:space="preserve">不能把该理论直接改写成</w:t>
      </w:r>
      <w:r>
        <w:t xml:space="preserve">“</w:t>
      </w:r>
      <w:r>
        <w:t xml:space="preserve">相关系数就是泄露概率</w:t>
      </w:r>
      <w:r>
        <w:t xml:space="preserve">”</w:t>
      </w:r>
      <w:r>
        <w:t xml:space="preserve">，也不能把离散化条件下的理论界直接当作连续电力变量的预测精度。[S01，3.1.1，P0511—P0534]</w:t>
      </w:r>
    </w:p>
    <w:p>
      <w:pPr>
        <w:pStyle w:val="Heading3"/>
      </w:pPr>
      <w:bookmarkStart w:id="61" w:name="三种度量分别看什么"/>
      <w:r>
        <w:t xml:space="preserve">2.2 三种度量分别看什么</w:t>
      </w:r>
      <w:bookmarkEnd w:id="61"/>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指标</w:t>
            </w:r>
          </w:p>
        </w:tc>
        <w:tc>
          <w:tcPr>
            <w:tcW w:type="dxa" w:w="4048"/>
            <w:shd w:fill="E8F0F5"/>
          </w:tcPr>
          <w:p>
            <w:pPr>
              <w:pStyle w:val="Compact"/>
              <w:keepNext w:val="0"/>
              <w:spacing w:after="60" w:before="60" w:line="264" w:lineRule="auto"/>
              <w:jc w:val="left"/>
            </w:pPr>
            <w:r>
              <w:rPr>
                <w:sz w:val="18"/>
              </w:rPr>
              <w:t xml:space="preserve">擅长发现的结构</w:t>
            </w:r>
          </w:p>
        </w:tc>
        <w:tc>
          <w:tcPr>
            <w:tcW w:type="dxa" w:w="3470"/>
            <w:shd w:fill="E8F0F5"/>
          </w:tcPr>
          <w:p>
            <w:pPr>
              <w:pStyle w:val="Compact"/>
              <w:keepNext w:val="0"/>
              <w:spacing w:after="60" w:before="60" w:line="264" w:lineRule="auto"/>
              <w:jc w:val="left"/>
            </w:pPr>
            <w:r>
              <w:rPr>
                <w:sz w:val="18"/>
              </w:rPr>
              <w:t xml:space="preserve">在项目中的适当用途</w:t>
            </w:r>
          </w:p>
        </w:tc>
      </w:tr>
      <w:tr>
        <w:trPr>
          <w:cantSplit/>
        </w:trPr>
        <w:tc>
          <w:tcPr>
            <w:tcW w:type="dxa" w:w="2120"/>
          </w:tcPr>
          <w:p>
            <w:pPr>
              <w:pStyle w:val="Compact"/>
              <w:keepNext w:val="0"/>
              <w:spacing w:after="60" w:before="60" w:line="264" w:lineRule="auto"/>
              <w:jc w:val="left"/>
            </w:pPr>
            <w:r>
              <w:rPr>
                <w:sz w:val="18"/>
              </w:rPr>
              <w:t xml:space="preserve">Pearson</w:t>
            </w:r>
          </w:p>
        </w:tc>
        <w:tc>
          <w:tcPr>
            <w:tcW w:type="dxa" w:w="4048"/>
          </w:tcPr>
          <w:p>
            <w:pPr>
              <w:pStyle w:val="Compact"/>
              <w:keepNext w:val="0"/>
              <w:spacing w:after="60" w:before="60" w:line="264" w:lineRule="auto"/>
              <w:jc w:val="left"/>
            </w:pPr>
            <w:r>
              <w:rPr>
                <w:sz w:val="18"/>
              </w:rPr>
              <w:t xml:space="preserve">线性依赖</w:t>
            </w:r>
          </w:p>
        </w:tc>
        <w:tc>
          <w:tcPr>
            <w:tcW w:type="dxa" w:w="3470"/>
          </w:tcPr>
          <w:p>
            <w:pPr>
              <w:pStyle w:val="Compact"/>
              <w:keepNext w:val="0"/>
              <w:spacing w:after="60" w:before="60" w:line="264" w:lineRule="auto"/>
              <w:jc w:val="left"/>
            </w:pPr>
            <w:r>
              <w:rPr>
                <w:sz w:val="18"/>
              </w:rPr>
              <w:t xml:space="preserve">快速筛查、发现线性冗余和近重复字段</w:t>
            </w:r>
          </w:p>
        </w:tc>
      </w:tr>
      <w:tr>
        <w:trPr>
          <w:cantSplit/>
        </w:trPr>
        <w:tc>
          <w:tcPr>
            <w:tcW w:type="dxa" w:w="2120"/>
          </w:tcPr>
          <w:p>
            <w:pPr>
              <w:pStyle w:val="Compact"/>
              <w:keepNext w:val="0"/>
              <w:spacing w:after="60" w:before="60" w:line="264" w:lineRule="auto"/>
              <w:jc w:val="left"/>
            </w:pPr>
            <w:r>
              <w:rPr>
                <w:sz w:val="18"/>
              </w:rPr>
              <w:t xml:space="preserve">Spearman</w:t>
            </w:r>
          </w:p>
        </w:tc>
        <w:tc>
          <w:tcPr>
            <w:tcW w:type="dxa" w:w="4048"/>
          </w:tcPr>
          <w:p>
            <w:pPr>
              <w:pStyle w:val="Compact"/>
              <w:keepNext w:val="0"/>
              <w:spacing w:after="60" w:before="60" w:line="264" w:lineRule="auto"/>
              <w:jc w:val="left"/>
            </w:pPr>
            <w:r>
              <w:rPr>
                <w:sz w:val="18"/>
              </w:rPr>
              <w:t xml:space="preserve">单调依赖</w:t>
            </w:r>
          </w:p>
        </w:tc>
        <w:tc>
          <w:tcPr>
            <w:tcW w:type="dxa" w:w="3470"/>
          </w:tcPr>
          <w:p>
            <w:pPr>
              <w:pStyle w:val="Compact"/>
              <w:keepNext w:val="0"/>
              <w:spacing w:after="60" w:before="60" w:line="264" w:lineRule="auto"/>
              <w:jc w:val="left"/>
            </w:pPr>
            <w:r>
              <w:rPr>
                <w:sz w:val="18"/>
              </w:rPr>
              <w:t xml:space="preserve">补充非线性但单调的关系</w:t>
            </w:r>
          </w:p>
        </w:tc>
      </w:tr>
      <w:tr>
        <w:trPr>
          <w:cantSplit/>
        </w:trPr>
        <w:tc>
          <w:tcPr>
            <w:tcW w:type="dxa" w:w="2120"/>
          </w:tcPr>
          <w:p>
            <w:pPr>
              <w:pStyle w:val="Compact"/>
              <w:keepNext w:val="0"/>
              <w:spacing w:after="60" w:before="60" w:line="264" w:lineRule="auto"/>
              <w:jc w:val="left"/>
            </w:pPr>
            <w:r>
              <w:rPr>
                <w:sz w:val="18"/>
              </w:rPr>
              <w:t xml:space="preserve">MIC</w:t>
            </w:r>
          </w:p>
        </w:tc>
        <w:tc>
          <w:tcPr>
            <w:tcW w:type="dxa" w:w="4048"/>
          </w:tcPr>
          <w:p>
            <w:pPr>
              <w:pStyle w:val="Compact"/>
              <w:keepNext w:val="0"/>
              <w:spacing w:after="60" w:before="60" w:line="264" w:lineRule="auto"/>
              <w:jc w:val="left"/>
            </w:pPr>
            <w:r>
              <w:rPr>
                <w:sz w:val="18"/>
              </w:rPr>
              <w:t xml:space="preserve">较一般的非线性依赖</w:t>
            </w:r>
          </w:p>
        </w:tc>
        <w:tc>
          <w:tcPr>
            <w:tcW w:type="dxa" w:w="3470"/>
          </w:tcPr>
          <w:p>
            <w:pPr>
              <w:pStyle w:val="Compact"/>
              <w:keepNext w:val="0"/>
              <w:spacing w:after="60" w:before="60" w:line="264" w:lineRule="auto"/>
              <w:jc w:val="left"/>
            </w:pPr>
            <w:r>
              <w:rPr>
                <w:sz w:val="18"/>
              </w:rPr>
              <w:t xml:space="preserve">提供线性指标容易遗漏的候选关系</w:t>
            </w:r>
          </w:p>
        </w:tc>
      </w:tr>
    </w:tbl>
    <w:p>
      <w:pPr>
        <w:pStyle w:val="BodyText"/>
      </w:pPr>
      <w:r>
        <w:t xml:space="preserve">论文提出先对指标进行同尺度处理，再加权形成综合关联强度，以阈值筛选候选边。复现时需要明确负相关如何处理、权重如何选、阈值如何校准；不宜根据本次文字梳理自行补造原文未明确给出的参数。[S01，3.1.2，P0538—P0545]</w:t>
      </w:r>
    </w:p>
    <w:p>
      <w:pPr>
        <w:pStyle w:val="Heading3"/>
      </w:pPr>
      <w:bookmarkStart w:id="62" w:name="图和路径的含义"/>
      <w:r>
        <w:t xml:space="preserve">2.3 图和路径的含义</w:t>
      </w:r>
      <w:bookmarkEnd w:id="62"/>
    </w:p>
    <w:p>
      <w:pPr>
        <w:pStyle w:val="FirstParagraph"/>
      </w:pPr>
      <w:r>
        <w:t xml:space="preserve">图节点对应数据项、类别或特征，边表示潜在推断关联，边权表示关联强度。推断方向依赖物理/业务先验或后续单向验证；Pearson、Spearman、标准 MIC 本身不会自动给出推断方向。</w:t>
      </w:r>
    </w:p>
    <w:p>
      <w:pPr>
        <w:pStyle w:val="BodyText"/>
      </w:pPr>
      <w:r>
        <w:t xml:space="preserve">论文以路径上边权的乘积表征路径先验强度，并讨论几何平均用于不同长度路径的比较。其意义是对可能存在的多阶段关联进行排序，而不是给出整条路径的真实泄露概率。论文自己也明确指出，关联图只是高风险候选空间，最终结论仍需要推断验证。[S01，P0546—P0560]</w:t>
      </w:r>
    </w:p>
    <w:p>
      <w:pPr>
        <w:pStyle w:val="BodyText"/>
      </w:pPr>
      <w:r>
        <w:t xml:space="preserve">因此，适合接入体系的模块名称是</w:t>
      </w:r>
      <w:r>
        <w:t xml:space="preserve">“</w:t>
      </w:r>
      <w:r>
        <w:t xml:space="preserve">关联候选发现与解释</w:t>
      </w:r>
      <w:r>
        <w:t xml:space="preserve">”</w:t>
      </w:r>
      <w:r>
        <w:t xml:space="preserve">，其输出应标为</w:t>
      </w:r>
      <w:r>
        <w:rPr>
          <w:b/>
        </w:rPr>
        <w:t xml:space="preserve">待验证线索</w:t>
      </w:r>
      <w:r>
        <w:t xml:space="preserve">。</w:t>
      </w:r>
    </w:p>
    <w:p>
      <w:pPr>
        <w:pStyle w:val="Heading2"/>
      </w:pPr>
      <w:bookmarkStart w:id="63" w:name="第-3.4.2-节实验具体说明了什么"/>
      <w:r>
        <w:t xml:space="preserve">3. 第 3.4.2 节：实验具体说明了什么</w:t>
      </w:r>
      <w:bookmarkEnd w:id="63"/>
    </w:p>
    <w:p>
      <w:pPr>
        <w:pStyle w:val="Heading3"/>
      </w:pPr>
      <w:bookmarkStart w:id="64" w:name="仿真数据部分"/>
      <w:r>
        <w:t xml:space="preserve">3.1 仿真数据部分</w:t>
      </w:r>
      <w:bookmarkEnd w:id="64"/>
    </w:p>
    <w:p>
      <w:pPr>
        <w:pStyle w:val="FirstParagraph"/>
      </w:pPr>
      <w:r>
        <w:t xml:space="preserve">论文使用新英格兰 39 节点仿真数据，涉及节点负荷、节点电价、线路潮流和节点相角四类数据，每类 2,000 条样本。连续变量先经 K-Means 离散化，再计算与费诺不等式相关的关联矩阵；随后给出 MIC 矩阵作为补充。[S01，P0655、P0659—P0666，表 3-2、3-3]</w:t>
      </w:r>
    </w:p>
    <w:p>
      <w:pPr>
        <w:pStyle w:val="BodyText"/>
      </w:pPr>
      <w:r>
        <w:t xml:space="preserve">实验要表达的是：公开程度不同的数据之间确实存在统计信息联系，非线性度量有助于扩展候选范围。</w:t>
      </w:r>
    </w:p>
    <w:p>
      <w:pPr>
        <w:pStyle w:val="BodyText"/>
      </w:pPr>
      <w:r>
        <w:t xml:space="preserve">需要核对一处原始材料问题：表 3-3 标为 MIC，但</w:t>
      </w:r>
      <w:r>
        <w:t xml:space="preserve">“</w:t>
      </w:r>
      <w:r>
        <w:t xml:space="preserve">负荷—电价</w:t>
      </w:r>
      <w:r>
        <w:t xml:space="preserve">”</w:t>
      </w:r>
      <w:r>
        <w:t xml:space="preserve">的两个方向分别为 0.9712 和 0.7348。标准 MIC 对同一变量对、同一样本应具有对称性。若这里使用的是不同方向的数据集合、汇总口径或另行归一化，应补充说明；否则需要核对表格或计算代码。这与表 3-2 的有向归一化信息指标并非同一问题。</w:t>
      </w:r>
    </w:p>
    <w:p>
      <w:pPr>
        <w:pStyle w:val="Heading3"/>
      </w:pPr>
      <w:bookmarkStart w:id="65" w:name="pjm-数据部分"/>
      <w:r>
        <w:t xml:space="preserve">3.2 PJM 数据部分</w:t>
      </w:r>
      <w:bookmarkEnd w:id="65"/>
    </w:p>
    <w:p>
      <w:pPr>
        <w:pStyle w:val="FirstParagraph"/>
      </w:pPr>
      <w:r>
        <w:t xml:space="preserve">论文在 2023 年 1 月至 2024 年 1 月的 PJM 数据上筛出 39 类有效字段，使用 0.7 作为关联筛选阈值，报告了 13 组典型高关联字段对。[S01，P0655、P0667—P0670，表 3-4]</w:t>
      </w:r>
    </w:p>
    <w:p>
      <w:pPr>
        <w:pStyle w:val="BodyText"/>
      </w:pPr>
      <w:r>
        <w:t xml:space="preserve">最有解释力的例子是</w:t>
      </w:r>
      <w:r>
        <w:t xml:space="preserve">“</w:t>
      </w:r>
      <w:r>
        <w:t xml:space="preserve">紧急最大容量—已承诺总容量</w:t>
      </w:r>
      <w:r>
        <w:t xml:space="preserve">”</w:t>
      </w:r>
      <w:r>
        <w:t xml:space="preserve">：MIC 为 0.7384，Spearman 为 0.0110，Pearson 为 0.0129。这说明三个指标会给出不同的候选发现结果，单用线性相关可能遗漏非线性联系。</w:t>
      </w:r>
    </w:p>
    <w:p>
      <w:pPr>
        <w:pStyle w:val="BodyText"/>
      </w:pPr>
      <w:r>
        <w:t xml:space="preserve">但 0.7 在这里是</w:t>
      </w:r>
      <w:r>
        <w:rPr>
          <w:b/>
        </w:rPr>
        <w:t xml:space="preserve">关联筛选阈值</w:t>
      </w:r>
      <w:r>
        <w:t xml:space="preserve">，既不是南网安全等级边界，也不是你近期研究中的样本外推断能力阈值。表中接近 1 的字段对还需要核对是否存在重复、确定性换算或同源派生，以免把数据口径关系全部当成新的安全发现。</w:t>
      </w:r>
    </w:p>
    <w:p>
      <w:pPr>
        <w:pStyle w:val="Heading3"/>
      </w:pPr>
      <w:bookmarkStart w:id="66" w:name="本节结论的边界"/>
      <w:r>
        <w:t xml:space="preserve">3.3 本节结论的边界</w:t>
      </w:r>
      <w:bookmarkEnd w:id="66"/>
    </w:p>
    <w:p>
      <w:pPr>
        <w:pStyle w:val="FirstParagraph"/>
      </w:pPr>
      <w:r>
        <w:t xml:space="preserve">本节支持</w:t>
      </w:r>
      <w:r>
        <w:t xml:space="preserve">“</w:t>
      </w:r>
      <w:r>
        <w:t xml:space="preserve">存在值得进一步核验的关联</w:t>
      </w:r>
      <w:r>
        <w:t xml:space="preserve">”</w:t>
      </w:r>
      <w:r>
        <w:t xml:space="preserve">，没有单独完成以下证明：</w:t>
      </w:r>
    </w:p>
    <w:p>
      <w:pPr>
        <w:pStyle w:val="Compact"/>
        <w:numPr>
          <w:numId w:val="1003"/>
          <w:ilvl w:val="0"/>
        </w:numPr>
      </w:pPr>
      <w:r>
        <w:t xml:space="preserve">所有高关联均会造成实质损害；</w:t>
      </w:r>
    </w:p>
    <w:p>
      <w:pPr>
        <w:pStyle w:val="Compact"/>
        <w:numPr>
          <w:numId w:val="1003"/>
          <w:ilvl w:val="0"/>
        </w:numPr>
      </w:pPr>
      <w:r>
        <w:t xml:space="preserve">所有低关联字段都不存在联合推断风险；</w:t>
      </w:r>
    </w:p>
    <w:p>
      <w:pPr>
        <w:pStyle w:val="Compact"/>
        <w:numPr>
          <w:numId w:val="1003"/>
          <w:ilvl w:val="0"/>
        </w:numPr>
      </w:pPr>
      <w:r>
        <w:t xml:space="preserve">候选图覆盖了全部高阶组合；</w:t>
      </w:r>
    </w:p>
    <w:p>
      <w:pPr>
        <w:pStyle w:val="Compact"/>
        <w:numPr>
          <w:numId w:val="1003"/>
          <w:ilvl w:val="0"/>
        </w:numPr>
      </w:pPr>
      <w:r>
        <w:t xml:space="preserve">分级建议与南网正式定级一致。</w:t>
      </w:r>
    </w:p>
    <w:p>
      <w:pPr>
        <w:pStyle w:val="FirstParagraph"/>
      </w:pPr>
      <w:r>
        <w:t xml:space="preserve">论文第 3.2 节及 3.4 的后续小节另做推断验证。这一</w:t>
      </w:r>
      <w:r>
        <w:t xml:space="preserve">“</w:t>
      </w:r>
      <w:r>
        <w:t xml:space="preserve">发现—验证</w:t>
      </w:r>
      <w:r>
        <w:t xml:space="preserve">”</w:t>
      </w:r>
      <w:r>
        <w:t xml:space="preserve">的区分应保留到项目方案中。</w:t>
      </w:r>
    </w:p>
    <w:p>
      <w:pPr>
        <w:pStyle w:val="Heading2"/>
      </w:pPr>
      <w:bookmarkStart w:id="67" w:name="第-4.1-节初步标定的四个步骤"/>
      <w:r>
        <w:t xml:space="preserve">4. 第 4.1 节：初步标定的四个步骤</w:t>
      </w:r>
      <w:bookmarkEnd w:id="67"/>
    </w:p>
    <w:p>
      <w:pPr>
        <w:pStyle w:val="Heading3"/>
      </w:pPr>
      <w:bookmarkStart w:id="68" w:name="大模型把文档知识结构化"/>
      <w:r>
        <w:t xml:space="preserve">4.1 大模型把文档知识结构化</w:t>
      </w:r>
      <w:bookmarkEnd w:id="68"/>
    </w:p>
    <w:p>
      <w:pPr>
        <w:pStyle w:val="FirstParagraph"/>
      </w:pPr>
      <w:r>
        <w:t xml:space="preserve">论文使用 DeepSeek-R1-Distill-Qwen-32B，结合提示约束、JSON 输出约束和检索增强，从规范、工程模板和业务说明中提取规则。预期规则字段包括对象类别、关键字段、约束条件、风险提示和建议等级。知识库由行业/工程文档与人工结构化示例构成。[S01，4.1.1，P0731—P0739]</w:t>
      </w:r>
    </w:p>
    <w:p>
      <w:pPr>
        <w:pStyle w:val="BodyText"/>
      </w:pPr>
      <w:r>
        <w:t xml:space="preserve">在南网项目中，可以沿用这套</w:t>
      </w:r>
      <w:r>
        <w:t xml:space="preserve">“</w:t>
      </w:r>
      <w:r>
        <w:t xml:space="preserve">检索—生成—校验</w:t>
      </w:r>
      <w:r>
        <w:t xml:space="preserve">”</w:t>
      </w:r>
      <w:r>
        <w:t xml:space="preserve">机制，但规则结构必须增加：来源条款、版本状态、适用范围、条件逻辑、例外、审批主体、生效日期。抽取出的</w:t>
      </w:r>
      <w:r>
        <w:t xml:space="preserve">“</w:t>
      </w:r>
      <w:r>
        <w:t xml:space="preserve">建议等级</w:t>
      </w:r>
      <w:r>
        <w:t xml:space="preserve">”</w:t>
      </w:r>
      <w:r>
        <w:t xml:space="preserve">只是候选规则，发布为可执行规则前需经业务与管理人员审校。</w:t>
      </w:r>
    </w:p>
    <w:p>
      <w:pPr>
        <w:pStyle w:val="Heading3"/>
      </w:pPr>
      <w:bookmarkStart w:id="69" w:name="自编码器用于表示压缩"/>
      <w:r>
        <w:t xml:space="preserve">4.2 自编码器用于表示压缩</w:t>
      </w:r>
      <w:bookmarkEnd w:id="69"/>
    </w:p>
    <w:p>
      <w:pPr>
        <w:pStyle w:val="FirstParagraph"/>
      </w:pPr>
      <w:r>
        <w:t xml:space="preserve">自编码器以重构误差学习低维表示，作用是降低高维冗余和噪声，论文并未将其直接定义为等级预测器。随后仍需依据敏感字段查找表，将每个对象转为字段存在性的事务项目集。[S01，P0741—P0749]</w:t>
      </w:r>
    </w:p>
    <w:p>
      <w:pPr>
        <w:pStyle w:val="BodyText"/>
      </w:pPr>
      <w:r>
        <w:t xml:space="preserve">工程衔接上需要补清：低维潜变量如何映射回可解释的字段项目。本章实验分别展示了自编码器重构效果和原始项目集上的 FP-Growth，尚不能仅凭这些结果认定</w:t>
      </w:r>
      <w:r>
        <w:t xml:space="preserve">“</w:t>
      </w:r>
      <w:r>
        <w:t xml:space="preserve">压缩表示已经提升了最终分级准确率</w:t>
      </w:r>
      <w:r>
        <w:t xml:space="preserve">”</w:t>
      </w:r>
      <w:r>
        <w:t xml:space="preserve">。</w:t>
      </w:r>
    </w:p>
    <w:p>
      <w:pPr>
        <w:pStyle w:val="Heading3"/>
      </w:pPr>
      <w:bookmarkStart w:id="70" w:name="fp-growth-发现常见敏感字段组合"/>
      <w:r>
        <w:t xml:space="preserve">4.3 FP-Growth 发现常见敏感字段组合</w:t>
      </w:r>
      <w:bookmarkEnd w:id="70"/>
    </w:p>
    <w:p>
      <w:pPr>
        <w:pStyle w:val="FirstParagraph"/>
      </w:pPr>
      <w:r>
        <w:t xml:space="preserve">每条事务代表一个线路、变电站等业务对象包含哪些敏感字段。FP-Growth 依次构建项头表、FP-Tree，挖掘高支持度字段组合。这里的支持度是</w:t>
      </w:r>
      <w:r>
        <w:rPr>
          <w:b/>
        </w:rPr>
        <w:t xml:space="preserve">多少对象包含该组合</w:t>
      </w:r>
      <w:r>
        <w:t xml:space="preserve">，不是这些字段对某个敏感目标的预测能力。[S01，P0746—P0757]</w:t>
      </w:r>
    </w:p>
    <w:p>
      <w:pPr>
        <w:pStyle w:val="BodyText"/>
      </w:pPr>
      <w:r>
        <w:t xml:space="preserve">因此，它适合回答</w:t>
      </w:r>
      <w:r>
        <w:t xml:space="preserve">“</w:t>
      </w:r>
      <w:r>
        <w:t xml:space="preserve">哪些敏感结构经常出现、哪些对象需要优先检查</w:t>
      </w:r>
      <w:r>
        <w:t xml:space="preserve">”</w:t>
      </w:r>
      <w:r>
        <w:t xml:space="preserve">，不能单独回答</w:t>
      </w:r>
      <w:r>
        <w:t xml:space="preserve">“</w:t>
      </w:r>
      <w:r>
        <w:t xml:space="preserve">组合后能恢复什么、恢复多准</w:t>
      </w:r>
      <w:r>
        <w:t xml:space="preserve">”</w:t>
      </w:r>
      <w:r>
        <w:t xml:space="preserve">。</w:t>
      </w:r>
    </w:p>
    <w:p>
      <w:pPr>
        <w:pStyle w:val="Heading3"/>
      </w:pPr>
      <w:bookmarkStart w:id="71" w:name="模式得分如何映射等级"/>
      <w:r>
        <w:t xml:space="preserve">4.4 模式得分如何映射等级</w:t>
      </w:r>
      <w:bookmarkEnd w:id="71"/>
    </w:p>
    <w:p>
      <w:pPr>
        <w:pStyle w:val="FirstParagraph"/>
      </w:pPr>
      <w:r>
        <w:t xml:space="preserve">论文实验将对象覆盖的频繁项集支持度求和，再归一化并划分四档。用统一符号重述为：</w:t>
      </w:r>
    </w:p>
    <w:p>
      <w:pPr>
        <w:pStyle w:val="BodyText"/>
      </w:pPr>
      <m:oMathPara>
        <m:oMathParaPr>
          <m:jc m:val="center"/>
        </m:oMathParaPr>
        <m:oMath>
          <m:r>
            <m:t>s</m:t>
          </m:r>
          <m:r>
            <m:t>(</m:t>
          </m:r>
          <m:r>
            <m:t>o</m:t>
          </m:r>
          <m:r>
            <m:t>)</m:t>
          </m:r>
          <m:r>
            <m:t>=</m:t>
          </m:r>
          <m:nary>
            <m:naryPr>
              <m:chr m:val="∑"/>
              <m:limLoc m:val="undOvr"/>
              <m:subHide m:val="0"/>
              <m:supHide m:val="1"/>
            </m:naryPr>
            <m:sub>
              <m:r>
                <m:t>F</m:t>
              </m:r>
              <m:r>
                <m:t>⊆</m:t>
              </m:r>
              <m:r>
                <m:t>I</m:t>
              </m:r>
              <m:r>
                <m:t>(</m:t>
              </m:r>
              <m:r>
                <m:t>o</m:t>
              </m:r>
              <m:r>
                <m:t>)</m:t>
              </m:r>
              <m:r>
                <m:t>,</m:t>
              </m:r>
              <m:r>
                <m:t> </m:t>
              </m:r>
              <m:r>
                <m:t>F</m:t>
              </m:r>
              <m:r>
                <m:t>∈</m:t>
              </m:r>
              <m:r>
                <m:rPr>
                  <m:sty m:val="p"/>
                  <m:scr m:val="script"/>
                </m:rPr>
                <m:t>F</m:t>
              </m:r>
            </m:sub>
            <m:sup>
              <m:r>
                <m:t>​</m:t>
              </m:r>
            </m:sup>
            <m:e>
              <m:r>
                <m:rPr>
                  <m:nor/>
                  <m:sty m:val="p"/>
                </m:rPr>
                <m:t>support</m:t>
              </m:r>
            </m:e>
          </m:nary>
          <m:r>
            <m:t>(</m:t>
          </m:r>
          <m:r>
            <m:t>F</m:t>
          </m:r>
          <m:r>
            <m:t>)</m:t>
          </m:r>
          <m:r>
            <m:t>.</m:t>
          </m:r>
        </m:oMath>
      </m:oMathPara>
    </w:p>
    <w:p>
      <w:pPr>
        <w:pStyle w:val="FirstParagraph"/>
      </w:pPr>
      <w:r>
        <w:t xml:space="preserve">其中</w:t>
      </w:r>
      <w:r>
        <w:t xml:space="preserve"> </w:t>
      </w:r>
      <m:oMath>
        <m:r>
          <m:t>I</m:t>
        </m:r>
        <m:r>
          <m:t>(</m:t>
        </m:r>
        <m:r>
          <m:t>o</m:t>
        </m:r>
        <m:r>
          <m:t>)</m:t>
        </m:r>
      </m:oMath>
      <w:r>
        <w:t xml:space="preserve"> </w:t>
      </w:r>
      <w:r>
        <w:t xml:space="preserve">是对象包含的敏感字段集合，</w:t>
      </w:r>
      <m:oMath>
        <m:r>
          <m:rPr>
            <m:sty m:val="p"/>
            <m:scr m:val="script"/>
          </m:rPr>
          <m:t>F</m:t>
        </m:r>
      </m:oMath>
      <w:r>
        <w:t xml:space="preserve"> </w:t>
      </w:r>
      <w:r>
        <w:t xml:space="preserve">是频繁项集集合。实验采用区间</w:t>
      </w:r>
      <w:r>
        <w:t xml:space="preserve"> </w:t>
      </w:r>
      <w:r>
        <w:rPr>
          <w:rStyle w:val="VerbatimChar"/>
        </w:rPr>
        <w:t xml:space="preserve">[0,0.1)</w:t>
      </w:r>
      <w:r>
        <w:t xml:space="preserve">、</w:t>
      </w:r>
      <w:r>
        <w:rPr>
          <w:rStyle w:val="VerbatimChar"/>
        </w:rPr>
        <w:t xml:space="preserve">[0.1,0.5)</w:t>
      </w:r>
      <w:r>
        <w:t xml:space="preserve">、</w:t>
      </w:r>
      <w:r>
        <w:rPr>
          <w:rStyle w:val="VerbatimChar"/>
        </w:rPr>
        <w:t xml:space="preserve">[0.5,0.85)</w:t>
      </w:r>
      <w:r>
        <w:t xml:space="preserve">、</w:t>
      </w:r>
      <w:r>
        <w:rPr>
          <w:rStyle w:val="VerbatimChar"/>
        </w:rPr>
        <w:t xml:space="preserve">[0.85,1]</w:t>
      </w:r>
      <w:r>
        <w:t xml:space="preserve"> </w:t>
      </w:r>
      <w:r>
        <w:t xml:space="preserve">映射一级至四级。[S01，4.3.3，P0832—P0838，表 4-7]</w:t>
      </w:r>
    </w:p>
    <w:p>
      <w:pPr>
        <w:pStyle w:val="BodyText"/>
      </w:pPr>
      <w:r>
        <w:t xml:space="preserve">这是一种研究中的启发式映射。它尚未以</w:t>
      </w:r>
      <w:r>
        <w:t xml:space="preserve">“</w:t>
      </w:r>
      <w:r>
        <w:t xml:space="preserve">影响对象×影响程度</w:t>
      </w:r>
      <w:r>
        <w:t xml:space="preserve">”</w:t>
      </w:r>
      <w:r>
        <w:t xml:space="preserve">解释档位，也不是南网五级制的定级函数。接入项目后建议把该得分保留为</w:t>
      </w:r>
      <w:r>
        <w:t xml:space="preserve">“</w:t>
      </w:r>
      <w:r>
        <w:t xml:space="preserve">组合特征/复核优先级</w:t>
      </w:r>
      <w:r>
        <w:t xml:space="preserve">”</w:t>
      </w:r>
      <w:r>
        <w:t xml:space="preserve">，基线等级由制度规则生成。</w:t>
      </w:r>
    </w:p>
    <w:p>
      <w:pPr>
        <w:pStyle w:val="Heading2"/>
      </w:pPr>
      <w:bookmarkStart w:id="72" w:name="第-4.2-节动态等级模型的实际结构"/>
      <w:r>
        <w:t xml:space="preserve">5. 第 4.2 节：动态等级模型的实际结构</w:t>
      </w:r>
      <w:bookmarkEnd w:id="72"/>
    </w:p>
    <w:p>
      <w:pPr>
        <w:pStyle w:val="Heading3"/>
      </w:pPr>
      <w:bookmarkStart w:id="73" w:name="状态单字段与敏感目标的最大-mic"/>
      <w:r>
        <w:t xml:space="preserve">5.1 状态：单字段与敏感目标的最大 MIC</w:t>
      </w:r>
      <w:bookmarkEnd w:id="73"/>
    </w:p>
    <w:p>
      <w:pPr>
        <w:pStyle w:val="FirstParagraph"/>
      </w:pPr>
      <w:r>
        <w:t xml:space="preserve">论文风险指数为：</w:t>
      </w:r>
    </w:p>
    <w:p>
      <w:pPr>
        <w:pStyle w:val="BodyText"/>
      </w:pPr>
      <m:oMathPara>
        <m:oMathParaPr>
          <m:jc m:val="center"/>
        </m:oMathParaPr>
        <m:oMath>
          <m:sSub>
            <m:e>
              <m:r>
                <m:t>Γ</m:t>
              </m:r>
            </m:e>
            <m:sub>
              <m:r>
                <m:t>i</m:t>
              </m:r>
            </m:sub>
          </m:sSub>
          <m:r>
            <m:t>=</m:t>
          </m:r>
          <m:limLow>
            <m:e>
              <m:r>
                <m:rPr>
                  <m:nor/>
                  <m:sty m:val="p"/>
                </m:rPr>
                <m:t>max</m:t>
              </m:r>
            </m:e>
            <m:lim>
              <m:r>
                <m:t>y</m:t>
              </m:r>
              <m:r>
                <m:t>∈</m:t>
              </m:r>
              <m:sSub>
                <m:e>
                  <m:r>
                    <m:t>D</m:t>
                  </m:r>
                </m:e>
                <m:sub>
                  <m:r>
                    <m:rPr>
                      <m:sty m:val="p"/>
                    </m:rPr>
                    <m:t>p</m:t>
                  </m:r>
                  <m:r>
                    <m:rPr>
                      <m:sty m:val="p"/>
                    </m:rPr>
                    <m:t>r</m:t>
                  </m:r>
                  <m:r>
                    <m:rPr>
                      <m:sty m:val="p"/>
                    </m:rPr>
                    <m:t>i</m:t>
                  </m:r>
                </m:sub>
              </m:sSub>
            </m:lim>
          </m:limLow>
          <m:r>
            <m:rPr>
              <m:nor/>
              <m:sty m:val="p"/>
            </m:rPr>
            <m:t>MIC</m:t>
          </m:r>
          <m:r>
            <m:t>(</m:t>
          </m:r>
          <m:sSub>
            <m:e>
              <m:r>
                <m:t>d</m:t>
              </m:r>
            </m:e>
            <m:sub>
              <m:r>
                <m:t>i</m:t>
              </m:r>
            </m:sub>
          </m:sSub>
          <m:r>
            <m:t>,</m:t>
          </m:r>
          <m:r>
            <m:t>y</m:t>
          </m:r>
          <m:r>
            <m:t>)</m:t>
          </m:r>
          <m:r>
            <m:t>,</m:t>
          </m:r>
          <m:r>
            <m:t>  </m:t>
          </m:r>
          <m:sSub>
            <m:e>
              <m:r>
                <m:t>s</m:t>
              </m:r>
            </m:e>
            <m:sub>
              <m:r>
                <m:t>t</m:t>
              </m:r>
            </m:sub>
          </m:sSub>
          <m:r>
            <m:t>=</m:t>
          </m:r>
          <m:r>
            <m:t>{</m:t>
          </m:r>
          <m:sSub>
            <m:e>
              <m:r>
                <m:t>Γ</m:t>
              </m:r>
            </m:e>
            <m:sub>
              <m:r>
                <m:t>1</m:t>
              </m:r>
            </m:sub>
          </m:sSub>
          <m:r>
            <m:t>,</m:t>
          </m:r>
          <m:r>
            <m:t>…</m:t>
          </m:r>
          <m:r>
            <m:t>,</m:t>
          </m:r>
          <m:sSub>
            <m:e>
              <m:r>
                <m:t>Γ</m:t>
              </m:r>
            </m:e>
            <m:sub>
              <m:r>
                <m:t>N</m:t>
              </m:r>
            </m:sub>
          </m:sSub>
          <m:r>
            <m:t>,</m:t>
          </m:r>
          <m:sSub>
            <m:e>
              <m:r>
                <m:t>P</m:t>
              </m:r>
            </m:e>
            <m:sub>
              <m:r>
                <m:rPr>
                  <m:sty m:val="p"/>
                </m:rPr>
                <m:t>p</m:t>
              </m:r>
              <m:r>
                <m:rPr>
                  <m:sty m:val="p"/>
                </m:rPr>
                <m:t>h</m:t>
              </m:r>
              <m:r>
                <m:rPr>
                  <m:sty m:val="p"/>
                </m:rPr>
                <m:t>y</m:t>
              </m:r>
              <m:r>
                <m:rPr>
                  <m:sty m:val="p"/>
                </m:rPr>
                <m:t>s</m:t>
              </m:r>
            </m:sub>
          </m:sSub>
          <m:r>
            <m:t>}</m:t>
          </m:r>
          <m:r>
            <m:t>.</m:t>
          </m:r>
        </m:oMath>
      </m:oMathPara>
    </w:p>
    <w:p>
      <w:pPr>
        <w:pStyle w:val="FirstParagraph"/>
      </w:pPr>
      <w:r>
        <w:t xml:space="preserve">这里的</w:t>
      </w:r>
      <w:r>
        <w:t xml:space="preserve"> </w:t>
      </w:r>
      <m:oMath>
        <m:sSub>
          <m:e>
            <m:r>
              <m:t>Γ</m:t>
            </m:r>
          </m:e>
          <m:sub>
            <m:r>
              <m:t>i</m:t>
            </m:r>
          </m:sub>
        </m:sSub>
      </m:oMath>
      <w:r>
        <w:t xml:space="preserve"> </w:t>
      </w:r>
      <w:r>
        <w:t xml:space="preserve">是对多个敏感目标取最大值的</w:t>
      </w:r>
      <w:r>
        <w:rPr>
          <w:b/>
        </w:rPr>
        <w:t xml:space="preserve">两两关联指标</w:t>
      </w:r>
      <w:r>
        <w:t xml:space="preserve">。它并没有对</w:t>
      </w:r>
      <w:r>
        <w:t xml:space="preserve">“</w:t>
      </w:r>
      <w:r>
        <w:t xml:space="preserve">其他背景字段的组合</w:t>
      </w:r>
      <w:r>
        <w:t xml:space="preserve">”</w:t>
      </w:r>
      <w:r>
        <w:t xml:space="preserve">取最大，也不同于你近期研究中表示背景放大的</w:t>
      </w:r>
      <w:r>
        <w:t xml:space="preserve"> </w:t>
      </w:r>
      <m:oMath>
        <m:sSup>
          <m:e>
            <m:r>
              <m:t>Γ</m:t>
            </m:r>
          </m:e>
          <m:sup>
            <m:r>
              <m:t>(</m:t>
            </m:r>
            <m:r>
              <m:t>K</m:t>
            </m:r>
            <m:r>
              <m:t>)</m:t>
            </m:r>
          </m:sup>
        </m:sSup>
      </m:oMath>
      <w:r>
        <w:t xml:space="preserve">。整合时必须重命名或加前缀，避免符号相同而含义不同。[S01，P0762—P0767；转换 PDF 物理页 75 已目视核对公式]</w:t>
      </w:r>
    </w:p>
    <w:p>
      <w:pPr>
        <w:pStyle w:val="Heading3"/>
      </w:pPr>
      <w:bookmarkStart w:id="74" w:name="动作四档研究等级"/>
      <w:r>
        <w:t xml:space="preserve">5.2 动作：四档研究等级</w:t>
      </w:r>
      <w:bookmarkEnd w:id="74"/>
    </w:p>
    <w:p>
      <w:pPr>
        <w:pStyle w:val="FirstParagraph"/>
      </w:pPr>
      <w:r>
        <w:t xml:space="preserve">每个字段动作</w:t>
      </w:r>
      <w:r>
        <w:t xml:space="preserve"> </w:t>
      </w:r>
      <m:oMath>
        <m:sSub>
          <m:e>
            <m:r>
              <m:t>o</m:t>
            </m:r>
          </m:e>
          <m:sub>
            <m:r>
              <m:t>i</m:t>
            </m:r>
          </m:sub>
        </m:sSub>
        <m:r>
          <m:t>∈</m:t>
        </m:r>
        <m:r>
          <m:t>{</m:t>
        </m:r>
        <m:r>
          <m:t>1</m:t>
        </m:r>
        <m:r>
          <m:t>,</m:t>
        </m:r>
        <m:r>
          <m:t>2</m:t>
        </m:r>
        <m:r>
          <m:t>,</m:t>
        </m:r>
        <m:r>
          <m:t>3</m:t>
        </m:r>
        <m:r>
          <m:t>,</m:t>
        </m:r>
        <m:r>
          <m:t>4</m:t>
        </m:r>
        <m:r>
          <m:t>}</m:t>
        </m:r>
      </m:oMath>
      <w:r>
        <w:t xml:space="preserve">，含义分别为公开、一般、重要、核心。模型为各字段选择动作，形成整体等级向量。[S01，P0768—P0771]</w:t>
      </w:r>
    </w:p>
    <w:p>
      <w:pPr>
        <w:pStyle w:val="BodyText"/>
      </w:pPr>
      <w:r>
        <w:t xml:space="preserve">这个四档设计混合了公开属性与安全等级；南网手册的 1—3 级均属于一般数据，4 级为重要数据，5 级为核心数据。不能简单把论文的 1、2、3、4 依次平移为南网的某四个等级。</w:t>
      </w:r>
    </w:p>
    <w:p>
      <w:pPr>
        <w:pStyle w:val="Heading3"/>
      </w:pPr>
      <w:bookmarkStart w:id="75" w:name="效用剩余风险可用性成本和合规惩罚"/>
      <w:r>
        <w:t xml:space="preserve">5.3 效用：剩余风险、可用性成本和合规惩罚</w:t>
      </w:r>
      <w:bookmarkEnd w:id="75"/>
    </w:p>
    <w:p>
      <w:pPr>
        <w:pStyle w:val="FirstParagraph"/>
      </w:pPr>
      <w:r>
        <w:t xml:space="preserve">原文效用可写为：</w:t>
      </w:r>
    </w:p>
    <w:p>
      <w:pPr>
        <w:pStyle w:val="BodyText"/>
      </w:pPr>
      <w:r>
        <w:drawing>
          <wp:inline>
            <wp:extent cx="5759999" cy="346590"/>
            <wp:effectExtent b="0" l="0" r="0" t="0"/>
            <wp:docPr descr="" title="" id="1" name="Picture"/>
            <a:graphic>
              <a:graphicData uri="http://schemas.openxmlformats.org/drawingml/2006/picture">
                <pic:pic>
                  <pic:nvPicPr>
                    <pic:cNvPr descr="assets/论文效用公式.png" id="0" name="Picture"/>
                    <pic:cNvPicPr>
                      <a:picLocks noChangeArrowheads="1" noChangeAspect="1"/>
                    </pic:cNvPicPr>
                  </pic:nvPicPr>
                  <pic:blipFill>
                    <a:blip r:embed="rId76"/>
                    <a:stretch>
                      <a:fillRect/>
                    </a:stretch>
                  </pic:blipFill>
                  <pic:spPr bwMode="auto">
                    <a:xfrm>
                      <a:off x="0" y="0"/>
                      <a:ext cx="5759999" cy="346590"/>
                    </a:xfrm>
                    <a:prstGeom prst="rect">
                      <a:avLst/>
                    </a:prstGeom>
                    <a:noFill/>
                    <a:ln w="9525">
                      <a:noFill/>
                      <a:headEnd/>
                      <a:tailEnd/>
                    </a:ln>
                  </pic:spPr>
                </pic:pic>
              </a:graphicData>
            </a:graphic>
          </wp:inline>
        </w:drawing>
      </w:r>
    </w:p>
    <w:p>
      <w:pPr>
        <w:pStyle w:val="BodyText"/>
      </w:pPr>
      <w:r>
        <w:t xml:space="preserve">三项分别表达剩余风险负效用、随保护强度增长的使用成本、低于最低等级的惩罚。</w:t>
      </w:r>
      <m:oMath>
        <m:sSub>
          <m:e>
            <m:acc>
              <m:accPr>
                <m:chr m:val="̂"/>
              </m:accPr>
              <m:e>
                <m:r>
                  <m:t>o</m:t>
                </m:r>
              </m:e>
            </m:acc>
          </m:e>
          <m:sub>
            <m:r>
              <m:t>i</m:t>
            </m:r>
          </m:sub>
        </m:sSub>
      </m:oMath>
      <w:r>
        <w:t xml:space="preserve"> </w:t>
      </w:r>
      <w:r>
        <w:t xml:space="preserve">表示监管或制度基线。[S01，P0772—P0784；转换 PDF 物理页 76 已目视核对公式]</w:t>
      </w:r>
    </w:p>
    <w:p>
      <w:pPr>
        <w:pStyle w:val="BodyText"/>
      </w:pPr>
      <w:r>
        <w:t xml:space="preserve">保留其</w:t>
      </w:r>
      <w:r>
        <w:t xml:space="preserve">“</w:t>
      </w:r>
      <w:r>
        <w:t xml:space="preserve">安全与利用兼顾</w:t>
      </w:r>
      <w:r>
        <w:t xml:space="preserve">”</w:t>
      </w:r>
      <w:r>
        <w:t xml:space="preserve">的思想，同时需要修正两个工程语义：</w:t>
      </w:r>
    </w:p>
    <w:p>
      <w:pPr>
        <w:pStyle w:val="Compact"/>
        <w:numPr>
          <w:numId w:val="1004"/>
          <w:ilvl w:val="0"/>
        </w:numPr>
      </w:pPr>
      <w:r>
        <w:rPr>
          <w:b/>
        </w:rPr>
        <w:t xml:space="preserve">改变等级标签本身不会减少实际泄露。</w:t>
      </w:r>
      <w:r>
        <w:t xml:space="preserve"> </w:t>
      </w:r>
      <w:r>
        <w:t xml:space="preserve">指数衰减是环境建模假设，必须由访问限制、脱敏、聚合等真实措施的复测支撑。</w:t>
      </w:r>
    </w:p>
    <w:p>
      <w:pPr>
        <w:pStyle w:val="Compact"/>
        <w:numPr>
          <w:numId w:val="1004"/>
          <w:ilvl w:val="0"/>
        </w:numPr>
      </w:pPr>
      <w:r>
        <w:rPr>
          <w:b/>
        </w:rPr>
        <w:t xml:space="preserve">有限惩罚不等于强制满足要求。</w:t>
      </w:r>
      <w:r>
        <w:t xml:space="preserve"> </w:t>
      </w:r>
      <w:r>
        <w:t xml:space="preserve">合规条件应进入不可违反的动作可行域，不能允许策略用业务收益抵消违法或越权行为。</w:t>
      </w:r>
    </w:p>
    <w:p>
      <w:pPr>
        <w:pStyle w:val="Heading3"/>
      </w:pPr>
      <w:bookmarkStart w:id="77" w:name="求解增强型-grpo"/>
      <w:r>
        <w:t xml:space="preserve">5.4 求解：增强型 GRPO</w:t>
      </w:r>
      <w:bookmarkEnd w:id="77"/>
    </w:p>
    <w:p>
      <w:pPr>
        <w:pStyle w:val="FirstParagraph"/>
      </w:pPr>
      <w:r>
        <w:t xml:space="preserve">论文通过组内动作比较构造相对优势，配合参考策略 KL 约束和熵正则，提高训练稳定性，减少对显式价值网络的依赖。[S01，P0785—P0793]</w:t>
      </w:r>
    </w:p>
    <w:p>
      <w:pPr>
        <w:pStyle w:val="BodyText"/>
      </w:pPr>
      <w:r>
        <w:t xml:space="preserve">需要补证的是时间状态转移、跨字段动作耦合及长期收益。如果实际任务仍是给定风险下、各字段独立的四选一效用最大化，则逐字段枚举就能求解该静态目标，应作为必要基线。只有存在连续决策、共享历史累积、组合约束和长期成本时，强化学习的必要性才更清楚。项目可保留 GRPO 作为复杂策略推荐模块，先把规则可行域与审批流程建立起来。</w:t>
      </w:r>
    </w:p>
    <w:p>
      <w:pPr>
        <w:pStyle w:val="Heading2"/>
      </w:pPr>
      <w:bookmarkStart w:id="78" w:name="第-4.3-节已有实验与证据强度"/>
      <w:r>
        <w:t xml:space="preserve">6. 第 4.3 节：已有实验与证据强度</w:t>
      </w:r>
      <w:bookmarkEnd w:id="78"/>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1542"/>
        <w:gridCol w:w="2699"/>
        <w:gridCol w:w="2699"/>
        <w:gridCol w:w="2699"/>
      </w:tblGrid>
      <w:tr>
        <w:trPr>
          <w:cantSplit/>
          <w:tblHeader/>
        </w:trPr>
        <w:tc>
          <w:tcPr>
            <w:tcW w:type="dxa" w:w="1542"/>
            <w:shd w:fill="E8F0F5"/>
          </w:tcPr>
          <w:p>
            <w:pPr>
              <w:pStyle w:val="Compact"/>
              <w:keepNext w:val="0"/>
              <w:spacing w:after="60" w:before="60" w:line="264" w:lineRule="auto"/>
              <w:jc w:val="left"/>
            </w:pPr>
            <w:r>
              <w:rPr>
                <w:sz w:val="18"/>
              </w:rPr>
              <w:t xml:space="preserve">实验</w:t>
            </w:r>
          </w:p>
        </w:tc>
        <w:tc>
          <w:tcPr>
            <w:tcW w:type="dxa" w:w="2699"/>
            <w:shd w:fill="E8F0F5"/>
          </w:tcPr>
          <w:p>
            <w:pPr>
              <w:pStyle w:val="Compact"/>
              <w:keepNext w:val="0"/>
              <w:spacing w:after="60" w:before="60" w:line="264" w:lineRule="auto"/>
              <w:jc w:val="left"/>
            </w:pPr>
            <w:r>
              <w:rPr>
                <w:sz w:val="18"/>
              </w:rPr>
              <w:t xml:space="preserve">原文规模和结果</w:t>
            </w:r>
          </w:p>
        </w:tc>
        <w:tc>
          <w:tcPr>
            <w:tcW w:type="dxa" w:w="2699"/>
            <w:shd w:fill="E8F0F5"/>
          </w:tcPr>
          <w:p>
            <w:pPr>
              <w:pStyle w:val="Compact"/>
              <w:keepNext w:val="0"/>
              <w:spacing w:after="60" w:before="60" w:line="264" w:lineRule="auto"/>
              <w:jc w:val="left"/>
            </w:pPr>
            <w:r>
              <w:rPr>
                <w:sz w:val="18"/>
              </w:rPr>
              <w:t xml:space="preserve">可以支持的结论</w:t>
            </w:r>
          </w:p>
        </w:tc>
        <w:tc>
          <w:tcPr>
            <w:tcW w:type="dxa" w:w="2699"/>
            <w:shd w:fill="E8F0F5"/>
          </w:tcPr>
          <w:p>
            <w:pPr>
              <w:pStyle w:val="Compact"/>
              <w:keepNext w:val="0"/>
              <w:spacing w:after="60" w:before="60" w:line="264" w:lineRule="auto"/>
              <w:jc w:val="left"/>
            </w:pPr>
            <w:r>
              <w:rPr>
                <w:sz w:val="18"/>
              </w:rPr>
              <w:t xml:space="preserve">尚不能直接推出的结论</w:t>
            </w:r>
          </w:p>
        </w:tc>
      </w:tr>
      <w:tr>
        <w:trPr>
          <w:cantSplit/>
        </w:trPr>
        <w:tc>
          <w:tcPr>
            <w:tcW w:type="dxa" w:w="1542"/>
          </w:tcPr>
          <w:p>
            <w:pPr>
              <w:pStyle w:val="Compact"/>
              <w:keepNext w:val="0"/>
              <w:spacing w:after="60" w:before="60" w:line="264" w:lineRule="auto"/>
              <w:jc w:val="left"/>
            </w:pPr>
            <w:r>
              <w:rPr>
                <w:sz w:val="18"/>
              </w:rPr>
              <w:t xml:space="preserve">文本抽取</w:t>
            </w:r>
          </w:p>
        </w:tc>
        <w:tc>
          <w:tcPr>
            <w:tcW w:type="dxa" w:w="2699"/>
          </w:tcPr>
          <w:p>
            <w:pPr>
              <w:pStyle w:val="Compact"/>
              <w:keepNext w:val="0"/>
              <w:spacing w:after="60" w:before="60" w:line="264" w:lineRule="auto"/>
              <w:jc w:val="left"/>
            </w:pPr>
            <w:r>
              <w:rPr>
                <w:sz w:val="18"/>
              </w:rPr>
              <w:t xml:space="preserve">20 段文本、5 个工程属性；5 份模板和 10 条示例；RAG 字段准确率 94%、JSON 有效率 100%、完整率 97%</w:t>
            </w:r>
          </w:p>
        </w:tc>
        <w:tc>
          <w:tcPr>
            <w:tcW w:type="dxa" w:w="2699"/>
          </w:tcPr>
          <w:p>
            <w:pPr>
              <w:pStyle w:val="Compact"/>
              <w:keepNext w:val="0"/>
              <w:spacing w:after="60" w:before="60" w:line="264" w:lineRule="auto"/>
              <w:jc w:val="left"/>
            </w:pPr>
            <w:r>
              <w:rPr>
                <w:sz w:val="18"/>
              </w:rPr>
              <w:t xml:space="preserve">约束和检索有助于小样本工程属性抽取</w:t>
            </w:r>
          </w:p>
        </w:tc>
        <w:tc>
          <w:tcPr>
            <w:tcW w:type="dxa" w:w="2699"/>
          </w:tcPr>
          <w:p>
            <w:pPr>
              <w:pStyle w:val="Compact"/>
              <w:keepNext w:val="0"/>
              <w:spacing w:after="60" w:before="60" w:line="264" w:lineRule="auto"/>
              <w:jc w:val="left"/>
            </w:pPr>
            <w:r>
              <w:rPr>
                <w:sz w:val="18"/>
              </w:rPr>
              <w:t xml:space="preserve">已能准确解析全部法规条件、例外和效力关系</w:t>
            </w:r>
          </w:p>
        </w:tc>
      </w:tr>
      <w:tr>
        <w:trPr>
          <w:cantSplit/>
        </w:trPr>
        <w:tc>
          <w:tcPr>
            <w:tcW w:type="dxa" w:w="1542"/>
          </w:tcPr>
          <w:p>
            <w:pPr>
              <w:pStyle w:val="Compact"/>
              <w:keepNext w:val="0"/>
              <w:spacing w:after="60" w:before="60" w:line="264" w:lineRule="auto"/>
              <w:jc w:val="left"/>
            </w:pPr>
            <w:r>
              <w:rPr>
                <w:sz w:val="18"/>
              </w:rPr>
              <w:t xml:space="preserve">自编码器</w:t>
            </w:r>
          </w:p>
        </w:tc>
        <w:tc>
          <w:tcPr>
            <w:tcW w:type="dxa" w:w="2699"/>
          </w:tcPr>
          <w:p>
            <w:pPr>
              <w:pStyle w:val="Compact"/>
              <w:keepNext w:val="0"/>
              <w:spacing w:after="60" w:before="60" w:line="264" w:lineRule="auto"/>
              <w:jc w:val="left"/>
            </w:pPr>
            <w:r>
              <w:rPr>
                <w:sz w:val="18"/>
              </w:rPr>
              <w:t xml:space="preserve">6 类字段组合扩增到 60 个对象；6-4-2-4-6 结构；训练/验证重构误差 0.013/0.017</w:t>
            </w:r>
          </w:p>
        </w:tc>
        <w:tc>
          <w:tcPr>
            <w:tcW w:type="dxa" w:w="2699"/>
          </w:tcPr>
          <w:p>
            <w:pPr>
              <w:pStyle w:val="Compact"/>
              <w:keepNext w:val="0"/>
              <w:spacing w:after="60" w:before="60" w:line="264" w:lineRule="auto"/>
              <w:jc w:val="left"/>
            </w:pPr>
            <w:r>
              <w:rPr>
                <w:sz w:val="18"/>
              </w:rPr>
              <w:t xml:space="preserve">可压缩所构造的字段存在性样本</w:t>
            </w:r>
          </w:p>
        </w:tc>
        <w:tc>
          <w:tcPr>
            <w:tcW w:type="dxa" w:w="2699"/>
          </w:tcPr>
          <w:p>
            <w:pPr>
              <w:pStyle w:val="Compact"/>
              <w:keepNext w:val="0"/>
              <w:spacing w:after="60" w:before="60" w:line="264" w:lineRule="auto"/>
              <w:jc w:val="left"/>
            </w:pPr>
            <w:r>
              <w:rPr>
                <w:sz w:val="18"/>
              </w:rPr>
              <w:t xml:space="preserve">已提升真实业务中的分级准确率</w:t>
            </w:r>
          </w:p>
        </w:tc>
      </w:tr>
      <w:tr>
        <w:trPr>
          <w:cantSplit/>
        </w:trPr>
        <w:tc>
          <w:tcPr>
            <w:tcW w:type="dxa" w:w="1542"/>
          </w:tcPr>
          <w:p>
            <w:pPr>
              <w:pStyle w:val="Compact"/>
              <w:keepNext w:val="0"/>
              <w:spacing w:after="60" w:before="60" w:line="264" w:lineRule="auto"/>
              <w:jc w:val="left"/>
            </w:pPr>
            <w:r>
              <w:rPr>
                <w:sz w:val="18"/>
              </w:rPr>
              <w:t xml:space="preserve">FP-Growth 与分档</w:t>
            </w:r>
          </w:p>
        </w:tc>
        <w:tc>
          <w:tcPr>
            <w:tcW w:type="dxa" w:w="2699"/>
          </w:tcPr>
          <w:p>
            <w:pPr>
              <w:pStyle w:val="Compact"/>
              <w:keepNext w:val="0"/>
              <w:spacing w:after="60" w:before="60" w:line="264" w:lineRule="auto"/>
              <w:jc w:val="left"/>
            </w:pPr>
            <w:r>
              <w:rPr>
                <w:sz w:val="18"/>
              </w:rPr>
              <w:t xml:space="preserve">6 个线路对象；支持度 50%；11 个频繁项集；输出 3、3、1、4、4、2 级</w:t>
            </w:r>
          </w:p>
        </w:tc>
        <w:tc>
          <w:tcPr>
            <w:tcW w:type="dxa" w:w="2699"/>
          </w:tcPr>
          <w:p>
            <w:pPr>
              <w:pStyle w:val="Compact"/>
              <w:keepNext w:val="0"/>
              <w:spacing w:after="60" w:before="60" w:line="264" w:lineRule="auto"/>
              <w:jc w:val="left"/>
            </w:pPr>
            <w:r>
              <w:rPr>
                <w:sz w:val="18"/>
              </w:rPr>
              <w:t xml:space="preserve">展示了模式挖掘到对象打分的流程</w:t>
            </w:r>
          </w:p>
        </w:tc>
        <w:tc>
          <w:tcPr>
            <w:tcW w:type="dxa" w:w="2699"/>
          </w:tcPr>
          <w:p>
            <w:pPr>
              <w:pStyle w:val="Compact"/>
              <w:keepNext w:val="0"/>
              <w:spacing w:after="60" w:before="60" w:line="264" w:lineRule="auto"/>
              <w:jc w:val="left"/>
            </w:pPr>
            <w:r>
              <w:rPr>
                <w:sz w:val="18"/>
              </w:rPr>
              <w:t xml:space="preserve">四档与南网五级具有一致含义</w:t>
            </w:r>
          </w:p>
        </w:tc>
      </w:tr>
      <w:tr>
        <w:trPr>
          <w:cantSplit/>
        </w:trPr>
        <w:tc>
          <w:tcPr>
            <w:tcW w:type="dxa" w:w="1542"/>
          </w:tcPr>
          <w:p>
            <w:pPr>
              <w:pStyle w:val="Compact"/>
              <w:keepNext w:val="0"/>
              <w:spacing w:after="60" w:before="60" w:line="264" w:lineRule="auto"/>
              <w:jc w:val="left"/>
            </w:pPr>
            <w:r>
              <w:rPr>
                <w:sz w:val="18"/>
              </w:rPr>
              <w:t xml:space="preserve">动态分级</w:t>
            </w:r>
          </w:p>
        </w:tc>
        <w:tc>
          <w:tcPr>
            <w:tcW w:type="dxa" w:w="2699"/>
          </w:tcPr>
          <w:p>
            <w:pPr>
              <w:pStyle w:val="Compact"/>
              <w:keepNext w:val="0"/>
              <w:spacing w:after="60" w:before="60" w:line="264" w:lineRule="auto"/>
              <w:jc w:val="left"/>
            </w:pPr>
            <w:r>
              <w:rPr>
                <w:sz w:val="18"/>
              </w:rPr>
              <w:t xml:space="preserve">PJM 39 类特征；GRPO、PPO、DQN、静态策略比较</w:t>
            </w:r>
          </w:p>
        </w:tc>
        <w:tc>
          <w:tcPr>
            <w:tcW w:type="dxa" w:w="2699"/>
          </w:tcPr>
          <w:p>
            <w:pPr>
              <w:pStyle w:val="Compact"/>
              <w:keepNext w:val="0"/>
              <w:spacing w:after="60" w:before="60" w:line="264" w:lineRule="auto"/>
              <w:jc w:val="left"/>
            </w:pPr>
            <w:r>
              <w:rPr>
                <w:sz w:val="18"/>
              </w:rPr>
              <w:t xml:space="preserve">在设定环境和效用下存在策略差异</w:t>
            </w:r>
          </w:p>
        </w:tc>
        <w:tc>
          <w:tcPr>
            <w:tcW w:type="dxa" w:w="2699"/>
          </w:tcPr>
          <w:p>
            <w:pPr>
              <w:pStyle w:val="Compact"/>
              <w:keepNext w:val="0"/>
              <w:spacing w:after="60" w:before="60" w:line="264" w:lineRule="auto"/>
              <w:jc w:val="left"/>
            </w:pPr>
            <w:r>
              <w:rPr>
                <w:sz w:val="18"/>
              </w:rPr>
              <w:t xml:space="preserve">已证明南网实际风险按该效用比例降低</w:t>
            </w:r>
          </w:p>
        </w:tc>
      </w:tr>
    </w:tbl>
    <w:p>
      <w:pPr>
        <w:pStyle w:val="BodyText"/>
      </w:pPr>
      <w:r>
        <w:t xml:space="preserve">动态实验报告的最终综合效用分别为：静态策略 206.6、DQN 101.9、PPO 178.7、GRPO 210.5。GRPO 相比静态策略的增幅约为 1.9%。这支持</w:t>
      </w:r>
      <w:r>
        <w:t xml:space="preserve">“</w:t>
      </w:r>
      <w:r>
        <w:t xml:space="preserve">该实验中略优于静态基线</w:t>
      </w:r>
      <w:r>
        <w:t xml:space="preserve">”</w:t>
      </w:r>
      <w:r>
        <w:t xml:space="preserve">，不宜描述为数量级提升。训练曲线约为 −300 的平台与最终正效用数值采用什么汇总口径，也需在复用图表前说明。[S01，P0843、P0848]</w:t>
      </w:r>
    </w:p>
    <w:p>
      <w:pPr>
        <w:pStyle w:val="BodyText"/>
      </w:pPr>
      <w:r>
        <w:t xml:space="preserve">论文还报告动态扰动下的覆盖率及保护状态比例；这些结果属于原文自报的特定实验，本次没有重新核验，不能转作南网项目的验收承诺。</w:t>
      </w:r>
    </w:p>
    <w:p>
      <w:pPr>
        <w:pStyle w:val="Heading2"/>
      </w:pPr>
      <w:bookmarkStart w:id="79" w:name="哪些可以沿用哪些需要调整"/>
      <w:r>
        <w:t xml:space="preserve">7. 哪些可以沿用，哪些需要调整</w:t>
      </w:r>
      <w:bookmarkEnd w:id="79"/>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组成</w:t>
            </w:r>
          </w:p>
        </w:tc>
        <w:tc>
          <w:tcPr>
            <w:tcW w:type="dxa" w:w="4048"/>
            <w:shd w:fill="E8F0F5"/>
          </w:tcPr>
          <w:p>
            <w:pPr>
              <w:pStyle w:val="Compact"/>
              <w:keepNext w:val="0"/>
              <w:spacing w:after="60" w:before="60" w:line="264" w:lineRule="auto"/>
              <w:jc w:val="left"/>
            </w:pPr>
            <w:r>
              <w:rPr>
                <w:sz w:val="18"/>
              </w:rPr>
              <w:t xml:space="preserve">建议定位</w:t>
            </w:r>
          </w:p>
        </w:tc>
        <w:tc>
          <w:tcPr>
            <w:tcW w:type="dxa" w:w="3470"/>
            <w:shd w:fill="E8F0F5"/>
          </w:tcPr>
          <w:p>
            <w:pPr>
              <w:pStyle w:val="Compact"/>
              <w:keepNext w:val="0"/>
              <w:spacing w:after="60" w:before="60" w:line="264" w:lineRule="auto"/>
              <w:jc w:val="left"/>
            </w:pPr>
            <w:r>
              <w:rPr>
                <w:sz w:val="18"/>
              </w:rPr>
              <w:t xml:space="preserve">整合动作</w:t>
            </w:r>
          </w:p>
        </w:tc>
      </w:tr>
      <w:tr>
        <w:trPr>
          <w:cantSplit/>
        </w:trPr>
        <w:tc>
          <w:tcPr>
            <w:tcW w:type="dxa" w:w="2120"/>
          </w:tcPr>
          <w:p>
            <w:pPr>
              <w:pStyle w:val="Compact"/>
              <w:keepNext w:val="0"/>
              <w:spacing w:after="60" w:before="60" w:line="264" w:lineRule="auto"/>
              <w:jc w:val="left"/>
            </w:pPr>
            <w:r>
              <w:rPr>
                <w:sz w:val="18"/>
              </w:rPr>
              <w:t xml:space="preserve">文档抽取、RAG</w:t>
            </w:r>
          </w:p>
        </w:tc>
        <w:tc>
          <w:tcPr>
            <w:tcW w:type="dxa" w:w="4048"/>
          </w:tcPr>
          <w:p>
            <w:pPr>
              <w:pStyle w:val="Compact"/>
              <w:keepNext w:val="0"/>
              <w:spacing w:after="60" w:before="60" w:line="264" w:lineRule="auto"/>
              <w:jc w:val="left"/>
            </w:pPr>
            <w:r>
              <w:rPr>
                <w:sz w:val="18"/>
              </w:rPr>
              <w:t xml:space="preserve">规则与业务语义获取</w:t>
            </w:r>
          </w:p>
        </w:tc>
        <w:tc>
          <w:tcPr>
            <w:tcW w:type="dxa" w:w="3470"/>
          </w:tcPr>
          <w:p>
            <w:pPr>
              <w:pStyle w:val="Compact"/>
              <w:keepNext w:val="0"/>
              <w:spacing w:after="60" w:before="60" w:line="264" w:lineRule="auto"/>
              <w:jc w:val="left"/>
            </w:pPr>
            <w:r>
              <w:rPr>
                <w:sz w:val="18"/>
              </w:rPr>
              <w:t xml:space="preserve">导入南网原文，保留条款、条件、版本和人工审核</w:t>
            </w:r>
          </w:p>
        </w:tc>
      </w:tr>
      <w:tr>
        <w:trPr>
          <w:cantSplit/>
        </w:trPr>
        <w:tc>
          <w:tcPr>
            <w:tcW w:type="dxa" w:w="2120"/>
          </w:tcPr>
          <w:p>
            <w:pPr>
              <w:pStyle w:val="Compact"/>
              <w:keepNext w:val="0"/>
              <w:spacing w:after="60" w:before="60" w:line="264" w:lineRule="auto"/>
              <w:jc w:val="left"/>
            </w:pPr>
            <w:r>
              <w:rPr>
                <w:sz w:val="18"/>
              </w:rPr>
              <w:t xml:space="preserve">自编码器</w:t>
            </w:r>
          </w:p>
        </w:tc>
        <w:tc>
          <w:tcPr>
            <w:tcW w:type="dxa" w:w="4048"/>
          </w:tcPr>
          <w:p>
            <w:pPr>
              <w:pStyle w:val="Compact"/>
              <w:keepNext w:val="0"/>
              <w:spacing w:after="60" w:before="60" w:line="264" w:lineRule="auto"/>
              <w:jc w:val="left"/>
            </w:pPr>
            <w:r>
              <w:rPr>
                <w:sz w:val="18"/>
              </w:rPr>
              <w:t xml:space="preserve">可选的特征辅助</w:t>
            </w:r>
          </w:p>
        </w:tc>
        <w:tc>
          <w:tcPr>
            <w:tcW w:type="dxa" w:w="3470"/>
          </w:tcPr>
          <w:p>
            <w:pPr>
              <w:pStyle w:val="Compact"/>
              <w:keepNext w:val="0"/>
              <w:spacing w:after="60" w:before="60" w:line="264" w:lineRule="auto"/>
              <w:jc w:val="left"/>
            </w:pPr>
            <w:r>
              <w:rPr>
                <w:sz w:val="18"/>
              </w:rPr>
              <w:t xml:space="preserve">保留字段映射；通过消融确认其实际价值</w:t>
            </w:r>
          </w:p>
        </w:tc>
      </w:tr>
      <w:tr>
        <w:trPr>
          <w:cantSplit/>
        </w:trPr>
        <w:tc>
          <w:tcPr>
            <w:tcW w:type="dxa" w:w="2120"/>
          </w:tcPr>
          <w:p>
            <w:pPr>
              <w:pStyle w:val="Compact"/>
              <w:keepNext w:val="0"/>
              <w:spacing w:after="60" w:before="60" w:line="264" w:lineRule="auto"/>
              <w:jc w:val="left"/>
            </w:pPr>
            <w:r>
              <w:rPr>
                <w:sz w:val="18"/>
              </w:rPr>
              <w:t xml:space="preserve">FP-Growth</w:t>
            </w:r>
          </w:p>
        </w:tc>
        <w:tc>
          <w:tcPr>
            <w:tcW w:type="dxa" w:w="4048"/>
          </w:tcPr>
          <w:p>
            <w:pPr>
              <w:pStyle w:val="Compact"/>
              <w:keepNext w:val="0"/>
              <w:spacing w:after="60" w:before="60" w:line="264" w:lineRule="auto"/>
              <w:jc w:val="left"/>
            </w:pPr>
            <w:r>
              <w:rPr>
                <w:sz w:val="18"/>
              </w:rPr>
              <w:t xml:space="preserve">常见敏感组合发现</w:t>
            </w:r>
          </w:p>
        </w:tc>
        <w:tc>
          <w:tcPr>
            <w:tcW w:type="dxa" w:w="3470"/>
          </w:tcPr>
          <w:p>
            <w:pPr>
              <w:pStyle w:val="Compact"/>
              <w:keepNext w:val="0"/>
              <w:spacing w:after="60" w:before="60" w:line="264" w:lineRule="auto"/>
              <w:jc w:val="left"/>
            </w:pPr>
            <w:r>
              <w:rPr>
                <w:sz w:val="18"/>
              </w:rPr>
              <w:t xml:space="preserve">作为线索和优先级；稀有敏感项仍受硬规则保护</w:t>
            </w:r>
          </w:p>
        </w:tc>
      </w:tr>
      <w:tr>
        <w:trPr>
          <w:cantSplit/>
        </w:trPr>
        <w:tc>
          <w:tcPr>
            <w:tcW w:type="dxa" w:w="2120"/>
          </w:tcPr>
          <w:p>
            <w:pPr>
              <w:pStyle w:val="Compact"/>
              <w:keepNext w:val="0"/>
              <w:spacing w:after="60" w:before="60" w:line="264" w:lineRule="auto"/>
              <w:jc w:val="left"/>
            </w:pPr>
            <w:r>
              <w:rPr>
                <w:sz w:val="18"/>
              </w:rPr>
              <w:t xml:space="preserve">多度量关联图</w:t>
            </w:r>
          </w:p>
        </w:tc>
        <w:tc>
          <w:tcPr>
            <w:tcW w:type="dxa" w:w="4048"/>
          </w:tcPr>
          <w:p>
            <w:pPr>
              <w:pStyle w:val="Compact"/>
              <w:keepNext w:val="0"/>
              <w:spacing w:after="60" w:before="60" w:line="264" w:lineRule="auto"/>
              <w:jc w:val="left"/>
            </w:pPr>
            <w:r>
              <w:rPr>
                <w:sz w:val="18"/>
              </w:rPr>
              <w:t xml:space="preserve">关联线索与解释</w:t>
            </w:r>
          </w:p>
        </w:tc>
        <w:tc>
          <w:tcPr>
            <w:tcW w:type="dxa" w:w="3470"/>
          </w:tcPr>
          <w:p>
            <w:pPr>
              <w:pStyle w:val="Compact"/>
              <w:keepNext w:val="0"/>
              <w:spacing w:after="60" w:before="60" w:line="264" w:lineRule="auto"/>
              <w:jc w:val="left"/>
            </w:pPr>
            <w:r>
              <w:rPr>
                <w:sz w:val="18"/>
              </w:rPr>
              <w:t xml:space="preserve">作为候选提议器，保留未被图覆盖的组合检查</w:t>
            </w:r>
          </w:p>
        </w:tc>
      </w:tr>
      <w:tr>
        <w:trPr>
          <w:cantSplit/>
        </w:trPr>
        <w:tc>
          <w:tcPr>
            <w:tcW w:type="dxa" w:w="2120"/>
          </w:tcPr>
          <w:p>
            <w:pPr>
              <w:pStyle w:val="Compact"/>
              <w:keepNext w:val="0"/>
              <w:spacing w:after="60" w:before="60" w:line="264" w:lineRule="auto"/>
              <w:jc w:val="left"/>
            </w:pPr>
            <w:r>
              <w:rPr>
                <w:sz w:val="18"/>
              </w:rPr>
              <w:t xml:space="preserve">单字段最大 MIC</w:t>
            </w:r>
          </w:p>
        </w:tc>
        <w:tc>
          <w:tcPr>
            <w:tcW w:type="dxa" w:w="4048"/>
          </w:tcPr>
          <w:p>
            <w:pPr>
              <w:pStyle w:val="Compact"/>
              <w:keepNext w:val="0"/>
              <w:spacing w:after="60" w:before="60" w:line="264" w:lineRule="auto"/>
              <w:jc w:val="left"/>
            </w:pPr>
            <w:r>
              <w:rPr>
                <w:sz w:val="18"/>
              </w:rPr>
              <w:t xml:space="preserve">关联风险代理量</w:t>
            </w:r>
          </w:p>
        </w:tc>
        <w:tc>
          <w:tcPr>
            <w:tcW w:type="dxa" w:w="3470"/>
          </w:tcPr>
          <w:p>
            <w:pPr>
              <w:pStyle w:val="Compact"/>
              <w:keepNext w:val="0"/>
              <w:spacing w:after="60" w:before="60" w:line="264" w:lineRule="auto"/>
              <w:jc w:val="left"/>
            </w:pPr>
            <w:r>
              <w:rPr>
                <w:sz w:val="18"/>
              </w:rPr>
              <w:t xml:space="preserve">接入背景组合推断证据，不能继续单独代表实际推断能力</w:t>
            </w:r>
          </w:p>
        </w:tc>
      </w:tr>
      <w:tr>
        <w:trPr>
          <w:cantSplit/>
        </w:trPr>
        <w:tc>
          <w:tcPr>
            <w:tcW w:type="dxa" w:w="2120"/>
          </w:tcPr>
          <w:p>
            <w:pPr>
              <w:pStyle w:val="Compact"/>
              <w:keepNext w:val="0"/>
              <w:spacing w:after="60" w:before="60" w:line="264" w:lineRule="auto"/>
              <w:jc w:val="left"/>
            </w:pPr>
            <w:r>
              <w:rPr>
                <w:sz w:val="18"/>
              </w:rPr>
              <w:t xml:space="preserve">四档自动等级</w:t>
            </w:r>
          </w:p>
        </w:tc>
        <w:tc>
          <w:tcPr>
            <w:tcW w:type="dxa" w:w="4048"/>
          </w:tcPr>
          <w:p>
            <w:pPr>
              <w:pStyle w:val="Compact"/>
              <w:keepNext w:val="0"/>
              <w:spacing w:after="60" w:before="60" w:line="264" w:lineRule="auto"/>
              <w:jc w:val="left"/>
            </w:pPr>
            <w:r>
              <w:rPr>
                <w:sz w:val="18"/>
              </w:rPr>
              <w:t xml:space="preserve">研究动作空间</w:t>
            </w:r>
          </w:p>
        </w:tc>
        <w:tc>
          <w:tcPr>
            <w:tcW w:type="dxa" w:w="3470"/>
          </w:tcPr>
          <w:p>
            <w:pPr>
              <w:pStyle w:val="Compact"/>
              <w:keepNext w:val="0"/>
              <w:spacing w:after="60" w:before="60" w:line="264" w:lineRule="auto"/>
              <w:jc w:val="left"/>
            </w:pPr>
            <w:r>
              <w:rPr>
                <w:sz w:val="18"/>
              </w:rPr>
              <w:t xml:space="preserve">拆分为南网基线等级、风险复核建议和实际保护动作</w:t>
            </w:r>
          </w:p>
        </w:tc>
      </w:tr>
      <w:tr>
        <w:trPr>
          <w:cantSplit/>
        </w:trPr>
        <w:tc>
          <w:tcPr>
            <w:tcW w:type="dxa" w:w="2120"/>
          </w:tcPr>
          <w:p>
            <w:pPr>
              <w:pStyle w:val="Compact"/>
              <w:keepNext w:val="0"/>
              <w:spacing w:after="60" w:before="60" w:line="264" w:lineRule="auto"/>
              <w:jc w:val="left"/>
            </w:pPr>
            <w:r>
              <w:rPr>
                <w:sz w:val="18"/>
              </w:rPr>
              <w:t xml:space="preserve">GRPO</w:t>
            </w:r>
          </w:p>
        </w:tc>
        <w:tc>
          <w:tcPr>
            <w:tcW w:type="dxa" w:w="4048"/>
          </w:tcPr>
          <w:p>
            <w:pPr>
              <w:pStyle w:val="Compact"/>
              <w:keepNext w:val="0"/>
              <w:spacing w:after="60" w:before="60" w:line="264" w:lineRule="auto"/>
              <w:jc w:val="left"/>
            </w:pPr>
            <w:r>
              <w:rPr>
                <w:sz w:val="18"/>
              </w:rPr>
              <w:t xml:space="preserve">安全与利用约束下的策略推荐</w:t>
            </w:r>
          </w:p>
        </w:tc>
        <w:tc>
          <w:tcPr>
            <w:tcW w:type="dxa" w:w="3470"/>
          </w:tcPr>
          <w:p>
            <w:pPr>
              <w:pStyle w:val="Compact"/>
              <w:keepNext w:val="0"/>
              <w:spacing w:after="60" w:before="60" w:line="264" w:lineRule="auto"/>
              <w:jc w:val="left"/>
            </w:pPr>
            <w:r>
              <w:rPr>
                <w:sz w:val="18"/>
              </w:rPr>
              <w:t xml:space="preserve">先设硬约束，再离线求解、复核、审批和执行</w:t>
            </w:r>
          </w:p>
        </w:tc>
      </w:tr>
    </w:tbl>
    <w:p>
      <w:pPr>
        <w:pStyle w:val="BodyText"/>
      </w:pPr>
      <w:r>
        <w:t xml:space="preserve">一个具体盲点值得在项目说明中保留：线路 3 的端点 2 和电阻因低于支持度阈值被过滤，初始模式分数因此为零。</w:t>
      </w:r>
      <w:r>
        <w:rPr>
          <w:b/>
        </w:rPr>
        <w:t xml:space="preserve">模式分数为零仅表示没有覆盖保留的频繁模式，不表示数据没有敏感性。</w:t>
      </w:r>
      <w:r>
        <w:t xml:space="preserve"> </w:t>
      </w:r>
      <w:r>
        <w:t xml:space="preserve">这正说明制度规则需要先于统计筛选生效。</w:t>
      </w:r>
    </w:p>
    <w:p>
      <w:pPr>
        <w:pStyle w:val="Heading2"/>
      </w:pPr>
      <w:bookmarkStart w:id="80" w:name="原文定位"/>
      <w:r>
        <w:t xml:space="preserve">8. 原文定位</w:t>
      </w:r>
      <w:bookmarkEnd w:id="80"/>
    </w:p>
    <w:p>
      <w:pPr>
        <w:pStyle w:val="FirstParagraph"/>
      </w:pPr>
      <w:r>
        <w:t xml:space="preserve">S01 提取文本位于</w:t>
      </w:r>
      <w:r>
        <w:t xml:space="preserve"> </w:t>
      </w:r>
      <w:r>
        <w:rPr>
          <w:rStyle w:val="VerbatimChar"/>
        </w:rPr>
        <w:t xml:space="preserve">工作底稿/提取文本/S01_邢之熠_毕业论文.md</w:t>
      </w:r>
      <w:r>
        <w:t xml:space="preserve">，P/T 编号按 DOCX 正文顺序生成；表格以原章内表号为主，P/T 编号用于辅助检索。原文的公式多数为 MathType 对象，纯文本会缺失；本次另转换 PDF 并对动态模型的风险与效用公式进行了目视核对。</w:t>
      </w:r>
    </w:p>
    <w:p>
      <w:pPr>
        <w:pStyle w:val="Compact"/>
        <w:numPr>
          <w:numId w:val="1005"/>
          <w:ilvl w:val="0"/>
        </w:numPr>
      </w:pPr>
      <w:r>
        <w:t xml:space="preserve">3.1：P0509—P0562；表 3-1 为 T0536。</w:t>
      </w:r>
    </w:p>
    <w:p>
      <w:pPr>
        <w:pStyle w:val="Compact"/>
        <w:numPr>
          <w:numId w:val="1005"/>
          <w:ilvl w:val="0"/>
        </w:numPr>
      </w:pPr>
      <w:r>
        <w:t xml:space="preserve">3.4.2：P0658—P0672；表 3-2、3-3、3-4 分别为 T0661、T0665、T0669。</w:t>
      </w:r>
    </w:p>
    <w:p>
      <w:pPr>
        <w:pStyle w:val="Compact"/>
        <w:numPr>
          <w:numId w:val="1005"/>
          <w:ilvl w:val="0"/>
        </w:numPr>
      </w:pPr>
      <w:r>
        <w:t xml:space="preserve">4.1：P0728—P0757；算法 4-1 至 4-3 为 T0752、T0754、T0756。</w:t>
      </w:r>
    </w:p>
    <w:p>
      <w:pPr>
        <w:pStyle w:val="Compact"/>
        <w:numPr>
          <w:numId w:val="1005"/>
          <w:ilvl w:val="0"/>
        </w:numPr>
      </w:pPr>
      <w:r>
        <w:t xml:space="preserve">4.2：P0758—P0793。</w:t>
      </w:r>
    </w:p>
    <w:p>
      <w:pPr>
        <w:pStyle w:val="Compact"/>
        <w:numPr>
          <w:numId w:val="1005"/>
          <w:ilvl w:val="0"/>
        </w:numPr>
      </w:pPr>
      <w:r>
        <w:t xml:space="preserve">4.3：P0794—P0855；抽取表 T0808、T0811，分档表 T0836。</w:t>
      </w:r>
    </w:p>
    <w:p>
      <w:pPr>
        <w:pStyle w:val="Compact"/>
        <w:numPr>
          <w:numId w:val="1005"/>
          <w:ilvl w:val="0"/>
        </w:numPr>
      </w:pPr>
      <w:r>
        <w:t xml:space="preserve">4.4：P0856—P0857。</w:t>
      </w:r>
    </w:p>
    <w:p>
      <w:pPr>
        <w:pStyle w:val="Heading1"/>
        <w:pageBreakBefore/>
      </w:pPr>
      <w:bookmarkStart w:id="81" w:name="附录二南网文件逐份解读与可用规则"/>
      <w:r>
        <w:t xml:space="preserve">附录二：南网文件逐份解读与可用规则</w:t>
      </w:r>
      <w:bookmarkEnd w:id="81"/>
    </w:p>
    <w:p>
      <w:pPr>
        <w:pStyle w:val="FirstParagraph"/>
      </w:pPr>
      <w:r>
        <w:t xml:space="preserve">分析日期：2026-09-29。压缩包完整解压至相邻目录</w:t>
      </w:r>
      <w:r>
        <w:t xml:space="preserve"> </w:t>
      </w:r>
      <w:r>
        <w:rPr>
          <w:rStyle w:val="VerbatimChar"/>
        </w:rPr>
        <w:t xml:space="preserve">南网文件_解压/</w:t>
      </w:r>
      <w:r>
        <w:t xml:space="preserve">，共 9 个文件；原 ZIP 保留。本文区分材料的版本标记、原文要求、目录统计结果与项目建议。</w:t>
      </w:r>
    </w:p>
    <w:p>
      <w:pPr>
        <w:pStyle w:val="Heading2"/>
      </w:pPr>
      <w:bookmarkStart w:id="82" w:name="这批材料实际上覆盖了什么"/>
      <w:r>
        <w:t xml:space="preserve">1. 这批材料实际上覆盖了什么</w:t>
      </w:r>
      <w:bookmarkEnd w:id="82"/>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来源</w:t>
            </w:r>
          </w:p>
        </w:tc>
        <w:tc>
          <w:tcPr>
            <w:tcW w:type="dxa" w:w="4048"/>
            <w:shd w:fill="E8F0F5"/>
          </w:tcPr>
          <w:p>
            <w:pPr>
              <w:pStyle w:val="Compact"/>
              <w:keepNext w:val="0"/>
              <w:spacing w:after="60" w:before="60" w:line="264" w:lineRule="auto"/>
              <w:jc w:val="left"/>
            </w:pPr>
            <w:r>
              <w:rPr>
                <w:sz w:val="18"/>
              </w:rPr>
              <w:t xml:space="preserve">文件</w:t>
            </w:r>
          </w:p>
        </w:tc>
        <w:tc>
          <w:tcPr>
            <w:tcW w:type="dxa" w:w="3470"/>
            <w:shd w:fill="E8F0F5"/>
          </w:tcPr>
          <w:p>
            <w:pPr>
              <w:pStyle w:val="Compact"/>
              <w:keepNext w:val="0"/>
              <w:spacing w:after="60" w:before="60" w:line="264" w:lineRule="auto"/>
              <w:jc w:val="left"/>
            </w:pPr>
            <w:r>
              <w:rPr>
                <w:sz w:val="18"/>
              </w:rPr>
              <w:t xml:space="preserve">材料状态与用途</w:t>
            </w:r>
          </w:p>
        </w:tc>
      </w:tr>
      <w:tr>
        <w:trPr>
          <w:cantSplit/>
        </w:trPr>
        <w:tc>
          <w:tcPr>
            <w:tcW w:type="dxa" w:w="2120"/>
          </w:tcPr>
          <w:p>
            <w:pPr>
              <w:pStyle w:val="Compact"/>
              <w:keepNext w:val="0"/>
              <w:spacing w:after="60" w:before="60" w:line="264" w:lineRule="auto"/>
              <w:jc w:val="left"/>
            </w:pPr>
            <w:r>
              <w:rPr>
                <w:sz w:val="18"/>
              </w:rPr>
              <w:t xml:space="preserve">S02</w:t>
            </w:r>
          </w:p>
        </w:tc>
        <w:tc>
          <w:tcPr>
            <w:tcW w:type="dxa" w:w="4048"/>
          </w:tcPr>
          <w:p>
            <w:pPr>
              <w:pStyle w:val="Compact"/>
              <w:keepNext w:val="0"/>
              <w:spacing w:after="60" w:before="60" w:line="264" w:lineRule="auto"/>
              <w:jc w:val="left"/>
            </w:pPr>
            <w:r>
              <w:rPr>
                <w:sz w:val="18"/>
              </w:rPr>
              <w:t xml:space="preserve">数据分类分级工作手册，2026-07-27 文件</w:t>
            </w:r>
          </w:p>
        </w:tc>
        <w:tc>
          <w:tcPr>
            <w:tcW w:type="dxa" w:w="3470"/>
          </w:tcPr>
          <w:p>
            <w:pPr>
              <w:pStyle w:val="Compact"/>
              <w:keepNext w:val="0"/>
              <w:spacing w:after="60" w:before="60" w:line="264" w:lineRule="auto"/>
              <w:jc w:val="left"/>
            </w:pPr>
            <w:r>
              <w:rPr>
                <w:sz w:val="18"/>
              </w:rPr>
              <w:t xml:space="preserve">封面为</w:t>
            </w:r>
            <w:r>
              <w:rPr>
                <w:sz w:val="18"/>
              </w:rPr>
              <w:t xml:space="preserve">“</w:t>
            </w:r>
            <w:r>
              <w:rPr>
                <w:sz w:val="18"/>
              </w:rPr>
              <w:t xml:space="preserve">征求意见稿</w:t>
            </w:r>
            <w:r>
              <w:rPr>
                <w:sz w:val="18"/>
              </w:rPr>
              <w:t xml:space="preserve">”</w:t>
            </w:r>
            <w:r>
              <w:rPr>
                <w:sz w:val="18"/>
              </w:rPr>
              <w:t xml:space="preserve">，2026 年 7 月；规定业务分类、五级判断、审批固化和动态更新</w:t>
            </w:r>
          </w:p>
        </w:tc>
      </w:tr>
      <w:tr>
        <w:trPr>
          <w:cantSplit/>
        </w:trPr>
        <w:tc>
          <w:tcPr>
            <w:tcW w:type="dxa" w:w="2120"/>
          </w:tcPr>
          <w:p>
            <w:pPr>
              <w:pStyle w:val="Compact"/>
              <w:keepNext w:val="0"/>
              <w:spacing w:after="60" w:before="60" w:line="264" w:lineRule="auto"/>
              <w:jc w:val="left"/>
            </w:pPr>
            <w:r>
              <w:rPr>
                <w:sz w:val="18"/>
              </w:rPr>
              <w:t xml:space="preserve">S03</w:t>
            </w:r>
          </w:p>
        </w:tc>
        <w:tc>
          <w:tcPr>
            <w:tcW w:type="dxa" w:w="4048"/>
          </w:tcPr>
          <w:p>
            <w:pPr>
              <w:pStyle w:val="Compact"/>
              <w:keepNext w:val="0"/>
              <w:spacing w:after="60" w:before="60" w:line="264" w:lineRule="auto"/>
              <w:jc w:val="left"/>
            </w:pPr>
            <w:r>
              <w:rPr>
                <w:sz w:val="18"/>
              </w:rPr>
              <w:t xml:space="preserve">数据安全风险评估工作手册，2026-07-27 文件</w:t>
            </w:r>
          </w:p>
        </w:tc>
        <w:tc>
          <w:tcPr>
            <w:tcW w:type="dxa" w:w="3470"/>
          </w:tcPr>
          <w:p>
            <w:pPr>
              <w:pStyle w:val="Compact"/>
              <w:keepNext w:val="0"/>
              <w:spacing w:after="60" w:before="60" w:line="264" w:lineRule="auto"/>
              <w:jc w:val="left"/>
            </w:pPr>
            <w:r>
              <w:rPr>
                <w:sz w:val="18"/>
              </w:rPr>
              <w:t xml:space="preserve">封面为</w:t>
            </w:r>
            <w:r>
              <w:rPr>
                <w:sz w:val="18"/>
              </w:rPr>
              <w:t xml:space="preserve">“</w:t>
            </w:r>
            <w:r>
              <w:rPr>
                <w:sz w:val="18"/>
              </w:rPr>
              <w:t xml:space="preserve">2026 年修订版</w:t>
            </w:r>
            <w:r>
              <w:rPr>
                <w:sz w:val="18"/>
              </w:rPr>
              <w:t xml:space="preserve">”</w:t>
            </w:r>
            <w:r>
              <w:rPr>
                <w:sz w:val="18"/>
              </w:rPr>
              <w:t xml:space="preserve">；规定系统风险评估流程、检查项、评价矩阵和报告模板；包内未附完整生效通知</w:t>
            </w:r>
          </w:p>
        </w:tc>
      </w:tr>
      <w:tr>
        <w:trPr>
          <w:cantSplit/>
        </w:trPr>
        <w:tc>
          <w:tcPr>
            <w:tcW w:type="dxa" w:w="2120"/>
          </w:tcPr>
          <w:p>
            <w:pPr>
              <w:pStyle w:val="Compact"/>
              <w:keepNext w:val="0"/>
              <w:spacing w:after="60" w:before="60" w:line="264" w:lineRule="auto"/>
              <w:jc w:val="left"/>
            </w:pPr>
            <w:r>
              <w:rPr>
                <w:sz w:val="18"/>
              </w:rPr>
              <w:t xml:space="preserve">S04</w:t>
            </w:r>
          </w:p>
        </w:tc>
        <w:tc>
          <w:tcPr>
            <w:tcW w:type="dxa" w:w="4048"/>
          </w:tcPr>
          <w:p>
            <w:pPr>
              <w:pStyle w:val="Compact"/>
              <w:keepNext w:val="0"/>
              <w:spacing w:after="60" w:before="60" w:line="264" w:lineRule="auto"/>
              <w:jc w:val="left"/>
            </w:pPr>
            <w:r>
              <w:rPr>
                <w:sz w:val="18"/>
              </w:rPr>
              <w:t xml:space="preserve">开放目录征求意见通知的收文处理单</w:t>
            </w:r>
          </w:p>
        </w:tc>
        <w:tc>
          <w:tcPr>
            <w:tcW w:type="dxa" w:w="3470"/>
          </w:tcPr>
          <w:p>
            <w:pPr>
              <w:pStyle w:val="Compact"/>
              <w:keepNext w:val="0"/>
              <w:spacing w:after="60" w:before="60" w:line="264" w:lineRule="auto"/>
              <w:jc w:val="left"/>
            </w:pPr>
            <w:r>
              <w:rPr>
                <w:sz w:val="18"/>
              </w:rPr>
              <w:t xml:space="preserve">记录原文与内部流转，不是新的目录批准文件；文件名中的 2026-01-07 不应当作政策发布日期</w:t>
            </w:r>
          </w:p>
        </w:tc>
      </w:tr>
      <w:tr>
        <w:trPr>
          <w:cantSplit/>
        </w:trPr>
        <w:tc>
          <w:tcPr>
            <w:tcW w:type="dxa" w:w="2120"/>
          </w:tcPr>
          <w:p>
            <w:pPr>
              <w:pStyle w:val="Compact"/>
              <w:keepNext w:val="0"/>
              <w:spacing w:after="60" w:before="60" w:line="264" w:lineRule="auto"/>
              <w:jc w:val="left"/>
            </w:pPr>
            <w:r>
              <w:rPr>
                <w:sz w:val="18"/>
              </w:rPr>
              <w:t xml:space="preserve">S05</w:t>
            </w:r>
          </w:p>
        </w:tc>
        <w:tc>
          <w:tcPr>
            <w:tcW w:type="dxa" w:w="4048"/>
          </w:tcPr>
          <w:p>
            <w:pPr>
              <w:pStyle w:val="Compact"/>
              <w:keepNext w:val="0"/>
              <w:spacing w:after="60" w:before="60" w:line="264" w:lineRule="auto"/>
              <w:jc w:val="left"/>
            </w:pPr>
            <w:r>
              <w:rPr>
                <w:sz w:val="18"/>
              </w:rPr>
              <w:t xml:space="preserve">开放目录征求意见通知正文</w:t>
            </w:r>
          </w:p>
        </w:tc>
        <w:tc>
          <w:tcPr>
            <w:tcW w:type="dxa" w:w="3470"/>
          </w:tcPr>
          <w:p>
            <w:pPr>
              <w:pStyle w:val="Compact"/>
              <w:keepNext w:val="0"/>
              <w:spacing w:after="60" w:before="60" w:line="264" w:lineRule="auto"/>
              <w:jc w:val="left"/>
            </w:pPr>
            <w:r>
              <w:rPr>
                <w:sz w:val="18"/>
              </w:rPr>
              <w:t xml:space="preserve">原文文号办数字〔2025〕76号，落款 2025-11-24，印发 2025-11-25；要求对目录提出意见</w:t>
            </w:r>
          </w:p>
        </w:tc>
      </w:tr>
      <w:tr>
        <w:trPr>
          <w:cantSplit/>
        </w:trPr>
        <w:tc>
          <w:tcPr>
            <w:tcW w:type="dxa" w:w="2120"/>
          </w:tcPr>
          <w:p>
            <w:pPr>
              <w:pStyle w:val="Compact"/>
              <w:keepNext w:val="0"/>
              <w:spacing w:after="60" w:before="60" w:line="264" w:lineRule="auto"/>
              <w:jc w:val="left"/>
            </w:pPr>
            <w:r>
              <w:rPr>
                <w:sz w:val="18"/>
              </w:rPr>
              <w:t xml:space="preserve">S06</w:t>
            </w:r>
          </w:p>
        </w:tc>
        <w:tc>
          <w:tcPr>
            <w:tcW w:type="dxa" w:w="4048"/>
          </w:tcPr>
          <w:p>
            <w:pPr>
              <w:pStyle w:val="Compact"/>
              <w:keepNext w:val="0"/>
              <w:spacing w:after="60" w:before="60" w:line="264" w:lineRule="auto"/>
              <w:jc w:val="left"/>
            </w:pPr>
            <w:r>
              <w:rPr>
                <w:sz w:val="18"/>
              </w:rPr>
              <w:t xml:space="preserve">第二批数据开放目录 XLSX</w:t>
            </w:r>
          </w:p>
        </w:tc>
        <w:tc>
          <w:tcPr>
            <w:tcW w:type="dxa" w:w="3470"/>
          </w:tcPr>
          <w:p>
            <w:pPr>
              <w:pStyle w:val="Compact"/>
              <w:keepNext w:val="0"/>
              <w:spacing w:after="60" w:before="60" w:line="264" w:lineRule="auto"/>
              <w:jc w:val="left"/>
            </w:pPr>
            <w:r>
              <w:rPr>
                <w:sz w:val="18"/>
              </w:rPr>
              <w:t xml:space="preserve">征求意见稿，561 项资源，提供资源、字段、场景、开放对象和条件等元数据</w:t>
            </w:r>
          </w:p>
        </w:tc>
      </w:tr>
      <w:tr>
        <w:trPr>
          <w:cantSplit/>
        </w:trPr>
        <w:tc>
          <w:tcPr>
            <w:tcW w:type="dxa" w:w="2120"/>
          </w:tcPr>
          <w:p>
            <w:pPr>
              <w:pStyle w:val="Compact"/>
              <w:keepNext w:val="0"/>
              <w:spacing w:after="60" w:before="60" w:line="264" w:lineRule="auto"/>
              <w:jc w:val="left"/>
            </w:pPr>
            <w:r>
              <w:rPr>
                <w:sz w:val="18"/>
              </w:rPr>
              <w:t xml:space="preserve">S07</w:t>
            </w:r>
          </w:p>
        </w:tc>
        <w:tc>
          <w:tcPr>
            <w:tcW w:type="dxa" w:w="4048"/>
          </w:tcPr>
          <w:p>
            <w:pPr>
              <w:pStyle w:val="Compact"/>
              <w:keepNext w:val="0"/>
              <w:spacing w:after="60" w:before="60" w:line="264" w:lineRule="auto"/>
              <w:jc w:val="left"/>
            </w:pPr>
            <w:r>
              <w:rPr>
                <w:sz w:val="18"/>
              </w:rPr>
              <w:t xml:space="preserve">数据开放目录说明 DOCX</w:t>
            </w:r>
          </w:p>
        </w:tc>
        <w:tc>
          <w:tcPr>
            <w:tcW w:type="dxa" w:w="3470"/>
          </w:tcPr>
          <w:p>
            <w:pPr>
              <w:pStyle w:val="Compact"/>
              <w:keepNext w:val="0"/>
              <w:spacing w:after="60" w:before="60" w:line="264" w:lineRule="auto"/>
              <w:jc w:val="left"/>
            </w:pPr>
            <w:r>
              <w:rPr>
                <w:sz w:val="18"/>
              </w:rPr>
              <w:t xml:space="preserve">随征求意见材料提供，解释开放原则、边界、策略、平台权限和流程</w:t>
            </w:r>
          </w:p>
        </w:tc>
      </w:tr>
      <w:tr>
        <w:trPr>
          <w:cantSplit/>
        </w:trPr>
        <w:tc>
          <w:tcPr>
            <w:tcW w:type="dxa" w:w="2120"/>
          </w:tcPr>
          <w:p>
            <w:pPr>
              <w:pStyle w:val="Compact"/>
              <w:keepNext w:val="0"/>
              <w:spacing w:after="60" w:before="60" w:line="264" w:lineRule="auto"/>
              <w:jc w:val="left"/>
            </w:pPr>
            <w:r>
              <w:rPr>
                <w:sz w:val="18"/>
              </w:rPr>
              <w:t xml:space="preserve">S08</w:t>
            </w:r>
          </w:p>
        </w:tc>
        <w:tc>
          <w:tcPr>
            <w:tcW w:type="dxa" w:w="4048"/>
          </w:tcPr>
          <w:p>
            <w:pPr>
              <w:pStyle w:val="Compact"/>
              <w:keepNext w:val="0"/>
              <w:spacing w:after="60" w:before="60" w:line="264" w:lineRule="auto"/>
              <w:jc w:val="left"/>
            </w:pPr>
            <w:r>
              <w:rPr>
                <w:sz w:val="18"/>
              </w:rPr>
              <w:t xml:space="preserve">开放目录意见反馈表 XLSX</w:t>
            </w:r>
          </w:p>
        </w:tc>
        <w:tc>
          <w:tcPr>
            <w:tcW w:type="dxa" w:w="3470"/>
          </w:tcPr>
          <w:p>
            <w:pPr>
              <w:pStyle w:val="Compact"/>
              <w:keepNext w:val="0"/>
              <w:spacing w:after="60" w:before="60" w:line="264" w:lineRule="auto"/>
              <w:jc w:val="left"/>
            </w:pPr>
            <w:r>
              <w:rPr>
                <w:sz w:val="18"/>
              </w:rPr>
              <w:t xml:space="preserve">反馈模板，不是实体分级规则或已批准变更清单</w:t>
            </w:r>
          </w:p>
        </w:tc>
      </w:tr>
      <w:tr>
        <w:trPr>
          <w:cantSplit/>
        </w:trPr>
        <w:tc>
          <w:tcPr>
            <w:tcW w:type="dxa" w:w="2120"/>
          </w:tcPr>
          <w:p>
            <w:pPr>
              <w:pStyle w:val="Compact"/>
              <w:keepNext w:val="0"/>
              <w:spacing w:after="60" w:before="60" w:line="264" w:lineRule="auto"/>
              <w:jc w:val="left"/>
            </w:pPr>
            <w:r>
              <w:rPr>
                <w:sz w:val="18"/>
              </w:rPr>
              <w:t xml:space="preserve">S09</w:t>
            </w:r>
          </w:p>
        </w:tc>
        <w:tc>
          <w:tcPr>
            <w:tcW w:type="dxa" w:w="4048"/>
          </w:tcPr>
          <w:p>
            <w:pPr>
              <w:pStyle w:val="Compact"/>
              <w:keepNext w:val="0"/>
              <w:spacing w:after="60" w:before="60" w:line="264" w:lineRule="auto"/>
              <w:jc w:val="left"/>
            </w:pPr>
            <w:r>
              <w:rPr>
                <w:sz w:val="18"/>
              </w:rPr>
              <w:t xml:space="preserve">市场注册实施细则，2026 年 V1.0</w:t>
            </w:r>
          </w:p>
        </w:tc>
        <w:tc>
          <w:tcPr>
            <w:tcW w:type="dxa" w:w="3470"/>
          </w:tcPr>
          <w:p>
            <w:pPr>
              <w:pStyle w:val="Compact"/>
              <w:keepNext w:val="0"/>
              <w:spacing w:after="60" w:before="60" w:line="264" w:lineRule="auto"/>
              <w:jc w:val="left"/>
            </w:pPr>
            <w:r>
              <w:rPr>
                <w:sz w:val="18"/>
              </w:rPr>
              <w:t xml:space="preserve">审议稿，封面 2026 年 8 月；主体注册、范围、信息关联、变更和注销</w:t>
            </w:r>
          </w:p>
        </w:tc>
      </w:tr>
      <w:tr>
        <w:trPr>
          <w:cantSplit/>
        </w:trPr>
        <w:tc>
          <w:tcPr>
            <w:tcW w:type="dxa" w:w="2120"/>
          </w:tcPr>
          <w:p>
            <w:pPr>
              <w:pStyle w:val="Compact"/>
              <w:keepNext w:val="0"/>
              <w:spacing w:after="60" w:before="60" w:line="264" w:lineRule="auto"/>
              <w:jc w:val="left"/>
            </w:pPr>
            <w:r>
              <w:rPr>
                <w:sz w:val="18"/>
              </w:rPr>
              <w:t xml:space="preserve">S10</w:t>
            </w:r>
          </w:p>
        </w:tc>
        <w:tc>
          <w:tcPr>
            <w:tcW w:type="dxa" w:w="4048"/>
          </w:tcPr>
          <w:p>
            <w:pPr>
              <w:pStyle w:val="Compact"/>
              <w:keepNext w:val="0"/>
              <w:spacing w:after="60" w:before="60" w:line="264" w:lineRule="auto"/>
              <w:jc w:val="left"/>
            </w:pPr>
            <w:r>
              <w:rPr>
                <w:sz w:val="18"/>
              </w:rPr>
              <w:t xml:space="preserve">市场信息披露实施细则，2026 年 V1.0</w:t>
            </w:r>
          </w:p>
        </w:tc>
        <w:tc>
          <w:tcPr>
            <w:tcW w:type="dxa" w:w="3470"/>
          </w:tcPr>
          <w:p>
            <w:pPr>
              <w:pStyle w:val="Compact"/>
              <w:keepNext w:val="0"/>
              <w:spacing w:after="60" w:before="60" w:line="264" w:lineRule="auto"/>
              <w:jc w:val="left"/>
            </w:pPr>
            <w:r>
              <w:rPr>
                <w:sz w:val="18"/>
              </w:rPr>
              <w:t xml:space="preserve">审议稿，封面 2026 年 8 月；披露内容、范围、时点、调整程序和保密封存</w:t>
            </w:r>
          </w:p>
        </w:tc>
      </w:tr>
    </w:tbl>
    <w:p>
      <w:pPr>
        <w:pStyle w:val="BodyText"/>
      </w:pPr>
      <w:r>
        <w:t xml:space="preserve">因此，本批文件可以用来搭建体系与进行差异分析，但不能整体标成</w:t>
      </w:r>
      <w:r>
        <w:t xml:space="preserve">“</w:t>
      </w:r>
      <w:r>
        <w:t xml:space="preserve">全部已正式生效的最新南网制度</w:t>
      </w:r>
      <w:r>
        <w:t xml:space="preserve">”</w:t>
      </w:r>
      <w:r>
        <w:t xml:space="preserve">。规则库应分别记录</w:t>
      </w:r>
      <w:r>
        <w:rPr>
          <w:b/>
        </w:rPr>
        <w:t xml:space="preserve">文件名日期、正文日期、版本状态和实际生效日期</w:t>
      </w:r>
      <w:r>
        <w:t xml:space="preserve">。</w:t>
      </w:r>
    </w:p>
    <w:p>
      <w:pPr>
        <w:pStyle w:val="Heading2"/>
      </w:pPr>
      <w:bookmarkStart w:id="83" w:name="分类分级手册体系的基础规则"/>
      <w:r>
        <w:t xml:space="preserve">2. 分类分级手册：体系的基础规则</w:t>
      </w:r>
      <w:bookmarkEnd w:id="83"/>
    </w:p>
    <w:p>
      <w:pPr>
        <w:pStyle w:val="Heading3"/>
      </w:pPr>
      <w:bookmarkStart w:id="84" w:name="分类按业务架构分级按影响后果"/>
      <w:r>
        <w:t xml:space="preserve">2.1 分类按业务架构，分级按影响后果</w:t>
      </w:r>
      <w:bookmarkEnd w:id="84"/>
    </w:p>
    <w:p>
      <w:pPr>
        <w:pStyle w:val="FirstParagraph"/>
      </w:pPr>
      <w:r>
        <w:t xml:space="preserve">分类以最新企业级业务架构蓝图为准，沿业务条线逐层展开。附录 A 的示例结构是：</w:t>
      </w:r>
    </w:p>
    <w:p>
      <w:pPr>
        <w:pStyle w:val="BodyText"/>
      </w:pPr>
      <w:r>
        <w:rPr>
          <w:b/>
        </w:rPr>
        <w:t xml:space="preserve">专业域 → 专业级流程组 → 操作级流程 → 业务对象 → 数据字段。</w:t>
      </w:r>
    </w:p>
    <w:p>
      <w:pPr>
        <w:pStyle w:val="BodyText"/>
      </w:pPr>
      <w:r>
        <w:t xml:space="preserve">附录 A 列出 22 个专业域，但说明其来源是 2024 年 4 月蓝图，实际工作需使用当时最新蓝图。因此不能把这 22 个名称永久硬编码；也不宜让模型重新聚类后直接替代业务分类。[S02，第四部分（二）、附录 A，P0093—P0095、T0169、T0175]</w:t>
      </w:r>
    </w:p>
    <w:p>
      <w:pPr>
        <w:pStyle w:val="BodyText"/>
      </w:pPr>
      <w:r>
        <w:t xml:space="preserve">分级对象不限于字段，还包括数据项、数据集、衍生数据和跨行业领域数据。字段级风险分析必须通过字段—数据集—产品之间的血缘关系回写到这些治理对象上。[S02，P0102]</w:t>
      </w:r>
    </w:p>
    <w:p>
      <w:pPr>
        <w:pStyle w:val="Heading3"/>
      </w:pPr>
      <w:bookmarkStart w:id="85" w:name="三类基础等级与五级对应"/>
      <w:r>
        <w:t xml:space="preserve">2.2 三类基础等级与五级对应</w:t>
      </w:r>
      <w:bookmarkEnd w:id="85"/>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安全级别</w:t>
            </w:r>
          </w:p>
        </w:tc>
        <w:tc>
          <w:tcPr>
            <w:tcW w:type="dxa" w:w="4048"/>
            <w:shd w:fill="E8F0F5"/>
          </w:tcPr>
          <w:p>
            <w:pPr>
              <w:pStyle w:val="Compact"/>
              <w:keepNext w:val="0"/>
              <w:spacing w:after="60" w:before="60" w:line="264" w:lineRule="auto"/>
              <w:jc w:val="left"/>
            </w:pPr>
            <w:r>
              <w:rPr>
                <w:sz w:val="18"/>
              </w:rPr>
              <w:t xml:space="preserve">基础等级</w:t>
            </w:r>
          </w:p>
        </w:tc>
        <w:tc>
          <w:tcPr>
            <w:tcW w:type="dxa" w:w="3470"/>
            <w:shd w:fill="E8F0F5"/>
          </w:tcPr>
          <w:p>
            <w:pPr>
              <w:pStyle w:val="Compact"/>
              <w:keepNext w:val="0"/>
              <w:spacing w:after="60" w:before="60" w:line="264" w:lineRule="auto"/>
              <w:jc w:val="left"/>
            </w:pPr>
            <w:r>
              <w:rPr>
                <w:sz w:val="18"/>
              </w:rPr>
              <w:t xml:space="preserve">含义</w:t>
            </w:r>
          </w:p>
        </w:tc>
      </w:tr>
      <w:tr>
        <w:trPr>
          <w:cantSplit/>
        </w:trPr>
        <w:tc>
          <w:tcPr>
            <w:tcW w:type="dxa" w:w="2120"/>
          </w:tcPr>
          <w:p>
            <w:pPr>
              <w:pStyle w:val="Compact"/>
              <w:keepNext w:val="0"/>
              <w:spacing w:after="60" w:before="60" w:line="264" w:lineRule="auto"/>
              <w:jc w:val="left"/>
            </w:pPr>
            <w:r>
              <w:rPr>
                <w:sz w:val="18"/>
              </w:rPr>
              <w:t xml:space="preserve">1、2、3 级</w:t>
            </w:r>
          </w:p>
        </w:tc>
        <w:tc>
          <w:tcPr>
            <w:tcW w:type="dxa" w:w="4048"/>
          </w:tcPr>
          <w:p>
            <w:pPr>
              <w:pStyle w:val="Compact"/>
              <w:keepNext w:val="0"/>
              <w:spacing w:after="60" w:before="60" w:line="264" w:lineRule="auto"/>
              <w:jc w:val="left"/>
            </w:pPr>
            <w:r>
              <w:rPr>
                <w:sz w:val="18"/>
              </w:rPr>
              <w:t xml:space="preserve">一般数据</w:t>
            </w:r>
          </w:p>
        </w:tc>
        <w:tc>
          <w:tcPr>
            <w:tcW w:type="dxa" w:w="3470"/>
          </w:tcPr>
          <w:p>
            <w:pPr>
              <w:pStyle w:val="Compact"/>
              <w:keepNext w:val="0"/>
              <w:spacing w:after="60" w:before="60" w:line="264" w:lineRule="auto"/>
              <w:jc w:val="left"/>
            </w:pPr>
            <w:r>
              <w:rPr>
                <w:sz w:val="18"/>
              </w:rPr>
              <w:t xml:space="preserve">一般数据内部仍有保护差异，不能把</w:t>
            </w:r>
            <w:r>
              <w:rPr>
                <w:sz w:val="18"/>
              </w:rPr>
              <w:t xml:space="preserve">“</w:t>
            </w:r>
            <w:r>
              <w:rPr>
                <w:sz w:val="18"/>
              </w:rPr>
              <w:t xml:space="preserve">一般</w:t>
            </w:r>
            <w:r>
              <w:rPr>
                <w:sz w:val="18"/>
              </w:rPr>
              <w:t xml:space="preserve">”</w:t>
            </w:r>
            <w:r>
              <w:rPr>
                <w:sz w:val="18"/>
              </w:rPr>
              <w:t xml:space="preserve">理解为</w:t>
            </w:r>
            <w:r>
              <w:rPr>
                <w:sz w:val="18"/>
              </w:rPr>
              <w:t xml:space="preserve">“</w:t>
            </w:r>
            <w:r>
              <w:rPr>
                <w:sz w:val="18"/>
              </w:rPr>
              <w:t xml:space="preserve">可随意公开</w:t>
            </w:r>
            <w:r>
              <w:rPr>
                <w:sz w:val="18"/>
              </w:rPr>
              <w:t xml:space="preserve">”</w:t>
            </w:r>
          </w:p>
        </w:tc>
      </w:tr>
      <w:tr>
        <w:trPr>
          <w:cantSplit/>
        </w:trPr>
        <w:tc>
          <w:tcPr>
            <w:tcW w:type="dxa" w:w="2120"/>
          </w:tcPr>
          <w:p>
            <w:pPr>
              <w:pStyle w:val="Compact"/>
              <w:keepNext w:val="0"/>
              <w:spacing w:after="60" w:before="60" w:line="264" w:lineRule="auto"/>
              <w:jc w:val="left"/>
            </w:pPr>
            <w:r>
              <w:rPr>
                <w:sz w:val="18"/>
              </w:rPr>
              <w:t xml:space="preserve">4 级</w:t>
            </w:r>
          </w:p>
        </w:tc>
        <w:tc>
          <w:tcPr>
            <w:tcW w:type="dxa" w:w="4048"/>
          </w:tcPr>
          <w:p>
            <w:pPr>
              <w:pStyle w:val="Compact"/>
              <w:keepNext w:val="0"/>
              <w:spacing w:after="60" w:before="60" w:line="264" w:lineRule="auto"/>
              <w:jc w:val="left"/>
            </w:pPr>
            <w:r>
              <w:rPr>
                <w:sz w:val="18"/>
              </w:rPr>
              <w:t xml:space="preserve">重要数据</w:t>
            </w:r>
          </w:p>
        </w:tc>
        <w:tc>
          <w:tcPr>
            <w:tcW w:type="dxa" w:w="3470"/>
          </w:tcPr>
          <w:p>
            <w:pPr>
              <w:pStyle w:val="Compact"/>
              <w:keepNext w:val="0"/>
              <w:spacing w:after="60" w:before="60" w:line="264" w:lineRule="auto"/>
              <w:jc w:val="left"/>
            </w:pPr>
            <w:r>
              <w:rPr>
                <w:sz w:val="18"/>
              </w:rPr>
              <w:t xml:space="preserve">按有关规定识别、申报和管理</w:t>
            </w:r>
          </w:p>
        </w:tc>
      </w:tr>
      <w:tr>
        <w:trPr>
          <w:cantSplit/>
        </w:trPr>
        <w:tc>
          <w:tcPr>
            <w:tcW w:type="dxa" w:w="2120"/>
          </w:tcPr>
          <w:p>
            <w:pPr>
              <w:pStyle w:val="Compact"/>
              <w:keepNext w:val="0"/>
              <w:spacing w:after="60" w:before="60" w:line="264" w:lineRule="auto"/>
              <w:jc w:val="left"/>
            </w:pPr>
            <w:r>
              <w:rPr>
                <w:sz w:val="18"/>
              </w:rPr>
              <w:t xml:space="preserve">5 级</w:t>
            </w:r>
          </w:p>
        </w:tc>
        <w:tc>
          <w:tcPr>
            <w:tcW w:type="dxa" w:w="4048"/>
          </w:tcPr>
          <w:p>
            <w:pPr>
              <w:pStyle w:val="Compact"/>
              <w:keepNext w:val="0"/>
              <w:spacing w:after="60" w:before="60" w:line="264" w:lineRule="auto"/>
              <w:jc w:val="left"/>
            </w:pPr>
            <w:r>
              <w:rPr>
                <w:sz w:val="18"/>
              </w:rPr>
              <w:t xml:space="preserve">核心数据</w:t>
            </w:r>
          </w:p>
        </w:tc>
        <w:tc>
          <w:tcPr>
            <w:tcW w:type="dxa" w:w="3470"/>
          </w:tcPr>
          <w:p>
            <w:pPr>
              <w:pStyle w:val="Compact"/>
              <w:keepNext w:val="0"/>
              <w:spacing w:after="60" w:before="60" w:line="264" w:lineRule="auto"/>
              <w:jc w:val="left"/>
            </w:pPr>
            <w:r>
              <w:rPr>
                <w:sz w:val="18"/>
              </w:rPr>
              <w:t xml:space="preserve">按有关规定识别、申报和管理</w:t>
            </w:r>
          </w:p>
        </w:tc>
      </w:tr>
    </w:tbl>
    <w:p>
      <w:pPr>
        <w:pStyle w:val="BodyText"/>
      </w:pPr>
      <w:r>
        <w:t xml:space="preserve">原文同时要求遵循主管部门认定、识别与申报要求。平台应分别存储</w:t>
      </w:r>
      <w:r>
        <w:t xml:space="preserve">“</w:t>
      </w:r>
      <w:r>
        <w:t xml:space="preserve">识别结果/待核实状态</w:t>
      </w:r>
      <w:r>
        <w:t xml:space="preserve">”</w:t>
      </w:r>
      <w:r>
        <w:t xml:space="preserve">和</w:t>
      </w:r>
      <w:r>
        <w:t xml:space="preserve">“</w:t>
      </w:r>
      <w:r>
        <w:t xml:space="preserve">已审批或已认定结果</w:t>
      </w:r>
      <w:r>
        <w:t xml:space="preserve">”</w:t>
      </w:r>
      <w:r>
        <w:t xml:space="preserve">，不能只存一个自动生成的等级数字。[S02，P0099]</w:t>
      </w:r>
    </w:p>
    <w:p>
      <w:pPr>
        <w:pStyle w:val="Heading3"/>
      </w:pPr>
      <w:bookmarkStart w:id="86" w:name="八类要素用于分析影响不能直接相加得等级"/>
      <w:r>
        <w:t xml:space="preserve">2.3 八类要素用于分析影响，不能直接相加得等级</w:t>
      </w:r>
      <w:bookmarkEnd w:id="86"/>
    </w:p>
    <w:p>
      <w:pPr>
        <w:pStyle w:val="FirstParagraph"/>
      </w:pPr>
      <w:r>
        <w:t xml:space="preserve">手册列出的要素是领域、群体、区域、精度、规模、深度、覆盖度、重要性。其中</w:t>
      </w:r>
      <w:r>
        <w:t xml:space="preserve">“</w:t>
      </w:r>
      <w:r>
        <w:t xml:space="preserve">深度</w:t>
      </w:r>
      <w:r>
        <w:t xml:space="preserve">”</w:t>
      </w:r>
      <w:r>
        <w:t xml:space="preserve">特别涉及统计、关联、挖掘、融合后对隐含信息的刻画程度，是推断风险研究可以补充证据的入口。[S02，P0106—P0114]</w:t>
      </w:r>
    </w:p>
    <w:p>
      <w:pPr>
        <w:pStyle w:val="BodyText"/>
      </w:pPr>
      <w:r>
        <w:t xml:space="preserve">最终判断仍落到影响对象和影响程度。影响对象包括国家安全、公共利益、经济运行、社会秩序、其他组织、公民个人和单位自身；影响程度从无影响到特别严重影响分为五档。</w:t>
      </w:r>
    </w:p>
    <w:p>
      <w:pPr>
        <w:pStyle w:val="BodyText"/>
      </w:pPr>
      <w:r>
        <w:t xml:space="preserve">以下按原文表 4.4 整理，</w:t>
      </w:r>
      <w:r>
        <w:rPr>
          <w:b/>
        </w:rPr>
        <w:t xml:space="preserve">这是所给征求意见稿的判定矩阵，不是本项目自行设计的打分表</w:t>
      </w:r>
      <w:r>
        <w:t xml:space="preserve">：</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1388"/>
        <w:gridCol w:w="1388"/>
        <w:gridCol w:w="1388"/>
        <w:gridCol w:w="1388"/>
        <w:gridCol w:w="1388"/>
      </w:tblGrid>
      <w:tr>
        <w:trPr>
          <w:cantSplit/>
          <w:tblHeader/>
        </w:trPr>
        <w:tc>
          <w:tcPr>
            <w:tcW w:type="dxa" w:w="2699"/>
            <w:shd w:fill="E8F0F5"/>
          </w:tcPr>
          <w:p>
            <w:pPr>
              <w:pStyle w:val="Compact"/>
              <w:keepNext w:val="0"/>
              <w:spacing w:after="60" w:before="60" w:line="264" w:lineRule="auto"/>
              <w:jc w:val="left"/>
            </w:pPr>
            <w:r>
              <w:rPr>
                <w:sz w:val="18"/>
              </w:rPr>
              <w:t xml:space="preserve">影响对象</w:t>
            </w:r>
          </w:p>
        </w:tc>
        <w:tc>
          <w:tcPr>
            <w:tcW w:type="dxa" w:w="1388"/>
            <w:shd w:fill="E8F0F5"/>
          </w:tcPr>
          <w:p>
            <w:pPr>
              <w:pStyle w:val="Compact"/>
              <w:keepNext w:val="0"/>
              <w:spacing w:after="60" w:before="60" w:line="264" w:lineRule="auto"/>
              <w:jc w:val="right"/>
            </w:pPr>
            <w:r>
              <w:rPr>
                <w:sz w:val="18"/>
              </w:rPr>
              <w:t xml:space="preserve">无影响</w:t>
            </w:r>
          </w:p>
        </w:tc>
        <w:tc>
          <w:tcPr>
            <w:tcW w:type="dxa" w:w="1388"/>
            <w:shd w:fill="E8F0F5"/>
          </w:tcPr>
          <w:p>
            <w:pPr>
              <w:pStyle w:val="Compact"/>
              <w:keepNext w:val="0"/>
              <w:spacing w:after="60" w:before="60" w:line="264" w:lineRule="auto"/>
              <w:jc w:val="right"/>
            </w:pPr>
            <w:r>
              <w:rPr>
                <w:sz w:val="18"/>
              </w:rPr>
              <w:t xml:space="preserve">轻微影响</w:t>
            </w:r>
          </w:p>
        </w:tc>
        <w:tc>
          <w:tcPr>
            <w:tcW w:type="dxa" w:w="1388"/>
            <w:shd w:fill="E8F0F5"/>
          </w:tcPr>
          <w:p>
            <w:pPr>
              <w:pStyle w:val="Compact"/>
              <w:keepNext w:val="0"/>
              <w:spacing w:after="60" w:before="60" w:line="264" w:lineRule="auto"/>
              <w:jc w:val="right"/>
            </w:pPr>
            <w:r>
              <w:rPr>
                <w:sz w:val="18"/>
              </w:rPr>
              <w:t xml:space="preserve">一般影响</w:t>
            </w:r>
          </w:p>
        </w:tc>
        <w:tc>
          <w:tcPr>
            <w:tcW w:type="dxa" w:w="1388"/>
            <w:shd w:fill="E8F0F5"/>
          </w:tcPr>
          <w:p>
            <w:pPr>
              <w:pStyle w:val="Compact"/>
              <w:keepNext w:val="0"/>
              <w:spacing w:after="60" w:before="60" w:line="264" w:lineRule="auto"/>
              <w:jc w:val="right"/>
            </w:pPr>
            <w:r>
              <w:rPr>
                <w:sz w:val="18"/>
              </w:rPr>
              <w:t xml:space="preserve">严重影响</w:t>
            </w:r>
          </w:p>
        </w:tc>
        <w:tc>
          <w:tcPr>
            <w:tcW w:type="dxa" w:w="1388"/>
            <w:shd w:fill="E8F0F5"/>
          </w:tcPr>
          <w:p>
            <w:pPr>
              <w:pStyle w:val="Compact"/>
              <w:keepNext w:val="0"/>
              <w:spacing w:after="60" w:before="60" w:line="264" w:lineRule="auto"/>
              <w:jc w:val="right"/>
            </w:pPr>
            <w:r>
              <w:rPr>
                <w:sz w:val="18"/>
              </w:rPr>
              <w:t xml:space="preserve">特别严重影响</w:t>
            </w:r>
          </w:p>
        </w:tc>
      </w:tr>
      <w:tr>
        <w:trPr>
          <w:cantSplit/>
        </w:trPr>
        <w:tc>
          <w:tcPr>
            <w:tcW w:type="dxa" w:w="2699"/>
          </w:tcPr>
          <w:p>
            <w:pPr>
              <w:pStyle w:val="Compact"/>
              <w:keepNext w:val="0"/>
              <w:spacing w:after="60" w:before="60" w:line="264" w:lineRule="auto"/>
              <w:jc w:val="left"/>
            </w:pPr>
            <w:r>
              <w:rPr>
                <w:sz w:val="18"/>
              </w:rPr>
              <w:t xml:space="preserve">国家安全</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4</w:t>
            </w:r>
          </w:p>
        </w:tc>
        <w:tc>
          <w:tcPr>
            <w:tcW w:type="dxa" w:w="1388"/>
          </w:tcPr>
          <w:p>
            <w:pPr>
              <w:pStyle w:val="Compact"/>
              <w:keepNext w:val="0"/>
              <w:spacing w:after="60" w:before="60" w:line="264" w:lineRule="auto"/>
              <w:jc w:val="right"/>
            </w:pPr>
            <w:r>
              <w:rPr>
                <w:sz w:val="18"/>
              </w:rPr>
              <w:t xml:space="preserve">4</w:t>
            </w:r>
          </w:p>
        </w:tc>
        <w:tc>
          <w:tcPr>
            <w:tcW w:type="dxa" w:w="1388"/>
          </w:tcPr>
          <w:p>
            <w:pPr>
              <w:pStyle w:val="Compact"/>
              <w:keepNext w:val="0"/>
              <w:spacing w:after="60" w:before="60" w:line="264" w:lineRule="auto"/>
              <w:jc w:val="right"/>
            </w:pPr>
            <w:r>
              <w:rPr>
                <w:sz w:val="18"/>
              </w:rPr>
              <w:t xml:space="preserve">5</w:t>
            </w:r>
          </w:p>
        </w:tc>
        <w:tc>
          <w:tcPr>
            <w:tcW w:type="dxa" w:w="1388"/>
          </w:tcPr>
          <w:p>
            <w:pPr>
              <w:pStyle w:val="Compact"/>
              <w:keepNext w:val="0"/>
              <w:spacing w:after="60" w:before="60" w:line="264" w:lineRule="auto"/>
              <w:jc w:val="right"/>
            </w:pPr>
            <w:r>
              <w:rPr>
                <w:sz w:val="18"/>
              </w:rPr>
              <w:t xml:space="preserve">5</w:t>
            </w:r>
          </w:p>
        </w:tc>
      </w:tr>
      <w:tr>
        <w:trPr>
          <w:cantSplit/>
        </w:trPr>
        <w:tc>
          <w:tcPr>
            <w:tcW w:type="dxa" w:w="2699"/>
          </w:tcPr>
          <w:p>
            <w:pPr>
              <w:pStyle w:val="Compact"/>
              <w:keepNext w:val="0"/>
              <w:spacing w:after="60" w:before="60" w:line="264" w:lineRule="auto"/>
              <w:jc w:val="left"/>
            </w:pPr>
            <w:r>
              <w:rPr>
                <w:sz w:val="18"/>
              </w:rPr>
              <w:t xml:space="preserve">公共利益</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4</w:t>
            </w:r>
          </w:p>
        </w:tc>
        <w:tc>
          <w:tcPr>
            <w:tcW w:type="dxa" w:w="1388"/>
          </w:tcPr>
          <w:p>
            <w:pPr>
              <w:pStyle w:val="Compact"/>
              <w:keepNext w:val="0"/>
              <w:spacing w:after="60" w:before="60" w:line="264" w:lineRule="auto"/>
              <w:jc w:val="right"/>
            </w:pPr>
            <w:r>
              <w:rPr>
                <w:sz w:val="18"/>
              </w:rPr>
              <w:t xml:space="preserve">5</w:t>
            </w:r>
          </w:p>
        </w:tc>
      </w:tr>
      <w:tr>
        <w:trPr>
          <w:cantSplit/>
        </w:trPr>
        <w:tc>
          <w:tcPr>
            <w:tcW w:type="dxa" w:w="2699"/>
          </w:tcPr>
          <w:p>
            <w:pPr>
              <w:pStyle w:val="Compact"/>
              <w:keepNext w:val="0"/>
              <w:spacing w:after="60" w:before="60" w:line="264" w:lineRule="auto"/>
              <w:jc w:val="left"/>
            </w:pPr>
            <w:r>
              <w:rPr>
                <w:sz w:val="18"/>
              </w:rPr>
              <w:t xml:space="preserve">经济运行</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4</w:t>
            </w:r>
          </w:p>
        </w:tc>
        <w:tc>
          <w:tcPr>
            <w:tcW w:type="dxa" w:w="1388"/>
          </w:tcPr>
          <w:p>
            <w:pPr>
              <w:pStyle w:val="Compact"/>
              <w:keepNext w:val="0"/>
              <w:spacing w:after="60" w:before="60" w:line="264" w:lineRule="auto"/>
              <w:jc w:val="right"/>
            </w:pPr>
            <w:r>
              <w:rPr>
                <w:sz w:val="18"/>
              </w:rPr>
              <w:t xml:space="preserve">5</w:t>
            </w:r>
          </w:p>
        </w:tc>
      </w:tr>
      <w:tr>
        <w:trPr>
          <w:cantSplit/>
        </w:trPr>
        <w:tc>
          <w:tcPr>
            <w:tcW w:type="dxa" w:w="2699"/>
          </w:tcPr>
          <w:p>
            <w:pPr>
              <w:pStyle w:val="Compact"/>
              <w:keepNext w:val="0"/>
              <w:spacing w:after="60" w:before="60" w:line="264" w:lineRule="auto"/>
              <w:jc w:val="left"/>
            </w:pPr>
            <w:r>
              <w:rPr>
                <w:sz w:val="18"/>
              </w:rPr>
              <w:t xml:space="preserve">社会秩序</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4</w:t>
            </w:r>
          </w:p>
        </w:tc>
        <w:tc>
          <w:tcPr>
            <w:tcW w:type="dxa" w:w="1388"/>
          </w:tcPr>
          <w:p>
            <w:pPr>
              <w:pStyle w:val="Compact"/>
              <w:keepNext w:val="0"/>
              <w:spacing w:after="60" w:before="60" w:line="264" w:lineRule="auto"/>
              <w:jc w:val="right"/>
            </w:pPr>
            <w:r>
              <w:rPr>
                <w:sz w:val="18"/>
              </w:rPr>
              <w:t xml:space="preserve">5</w:t>
            </w:r>
          </w:p>
        </w:tc>
      </w:tr>
      <w:tr>
        <w:trPr>
          <w:cantSplit/>
        </w:trPr>
        <w:tc>
          <w:tcPr>
            <w:tcW w:type="dxa" w:w="2699"/>
          </w:tcPr>
          <w:p>
            <w:pPr>
              <w:pStyle w:val="Compact"/>
              <w:keepNext w:val="0"/>
              <w:spacing w:after="60" w:before="60" w:line="264" w:lineRule="auto"/>
              <w:jc w:val="left"/>
            </w:pPr>
            <w:r>
              <w:rPr>
                <w:sz w:val="18"/>
              </w:rPr>
              <w:t xml:space="preserve">其他组织</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3</w:t>
            </w:r>
          </w:p>
        </w:tc>
      </w:tr>
      <w:tr>
        <w:trPr>
          <w:cantSplit/>
        </w:trPr>
        <w:tc>
          <w:tcPr>
            <w:tcW w:type="dxa" w:w="2699"/>
          </w:tcPr>
          <w:p>
            <w:pPr>
              <w:pStyle w:val="Compact"/>
              <w:keepNext w:val="0"/>
              <w:spacing w:after="60" w:before="60" w:line="264" w:lineRule="auto"/>
              <w:jc w:val="left"/>
            </w:pPr>
            <w:r>
              <w:rPr>
                <w:sz w:val="18"/>
              </w:rPr>
              <w:t xml:space="preserve">公民个人</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3</w:t>
            </w:r>
          </w:p>
        </w:tc>
      </w:tr>
      <w:tr>
        <w:trPr>
          <w:cantSplit/>
        </w:trPr>
        <w:tc>
          <w:tcPr>
            <w:tcW w:type="dxa" w:w="2699"/>
          </w:tcPr>
          <w:p>
            <w:pPr>
              <w:pStyle w:val="Compact"/>
              <w:keepNext w:val="0"/>
              <w:spacing w:after="60" w:before="60" w:line="264" w:lineRule="auto"/>
              <w:jc w:val="left"/>
            </w:pPr>
            <w:r>
              <w:rPr>
                <w:sz w:val="18"/>
              </w:rPr>
              <w:t xml:space="preserve">单位自身</w:t>
            </w:r>
          </w:p>
        </w:tc>
        <w:tc>
          <w:tcPr>
            <w:tcW w:type="dxa" w:w="1388"/>
          </w:tcPr>
          <w:p>
            <w:pPr>
              <w:pStyle w:val="Compact"/>
              <w:keepNext w:val="0"/>
              <w:spacing w:after="60" w:before="60" w:line="264" w:lineRule="auto"/>
              <w:jc w:val="right"/>
            </w:pPr>
            <w:r>
              <w:rPr>
                <w:sz w:val="18"/>
              </w:rPr>
              <w:t xml:space="preserve">1</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2</w:t>
            </w:r>
          </w:p>
        </w:tc>
        <w:tc>
          <w:tcPr>
            <w:tcW w:type="dxa" w:w="1388"/>
          </w:tcPr>
          <w:p>
            <w:pPr>
              <w:pStyle w:val="Compact"/>
              <w:keepNext w:val="0"/>
              <w:spacing w:after="60" w:before="60" w:line="264" w:lineRule="auto"/>
              <w:jc w:val="right"/>
            </w:pPr>
            <w:r>
              <w:rPr>
                <w:sz w:val="18"/>
              </w:rPr>
              <w:t xml:space="preserve">3</w:t>
            </w:r>
          </w:p>
        </w:tc>
        <w:tc>
          <w:tcPr>
            <w:tcW w:type="dxa" w:w="1388"/>
          </w:tcPr>
          <w:p>
            <w:pPr>
              <w:pStyle w:val="Compact"/>
              <w:keepNext w:val="0"/>
              <w:spacing w:after="60" w:before="60" w:line="264" w:lineRule="auto"/>
              <w:jc w:val="right"/>
            </w:pPr>
            <w:r>
              <w:rPr>
                <w:sz w:val="18"/>
              </w:rPr>
              <w:t xml:space="preserve">3</w:t>
            </w:r>
          </w:p>
        </w:tc>
      </w:tr>
    </w:tbl>
    <w:p>
      <w:pPr>
        <w:pStyle w:val="BodyText"/>
      </w:pPr>
      <w:r>
        <w:t xml:space="preserve">涉及多个对象时按最高影响确定级别，不能把严重影响与其他低影响做平均。[S02，P0144、T0146]</w:t>
      </w:r>
    </w:p>
    <w:p>
      <w:pPr>
        <w:pStyle w:val="Heading3"/>
      </w:pPr>
      <w:bookmarkStart w:id="87" w:name="管理流程本身也是交付内容"/>
      <w:r>
        <w:t xml:space="preserve">2.4 管理流程本身也是交付内容</w:t>
      </w:r>
      <w:bookmarkEnd w:id="87"/>
    </w:p>
    <w:p>
      <w:pPr>
        <w:pStyle w:val="FirstParagraph"/>
      </w:pPr>
      <w:r>
        <w:t xml:space="preserve">手册规定七个环节：资产梳理、数据分类、数据分级、审批、结果固化、技术管控、动态更新。总部及分子公司的数字化管理部门、业务管理部门共同参与初始化和变更审批；审批后的结果固化进数据目录。[S02，P0090、P0150—P0164]</w:t>
      </w:r>
    </w:p>
    <w:p>
      <w:pPr>
        <w:pStyle w:val="BodyText"/>
      </w:pPr>
      <w:r>
        <w:t xml:space="preserve">这意味着一个只输出模型分数的工具尚未形成分类分级闭环。项目需要同时交付目录、依据、责任人、审批记录和执行策略。</w:t>
      </w:r>
    </w:p>
    <w:p>
      <w:pPr>
        <w:pStyle w:val="Heading3"/>
      </w:pPr>
      <w:bookmarkStart w:id="88" w:name="衍生数据及动态更新"/>
      <w:r>
        <w:t xml:space="preserve">2.5 衍生数据及动态更新</w:t>
      </w:r>
      <w:bookmarkEnd w:id="88"/>
    </w:p>
    <w:p>
      <w:pPr>
        <w:pStyle w:val="FirstParagraph"/>
      </w:pPr>
      <w:r>
        <w:t xml:space="preserve">附录 D 区分原始、脱敏、标签、统计、融合数据；后四类属于衍生数据。其等级需要结合加工后的含义和影响重新判断。附录 E 覆盖体量变化、聚合合并、时效变化、脱敏、汇总统计加工、安全事件等场景。[S02，P0184—P0215]</w:t>
      </w:r>
    </w:p>
    <w:p>
      <w:pPr>
        <w:pStyle w:val="BodyText"/>
      </w:pPr>
      <w:r>
        <w:t xml:space="preserve">尤其应落实以下区别：</w:t>
      </w:r>
    </w:p>
    <w:p>
      <w:pPr>
        <w:pStyle w:val="Compact"/>
        <w:numPr>
          <w:numId w:val="1006"/>
          <w:ilvl w:val="0"/>
        </w:numPr>
      </w:pPr>
      <w:r>
        <w:rPr>
          <w:b/>
        </w:rPr>
        <w:t xml:space="preserve">原样汇聚/合并</w:t>
      </w:r>
      <w:r>
        <w:t xml:space="preserve">：手册要求不低于所汇聚原始数据的最高级别，并检查是否揭示更多信息。</w:t>
      </w:r>
    </w:p>
    <w:p>
      <w:pPr>
        <w:pStyle w:val="Compact"/>
        <w:numPr>
          <w:numId w:val="1006"/>
          <w:ilvl w:val="0"/>
        </w:numPr>
      </w:pPr>
      <w:r>
        <w:rPr>
          <w:b/>
        </w:rPr>
        <w:t xml:space="preserve">经处理形成的新数据产品</w:t>
      </w:r>
      <w:r>
        <w:t xml:space="preserve">：保留原始级别作为参考，结合含义变化、可恢复性及审批重新定级。</w:t>
      </w:r>
    </w:p>
    <w:p>
      <w:pPr>
        <w:pStyle w:val="Compact"/>
        <w:numPr>
          <w:numId w:val="1006"/>
          <w:ilvl w:val="0"/>
        </w:numPr>
      </w:pPr>
      <w:r>
        <w:rPr>
          <w:b/>
        </w:rPr>
        <w:t xml:space="preserve">脱敏产品</w:t>
      </w:r>
      <w:r>
        <w:t xml:space="preserve">：不能因删除了姓名、编号就自动降低等级；仍需检查能否在现有背景下重新识别或恢复受保护信息。</w:t>
      </w:r>
    </w:p>
    <w:p>
      <w:pPr>
        <w:pStyle w:val="Compact"/>
        <w:numPr>
          <w:numId w:val="1006"/>
          <w:ilvl w:val="0"/>
        </w:numPr>
      </w:pPr>
      <w:r>
        <w:rPr>
          <w:b/>
        </w:rPr>
        <w:t xml:space="preserve">时效变化</w:t>
      </w:r>
      <w:r>
        <w:t xml:space="preserve">：记录改变等级或披露范围的时间点、触发条件及适用对象，不能将</w:t>
      </w:r>
      <w:r>
        <w:t xml:space="preserve">“</w:t>
      </w:r>
      <w:r>
        <w:t xml:space="preserve">未来可以披露</w:t>
      </w:r>
      <w:r>
        <w:t xml:space="preserve">”</w:t>
      </w:r>
      <w:r>
        <w:t xml:space="preserve">误写为</w:t>
      </w:r>
      <w:r>
        <w:t xml:space="preserve">“</w:t>
      </w:r>
      <w:r>
        <w:t xml:space="preserve">当前已经公开</w:t>
      </w:r>
      <w:r>
        <w:t xml:space="preserve">”</w:t>
      </w:r>
      <w:r>
        <w:t xml:space="preserve">。</w:t>
      </w:r>
    </w:p>
    <w:p>
      <w:pPr>
        <w:pStyle w:val="Heading2"/>
      </w:pPr>
      <w:bookmarkStart w:id="89" w:name="风险评估手册把推断分析接到检查项与整改"/>
      <w:r>
        <w:t xml:space="preserve">3. 风险评估手册：把推断分析接到检查项与整改</w:t>
      </w:r>
      <w:bookmarkEnd w:id="89"/>
    </w:p>
    <w:p>
      <w:pPr>
        <w:pStyle w:val="Heading3"/>
      </w:pPr>
      <w:bookmarkStart w:id="90" w:name="评估对象和范围"/>
      <w:r>
        <w:t xml:space="preserve">3.1 评估对象和范围</w:t>
      </w:r>
      <w:bookmarkEnd w:id="90"/>
    </w:p>
    <w:p>
      <w:pPr>
        <w:pStyle w:val="FirstParagraph"/>
      </w:pPr>
      <w:r>
        <w:t xml:space="preserve">S03 以系统及其数据处理活动为评估对象，涵盖数据安全管理、数据安全技术、数据处理安全要求三类，正文列明 43 个评估项、576 个评估子项，其中通用 564 项、关键信息基础设施扩展 12 项。[S03，P0096、附录 3]</w:t>
      </w:r>
    </w:p>
    <w:p>
      <w:pPr>
        <w:pStyle w:val="BodyText"/>
      </w:pPr>
      <w:r>
        <w:t xml:space="preserve">我们的关联与推断分析只能支撑其中的一部分，不能代替账号权限、备份恢复、人员制度、完整性、可用性、个人信息保护等全部检查。</w:t>
      </w:r>
    </w:p>
    <w:p>
      <w:pPr>
        <w:pStyle w:val="Heading3"/>
      </w:pPr>
      <w:bookmarkStart w:id="91" w:name="流程周期和整改"/>
      <w:r>
        <w:t xml:space="preserve">3.2 流程、周期和整改</w:t>
      </w:r>
      <w:bookmarkEnd w:id="91"/>
    </w:p>
    <w:p>
      <w:pPr>
        <w:pStyle w:val="FirstParagraph"/>
      </w:pPr>
      <w:r>
        <w:t xml:space="preserve">流程为</w:t>
      </w:r>
      <w:r>
        <w:t xml:space="preserve">“</w:t>
      </w:r>
      <w:r>
        <w:t xml:space="preserve">准备—实施—报告</w:t>
      </w:r>
      <w:r>
        <w:t xml:space="preserve">”</w:t>
      </w:r>
      <w:r>
        <w:t xml:space="preserve">。实施阶段包括信息调研、场景识别、脆弱性分析、已有措施识别、风险分析评价。报告需要记录对象范围、发现问题、风险分析及整改情况。[S03，P0090、P0102—P0125]</w:t>
      </w:r>
    </w:p>
    <w:p>
      <w:pPr>
        <w:pStyle w:val="BodyText"/>
      </w:pPr>
      <w:r>
        <w:t xml:space="preserve">所给版本还规定：存量/改造系统应先完成分类分级；等保三级及以上系统每年评估，二级至少每两年一次；重要数据规模变化 30%以上或发生其他重大变化时重新组织局部或整体评估；报告至少保存三年。涉及重要数据的年度评估、报送及中高风险整改另有要求。这些是</w:t>
      </w:r>
      <w:r>
        <w:rPr>
          <w:b/>
        </w:rPr>
        <w:t xml:space="preserve">S03 的版本条款</w:t>
      </w:r>
      <w:r>
        <w:t xml:space="preserve">，部署时应连同适用范围和主管部门要求核实，不能泛化为所有场景统一适用的期限。[S03，P0085—P0093]</w:t>
      </w:r>
    </w:p>
    <w:p>
      <w:pPr>
        <w:pStyle w:val="BodyText"/>
      </w:pPr>
      <w:r>
        <w:t xml:space="preserve">同一部分还出现</w:t>
      </w:r>
      <w:r>
        <w:t xml:space="preserve">“</w:t>
      </w:r>
      <w:r>
        <w:t xml:space="preserve">年度评估后 20 个工作日内报送</w:t>
      </w:r>
      <w:r>
        <w:t xml:space="preserve">”</w:t>
      </w:r>
      <w:r>
        <w:t xml:space="preserve">与</w:t>
      </w:r>
      <w:r>
        <w:t xml:space="preserve">“</w:t>
      </w:r>
      <w:r>
        <w:t xml:space="preserve">15 个工作日内报送含整改情况报告</w:t>
      </w:r>
      <w:r>
        <w:t xml:space="preserve">”</w:t>
      </w:r>
      <w:r>
        <w:t xml:space="preserve">的表述。规则入库时应先澄清适用对象、报送主体和报告类型，而不是自动选择一个数字覆盖另一个。</w:t>
      </w:r>
    </w:p>
    <w:p>
      <w:pPr>
        <w:pStyle w:val="Heading3"/>
      </w:pPr>
      <w:bookmarkStart w:id="92" w:name="风险等级与数据等级是两套尺度"/>
      <w:r>
        <w:t xml:space="preserve">3.3 风险等级与数据等级是两套尺度</w:t>
      </w:r>
      <w:bookmarkEnd w:id="92"/>
    </w:p>
    <w:p>
      <w:pPr>
        <w:pStyle w:val="FirstParagraph"/>
      </w:pPr>
      <w:r>
        <w:t xml:space="preserve">S03 的风险评价结果为高、中、低，依据风险危害程度与发生可能性组合得到。原文矩阵如下：[S03，附录 3，T0191；附录 4 同样列出]</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1388"/>
        <w:gridCol w:w="1388"/>
        <w:gridCol w:w="1388"/>
        <w:gridCol w:w="1388"/>
        <w:gridCol w:w="1388"/>
      </w:tblGrid>
      <w:tr>
        <w:trPr>
          <w:cantSplit/>
          <w:tblHeader/>
        </w:trPr>
        <w:tc>
          <w:tcPr>
            <w:tcW w:type="dxa" w:w="2699"/>
            <w:shd w:fill="E8F0F5"/>
          </w:tcPr>
          <w:p>
            <w:pPr>
              <w:pStyle w:val="Compact"/>
              <w:keepNext w:val="0"/>
              <w:spacing w:after="60" w:before="60" w:line="264" w:lineRule="auto"/>
              <w:jc w:val="left"/>
            </w:pPr>
            <w:r>
              <w:rPr>
                <w:sz w:val="18"/>
              </w:rPr>
              <w:t xml:space="preserve">发生可能性</w:t>
            </w:r>
          </w:p>
        </w:tc>
        <w:tc>
          <w:tcPr>
            <w:tcW w:type="dxa" w:w="1388"/>
            <w:shd w:fill="E8F0F5"/>
          </w:tcPr>
          <w:p>
            <w:pPr>
              <w:pStyle w:val="Compact"/>
              <w:keepNext w:val="0"/>
              <w:spacing w:after="60" w:before="60" w:line="264" w:lineRule="auto"/>
              <w:jc w:val="left"/>
            </w:pPr>
            <w:r>
              <w:rPr>
                <w:sz w:val="18"/>
              </w:rPr>
              <w:t xml:space="preserve">很高</w:t>
            </w:r>
          </w:p>
        </w:tc>
        <w:tc>
          <w:tcPr>
            <w:tcW w:type="dxa" w:w="1388"/>
            <w:shd w:fill="E8F0F5"/>
          </w:tcPr>
          <w:p>
            <w:pPr>
              <w:pStyle w:val="Compact"/>
              <w:keepNext w:val="0"/>
              <w:spacing w:after="60" w:before="60" w:line="264" w:lineRule="auto"/>
              <w:jc w:val="left"/>
            </w:pPr>
            <w:r>
              <w:rPr>
                <w:sz w:val="18"/>
              </w:rPr>
              <w:t xml:space="preserve">高</w:t>
            </w:r>
          </w:p>
        </w:tc>
        <w:tc>
          <w:tcPr>
            <w:tcW w:type="dxa" w:w="1388"/>
            <w:shd w:fill="E8F0F5"/>
          </w:tcPr>
          <w:p>
            <w:pPr>
              <w:pStyle w:val="Compact"/>
              <w:keepNext w:val="0"/>
              <w:spacing w:after="60" w:before="60" w:line="264" w:lineRule="auto"/>
              <w:jc w:val="left"/>
            </w:pPr>
            <w:r>
              <w:rPr>
                <w:sz w:val="18"/>
              </w:rPr>
              <w:t xml:space="preserve">较高</w:t>
            </w:r>
          </w:p>
        </w:tc>
        <w:tc>
          <w:tcPr>
            <w:tcW w:type="dxa" w:w="1388"/>
            <w:shd w:fill="E8F0F5"/>
          </w:tcPr>
          <w:p>
            <w:pPr>
              <w:pStyle w:val="Compact"/>
              <w:keepNext w:val="0"/>
              <w:spacing w:after="60" w:before="60" w:line="264" w:lineRule="auto"/>
              <w:jc w:val="left"/>
            </w:pPr>
            <w:r>
              <w:rPr>
                <w:sz w:val="18"/>
              </w:rPr>
              <w:t xml:space="preserve">中</w:t>
            </w:r>
          </w:p>
        </w:tc>
        <w:tc>
          <w:tcPr>
            <w:tcW w:type="dxa" w:w="1388"/>
            <w:shd w:fill="E8F0F5"/>
          </w:tcPr>
          <w:p>
            <w:pPr>
              <w:pStyle w:val="Compact"/>
              <w:keepNext w:val="0"/>
              <w:spacing w:after="60" w:before="60" w:line="264" w:lineRule="auto"/>
              <w:jc w:val="left"/>
            </w:pPr>
            <w:r>
              <w:rPr>
                <w:sz w:val="18"/>
              </w:rPr>
              <w:t xml:space="preserve">低</w:t>
            </w:r>
          </w:p>
        </w:tc>
      </w:tr>
      <w:tr>
        <w:trPr>
          <w:cantSplit/>
        </w:trPr>
        <w:tc>
          <w:tcPr>
            <w:tcW w:type="dxa" w:w="2699"/>
          </w:tcPr>
          <w:p>
            <w:pPr>
              <w:pStyle w:val="Compact"/>
              <w:keepNext w:val="0"/>
              <w:spacing w:after="60" w:before="60" w:line="264" w:lineRule="auto"/>
              <w:jc w:val="left"/>
            </w:pPr>
            <w:r>
              <w:rPr>
                <w:sz w:val="18"/>
              </w:rPr>
              <w:t xml:space="preserve">高</w:t>
            </w:r>
          </w:p>
        </w:tc>
        <w:tc>
          <w:tcPr>
            <w:tcW w:type="dxa" w:w="1388"/>
          </w:tcPr>
          <w:p>
            <w:pPr>
              <w:pStyle w:val="Compact"/>
              <w:keepNext w:val="0"/>
              <w:spacing w:after="60" w:before="60" w:line="264" w:lineRule="auto"/>
              <w:jc w:val="left"/>
            </w:pPr>
            <w:r>
              <w:rPr>
                <w:sz w:val="18"/>
              </w:rPr>
              <w:t xml:space="preserve">高风险</w:t>
            </w:r>
          </w:p>
        </w:tc>
        <w:tc>
          <w:tcPr>
            <w:tcW w:type="dxa" w:w="1388"/>
          </w:tcPr>
          <w:p>
            <w:pPr>
              <w:pStyle w:val="Compact"/>
              <w:keepNext w:val="0"/>
              <w:spacing w:after="60" w:before="60" w:line="264" w:lineRule="auto"/>
              <w:jc w:val="left"/>
            </w:pPr>
            <w:r>
              <w:rPr>
                <w:sz w:val="18"/>
              </w:rPr>
              <w:t xml:space="preserve">高风险</w:t>
            </w:r>
          </w:p>
        </w:tc>
        <w:tc>
          <w:tcPr>
            <w:tcW w:type="dxa" w:w="1388"/>
          </w:tcPr>
          <w:p>
            <w:pPr>
              <w:pStyle w:val="Compact"/>
              <w:keepNext w:val="0"/>
              <w:spacing w:after="60" w:before="60" w:line="264" w:lineRule="auto"/>
              <w:jc w:val="left"/>
            </w:pPr>
            <w:r>
              <w:rPr>
                <w:sz w:val="18"/>
              </w:rPr>
              <w:t xml:space="preserve">中风险</w:t>
            </w:r>
          </w:p>
        </w:tc>
        <w:tc>
          <w:tcPr>
            <w:tcW w:type="dxa" w:w="1388"/>
          </w:tcPr>
          <w:p>
            <w:pPr>
              <w:pStyle w:val="Compact"/>
              <w:keepNext w:val="0"/>
              <w:spacing w:after="60" w:before="60" w:line="264" w:lineRule="auto"/>
              <w:jc w:val="left"/>
            </w:pPr>
            <w:r>
              <w:rPr>
                <w:sz w:val="18"/>
              </w:rPr>
              <w:t xml:space="preserve">低风险</w:t>
            </w:r>
          </w:p>
        </w:tc>
        <w:tc>
          <w:tcPr>
            <w:tcW w:type="dxa" w:w="1388"/>
          </w:tcPr>
          <w:p>
            <w:pPr>
              <w:pStyle w:val="Compact"/>
              <w:keepNext w:val="0"/>
              <w:spacing w:after="60" w:before="60" w:line="264" w:lineRule="auto"/>
              <w:jc w:val="left"/>
            </w:pPr>
            <w:r>
              <w:rPr>
                <w:sz w:val="18"/>
              </w:rPr>
              <w:t xml:space="preserve">低风险</w:t>
            </w:r>
          </w:p>
        </w:tc>
      </w:tr>
      <w:tr>
        <w:trPr>
          <w:cantSplit/>
        </w:trPr>
        <w:tc>
          <w:tcPr>
            <w:tcW w:type="dxa" w:w="2699"/>
          </w:tcPr>
          <w:p>
            <w:pPr>
              <w:pStyle w:val="Compact"/>
              <w:keepNext w:val="0"/>
              <w:spacing w:after="60" w:before="60" w:line="264" w:lineRule="auto"/>
              <w:jc w:val="left"/>
            </w:pPr>
            <w:r>
              <w:rPr>
                <w:sz w:val="18"/>
              </w:rPr>
              <w:t xml:space="preserve">中</w:t>
            </w:r>
          </w:p>
        </w:tc>
        <w:tc>
          <w:tcPr>
            <w:tcW w:type="dxa" w:w="1388"/>
          </w:tcPr>
          <w:p>
            <w:pPr>
              <w:pStyle w:val="Compact"/>
              <w:keepNext w:val="0"/>
              <w:spacing w:after="60" w:before="60" w:line="264" w:lineRule="auto"/>
              <w:jc w:val="left"/>
            </w:pPr>
            <w:r>
              <w:rPr>
                <w:sz w:val="18"/>
              </w:rPr>
              <w:t xml:space="preserve">高风险</w:t>
            </w:r>
          </w:p>
        </w:tc>
        <w:tc>
          <w:tcPr>
            <w:tcW w:type="dxa" w:w="1388"/>
          </w:tcPr>
          <w:p>
            <w:pPr>
              <w:pStyle w:val="Compact"/>
              <w:keepNext w:val="0"/>
              <w:spacing w:after="60" w:before="60" w:line="264" w:lineRule="auto"/>
              <w:jc w:val="left"/>
            </w:pPr>
            <w:r>
              <w:rPr>
                <w:sz w:val="18"/>
              </w:rPr>
              <w:t xml:space="preserve">高风险</w:t>
            </w:r>
          </w:p>
        </w:tc>
        <w:tc>
          <w:tcPr>
            <w:tcW w:type="dxa" w:w="1388"/>
          </w:tcPr>
          <w:p>
            <w:pPr>
              <w:pStyle w:val="Compact"/>
              <w:keepNext w:val="0"/>
              <w:spacing w:after="60" w:before="60" w:line="264" w:lineRule="auto"/>
              <w:jc w:val="left"/>
            </w:pPr>
            <w:r>
              <w:rPr>
                <w:sz w:val="18"/>
              </w:rPr>
              <w:t xml:space="preserve">低风险</w:t>
            </w:r>
          </w:p>
        </w:tc>
        <w:tc>
          <w:tcPr>
            <w:tcW w:type="dxa" w:w="1388"/>
          </w:tcPr>
          <w:p>
            <w:pPr>
              <w:pStyle w:val="Compact"/>
              <w:keepNext w:val="0"/>
              <w:spacing w:after="60" w:before="60" w:line="264" w:lineRule="auto"/>
              <w:jc w:val="left"/>
            </w:pPr>
            <w:r>
              <w:rPr>
                <w:sz w:val="18"/>
              </w:rPr>
              <w:t xml:space="preserve">低风险</w:t>
            </w:r>
          </w:p>
        </w:tc>
        <w:tc>
          <w:tcPr>
            <w:tcW w:type="dxa" w:w="1388"/>
          </w:tcPr>
          <w:p>
            <w:pPr>
              <w:pStyle w:val="Compact"/>
              <w:keepNext w:val="0"/>
              <w:spacing w:after="60" w:before="60" w:line="264" w:lineRule="auto"/>
              <w:jc w:val="left"/>
            </w:pPr>
            <w:r>
              <w:rPr>
                <w:sz w:val="18"/>
              </w:rPr>
              <w:t xml:space="preserve">低风险</w:t>
            </w:r>
          </w:p>
        </w:tc>
      </w:tr>
      <w:tr>
        <w:trPr>
          <w:cantSplit/>
        </w:trPr>
        <w:tc>
          <w:tcPr>
            <w:tcW w:type="dxa" w:w="2699"/>
          </w:tcPr>
          <w:p>
            <w:pPr>
              <w:pStyle w:val="Compact"/>
              <w:keepNext w:val="0"/>
              <w:spacing w:after="60" w:before="60" w:line="264" w:lineRule="auto"/>
              <w:jc w:val="left"/>
            </w:pPr>
            <w:r>
              <w:rPr>
                <w:sz w:val="18"/>
              </w:rPr>
              <w:t xml:space="preserve">低</w:t>
            </w:r>
          </w:p>
        </w:tc>
        <w:tc>
          <w:tcPr>
            <w:tcW w:type="dxa" w:w="1388"/>
          </w:tcPr>
          <w:p>
            <w:pPr>
              <w:pStyle w:val="Compact"/>
              <w:keepNext w:val="0"/>
              <w:spacing w:after="60" w:before="60" w:line="264" w:lineRule="auto"/>
              <w:jc w:val="left"/>
            </w:pPr>
            <w:r>
              <w:rPr>
                <w:sz w:val="18"/>
              </w:rPr>
              <w:t xml:space="preserve">中风险</w:t>
            </w:r>
          </w:p>
        </w:tc>
        <w:tc>
          <w:tcPr>
            <w:tcW w:type="dxa" w:w="1388"/>
          </w:tcPr>
          <w:p>
            <w:pPr>
              <w:pStyle w:val="Compact"/>
              <w:keepNext w:val="0"/>
              <w:spacing w:after="60" w:before="60" w:line="264" w:lineRule="auto"/>
              <w:jc w:val="left"/>
            </w:pPr>
            <w:r>
              <w:rPr>
                <w:sz w:val="18"/>
              </w:rPr>
              <w:t xml:space="preserve">中风险</w:t>
            </w:r>
          </w:p>
        </w:tc>
        <w:tc>
          <w:tcPr>
            <w:tcW w:type="dxa" w:w="1388"/>
          </w:tcPr>
          <w:p>
            <w:pPr>
              <w:pStyle w:val="Compact"/>
              <w:keepNext w:val="0"/>
              <w:spacing w:after="60" w:before="60" w:line="264" w:lineRule="auto"/>
              <w:jc w:val="left"/>
            </w:pPr>
            <w:r>
              <w:rPr>
                <w:sz w:val="18"/>
              </w:rPr>
              <w:t xml:space="preserve">低风险</w:t>
            </w:r>
          </w:p>
        </w:tc>
        <w:tc>
          <w:tcPr>
            <w:tcW w:type="dxa" w:w="1388"/>
          </w:tcPr>
          <w:p>
            <w:pPr>
              <w:pStyle w:val="Compact"/>
              <w:keepNext w:val="0"/>
              <w:spacing w:after="60" w:before="60" w:line="264" w:lineRule="auto"/>
              <w:jc w:val="left"/>
            </w:pPr>
            <w:r>
              <w:rPr>
                <w:sz w:val="18"/>
              </w:rPr>
              <w:t xml:space="preserve">低风险</w:t>
            </w:r>
          </w:p>
        </w:tc>
        <w:tc>
          <w:tcPr>
            <w:tcW w:type="dxa" w:w="1388"/>
          </w:tcPr>
          <w:p>
            <w:pPr>
              <w:pStyle w:val="Compact"/>
              <w:keepNext w:val="0"/>
              <w:spacing w:after="60" w:before="60" w:line="264" w:lineRule="auto"/>
              <w:jc w:val="left"/>
            </w:pPr>
            <w:r>
              <w:rPr>
                <w:sz w:val="18"/>
              </w:rPr>
              <w:t xml:space="preserve">低风险</w:t>
            </w:r>
          </w:p>
        </w:tc>
      </w:tr>
    </w:tbl>
    <w:p>
      <w:pPr>
        <w:pStyle w:val="BodyText"/>
      </w:pPr>
      <w:r>
        <w:t xml:space="preserve">这里</w:t>
      </w:r>
      <w:r>
        <w:t xml:space="preserve">“</w:t>
      </w:r>
      <w:r>
        <w:t xml:space="preserve">高风险问题</w:t>
      </w:r>
      <w:r>
        <w:t xml:space="preserve">”</w:t>
      </w:r>
      <w:r>
        <w:t xml:space="preserve">并不自动等于</w:t>
      </w:r>
      <w:r>
        <w:t xml:space="preserve">“</w:t>
      </w:r>
      <w:r>
        <w:t xml:space="preserve">4 级重要数据</w:t>
      </w:r>
      <w:r>
        <w:t xml:space="preserve">”</w:t>
      </w:r>
      <w:r>
        <w:t xml:space="preserve">。模型</w:t>
      </w:r>
      <w:r>
        <w:t xml:space="preserve"> </w:t>
      </w:r>
      <m:oMath>
        <m:sSup>
          <m:e>
            <m:r>
              <m:t>R</m:t>
            </m:r>
          </m:e>
          <m:sup>
            <m:r>
              <m:t>2</m:t>
            </m:r>
          </m:sup>
        </m:sSup>
      </m:oMath>
      <w:r>
        <w:t xml:space="preserve"> </w:t>
      </w:r>
      <w:r>
        <w:t xml:space="preserve">也不是事件发生概率。需要把推断可行性、背景可得性、现实利用条件、后果及已有措施一起形成评价证据。</w:t>
      </w:r>
    </w:p>
    <w:p>
      <w:pPr>
        <w:pStyle w:val="Heading3"/>
      </w:pPr>
      <w:bookmarkStart w:id="93" w:name="与本项目直接对应的检查项"/>
      <w:r>
        <w:t xml:space="preserve">3.4 与本项目直接对应的检查项</w:t>
      </w:r>
      <w:bookmarkEnd w:id="93"/>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附录 3 序号</w:t>
            </w:r>
          </w:p>
        </w:tc>
        <w:tc>
          <w:tcPr>
            <w:tcW w:type="dxa" w:w="4048"/>
            <w:shd w:fill="E8F0F5"/>
          </w:tcPr>
          <w:p>
            <w:pPr>
              <w:pStyle w:val="Compact"/>
              <w:keepNext w:val="0"/>
              <w:spacing w:after="60" w:before="60" w:line="264" w:lineRule="auto"/>
              <w:jc w:val="left"/>
            </w:pPr>
            <w:r>
              <w:rPr>
                <w:sz w:val="18"/>
              </w:rPr>
              <w:t xml:space="preserve">手册关注点</w:t>
            </w:r>
          </w:p>
        </w:tc>
        <w:tc>
          <w:tcPr>
            <w:tcW w:type="dxa" w:w="3470"/>
            <w:shd w:fill="E8F0F5"/>
          </w:tcPr>
          <w:p>
            <w:pPr>
              <w:pStyle w:val="Compact"/>
              <w:keepNext w:val="0"/>
              <w:spacing w:after="60" w:before="60" w:line="264" w:lineRule="auto"/>
              <w:jc w:val="left"/>
            </w:pPr>
            <w:r>
              <w:rPr>
                <w:sz w:val="18"/>
              </w:rPr>
              <w:t xml:space="preserve">项目可提供的材料</w:t>
            </w:r>
          </w:p>
        </w:tc>
      </w:tr>
      <w:tr>
        <w:trPr>
          <w:cantSplit/>
        </w:trPr>
        <w:tc>
          <w:tcPr>
            <w:tcW w:type="dxa" w:w="2120"/>
          </w:tcPr>
          <w:p>
            <w:pPr>
              <w:pStyle w:val="Compact"/>
              <w:keepNext w:val="0"/>
              <w:spacing w:after="60" w:before="60" w:line="264" w:lineRule="auto"/>
              <w:jc w:val="left"/>
            </w:pPr>
            <w:r>
              <w:rPr>
                <w:sz w:val="18"/>
              </w:rPr>
              <w:t xml:space="preserve">120—121</w:t>
            </w:r>
          </w:p>
        </w:tc>
        <w:tc>
          <w:tcPr>
            <w:tcW w:type="dxa" w:w="4048"/>
          </w:tcPr>
          <w:p>
            <w:pPr>
              <w:pStyle w:val="Compact"/>
              <w:keepNext w:val="0"/>
              <w:spacing w:after="60" w:before="60" w:line="264" w:lineRule="auto"/>
              <w:jc w:val="left"/>
            </w:pPr>
            <w:r>
              <w:rPr>
                <w:sz w:val="18"/>
              </w:rPr>
              <w:t xml:space="preserve">重要/核心数据目录及重大变化后的更新报送</w:t>
            </w:r>
          </w:p>
        </w:tc>
        <w:tc>
          <w:tcPr>
            <w:tcW w:type="dxa" w:w="3470"/>
          </w:tcPr>
          <w:p>
            <w:pPr>
              <w:pStyle w:val="Compact"/>
              <w:keepNext w:val="0"/>
              <w:spacing w:after="60" w:before="60" w:line="264" w:lineRule="auto"/>
              <w:jc w:val="left"/>
            </w:pPr>
            <w:r>
              <w:rPr>
                <w:sz w:val="18"/>
              </w:rPr>
              <w:t xml:space="preserve">规则依据、识别线索、目录版本和变更记录</w:t>
            </w:r>
          </w:p>
        </w:tc>
      </w:tr>
      <w:tr>
        <w:trPr>
          <w:cantSplit/>
        </w:trPr>
        <w:tc>
          <w:tcPr>
            <w:tcW w:type="dxa" w:w="2120"/>
          </w:tcPr>
          <w:p>
            <w:pPr>
              <w:pStyle w:val="Compact"/>
              <w:keepNext w:val="0"/>
              <w:spacing w:after="60" w:before="60" w:line="264" w:lineRule="auto"/>
              <w:jc w:val="left"/>
            </w:pPr>
            <w:r>
              <w:rPr>
                <w:sz w:val="18"/>
              </w:rPr>
              <w:t xml:space="preserve">138</w:t>
            </w:r>
          </w:p>
        </w:tc>
        <w:tc>
          <w:tcPr>
            <w:tcW w:type="dxa" w:w="4048"/>
          </w:tcPr>
          <w:p>
            <w:pPr>
              <w:pStyle w:val="Compact"/>
              <w:keepNext w:val="0"/>
              <w:spacing w:after="60" w:before="60" w:line="264" w:lineRule="auto"/>
              <w:jc w:val="left"/>
            </w:pPr>
            <w:r>
              <w:rPr>
                <w:sz w:val="18"/>
              </w:rPr>
              <w:t xml:space="preserve">分类分级、汇聚融合、对外提供、脱敏等变更管理</w:t>
            </w:r>
          </w:p>
        </w:tc>
        <w:tc>
          <w:tcPr>
            <w:tcW w:type="dxa" w:w="3470"/>
          </w:tcPr>
          <w:p>
            <w:pPr>
              <w:pStyle w:val="Compact"/>
              <w:keepNext w:val="0"/>
              <w:spacing w:after="60" w:before="60" w:line="264" w:lineRule="auto"/>
              <w:jc w:val="left"/>
            </w:pPr>
            <w:r>
              <w:rPr>
                <w:sz w:val="18"/>
              </w:rPr>
              <w:t xml:space="preserve">变更触发器、影响范围和复评记录</w:t>
            </w:r>
          </w:p>
        </w:tc>
      </w:tr>
      <w:tr>
        <w:trPr>
          <w:cantSplit/>
        </w:trPr>
        <w:tc>
          <w:tcPr>
            <w:tcW w:type="dxa" w:w="2120"/>
          </w:tcPr>
          <w:p>
            <w:pPr>
              <w:pStyle w:val="Compact"/>
              <w:keepNext w:val="0"/>
              <w:spacing w:after="60" w:before="60" w:line="264" w:lineRule="auto"/>
              <w:jc w:val="left"/>
            </w:pPr>
            <w:r>
              <w:rPr>
                <w:sz w:val="18"/>
              </w:rPr>
              <w:t xml:space="preserve">143—150</w:t>
            </w:r>
          </w:p>
        </w:tc>
        <w:tc>
          <w:tcPr>
            <w:tcW w:type="dxa" w:w="4048"/>
          </w:tcPr>
          <w:p>
            <w:pPr>
              <w:pStyle w:val="Compact"/>
              <w:keepNext w:val="0"/>
              <w:spacing w:after="60" w:before="60" w:line="264" w:lineRule="auto"/>
              <w:jc w:val="left"/>
            </w:pPr>
            <w:r>
              <w:rPr>
                <w:sz w:val="18"/>
              </w:rPr>
              <w:t xml:space="preserve">分类分级标准、级别、清单、审核、最高级保护、标记</w:t>
            </w:r>
          </w:p>
        </w:tc>
        <w:tc>
          <w:tcPr>
            <w:tcW w:type="dxa" w:w="3470"/>
          </w:tcPr>
          <w:p>
            <w:pPr>
              <w:pStyle w:val="Compact"/>
              <w:keepNext w:val="0"/>
              <w:spacing w:after="60" w:before="60" w:line="264" w:lineRule="auto"/>
              <w:jc w:val="left"/>
            </w:pPr>
            <w:r>
              <w:rPr>
                <w:sz w:val="18"/>
              </w:rPr>
              <w:t xml:space="preserve">分类分级主表、规则来源、审批和标签同步</w:t>
            </w:r>
          </w:p>
        </w:tc>
      </w:tr>
      <w:tr>
        <w:trPr>
          <w:cantSplit/>
        </w:trPr>
        <w:tc>
          <w:tcPr>
            <w:tcW w:type="dxa" w:w="2120"/>
          </w:tcPr>
          <w:p>
            <w:pPr>
              <w:pStyle w:val="Compact"/>
              <w:keepNext w:val="0"/>
              <w:spacing w:after="60" w:before="60" w:line="264" w:lineRule="auto"/>
              <w:jc w:val="left"/>
            </w:pPr>
            <w:r>
              <w:rPr>
                <w:sz w:val="18"/>
              </w:rPr>
              <w:t xml:space="preserve">195</w:t>
            </w:r>
          </w:p>
        </w:tc>
        <w:tc>
          <w:tcPr>
            <w:tcW w:type="dxa" w:w="4048"/>
          </w:tcPr>
          <w:p>
            <w:pPr>
              <w:pStyle w:val="Compact"/>
              <w:keepNext w:val="0"/>
              <w:spacing w:after="60" w:before="60" w:line="264" w:lineRule="auto"/>
              <w:jc w:val="left"/>
            </w:pPr>
            <w:r>
              <w:rPr>
                <w:sz w:val="18"/>
              </w:rPr>
              <w:t xml:space="preserve">根据类别与级别配置访问控制</w:t>
            </w:r>
          </w:p>
        </w:tc>
        <w:tc>
          <w:tcPr>
            <w:tcW w:type="dxa" w:w="3470"/>
          </w:tcPr>
          <w:p>
            <w:pPr>
              <w:pStyle w:val="Compact"/>
              <w:keepNext w:val="0"/>
              <w:spacing w:after="60" w:before="60" w:line="264" w:lineRule="auto"/>
              <w:jc w:val="left"/>
            </w:pPr>
            <w:r>
              <w:rPr>
                <w:sz w:val="18"/>
              </w:rPr>
              <w:t xml:space="preserve">审批结果与访问策略的映射和执行证据</w:t>
            </w:r>
          </w:p>
        </w:tc>
      </w:tr>
      <w:tr>
        <w:trPr>
          <w:cantSplit/>
        </w:trPr>
        <w:tc>
          <w:tcPr>
            <w:tcW w:type="dxa" w:w="2120"/>
          </w:tcPr>
          <w:p>
            <w:pPr>
              <w:pStyle w:val="Compact"/>
              <w:keepNext w:val="0"/>
              <w:spacing w:after="60" w:before="60" w:line="264" w:lineRule="auto"/>
              <w:jc w:val="left"/>
            </w:pPr>
            <w:r>
              <w:rPr>
                <w:sz w:val="18"/>
              </w:rPr>
              <w:t xml:space="preserve">239</w:t>
            </w:r>
          </w:p>
        </w:tc>
        <w:tc>
          <w:tcPr>
            <w:tcW w:type="dxa" w:w="4048"/>
          </w:tcPr>
          <w:p>
            <w:pPr>
              <w:pStyle w:val="Compact"/>
              <w:keepNext w:val="0"/>
              <w:spacing w:after="60" w:before="60" w:line="264" w:lineRule="auto"/>
              <w:jc w:val="left"/>
            </w:pPr>
            <w:r>
              <w:rPr>
                <w:sz w:val="18"/>
              </w:rPr>
              <w:t xml:space="preserve">匿名化/去标识化后的重新识别风险</w:t>
            </w:r>
          </w:p>
        </w:tc>
        <w:tc>
          <w:tcPr>
            <w:tcW w:type="dxa" w:w="3470"/>
          </w:tcPr>
          <w:p>
            <w:pPr>
              <w:pStyle w:val="Compact"/>
              <w:keepNext w:val="0"/>
              <w:spacing w:after="60" w:before="60" w:line="264" w:lineRule="auto"/>
              <w:jc w:val="left"/>
            </w:pPr>
            <w:r>
              <w:rPr>
                <w:sz w:val="18"/>
              </w:rPr>
              <w:t xml:space="preserve">处理后可恢复性复测记录，按目标类型选指标</w:t>
            </w:r>
          </w:p>
        </w:tc>
      </w:tr>
      <w:tr>
        <w:trPr>
          <w:cantSplit/>
        </w:trPr>
        <w:tc>
          <w:tcPr>
            <w:tcW w:type="dxa" w:w="2120"/>
          </w:tcPr>
          <w:p>
            <w:pPr>
              <w:pStyle w:val="Compact"/>
              <w:keepNext w:val="0"/>
              <w:spacing w:after="60" w:before="60" w:line="264" w:lineRule="auto"/>
              <w:jc w:val="left"/>
            </w:pPr>
            <w:r>
              <w:rPr>
                <w:sz w:val="18"/>
              </w:rPr>
              <w:t xml:space="preserve">376—379</w:t>
            </w:r>
          </w:p>
        </w:tc>
        <w:tc>
          <w:tcPr>
            <w:tcW w:type="dxa" w:w="4048"/>
          </w:tcPr>
          <w:p>
            <w:pPr>
              <w:pStyle w:val="Compact"/>
              <w:keepNext w:val="0"/>
              <w:spacing w:after="60" w:before="60" w:line="264" w:lineRule="auto"/>
              <w:jc w:val="left"/>
            </w:pPr>
            <w:r>
              <w:rPr>
                <w:sz w:val="18"/>
              </w:rPr>
              <w:t xml:space="preserve">数据公开制度、审批、目的、范围及授权一致性</w:t>
            </w:r>
          </w:p>
        </w:tc>
        <w:tc>
          <w:tcPr>
            <w:tcW w:type="dxa" w:w="3470"/>
          </w:tcPr>
          <w:p>
            <w:pPr>
              <w:pStyle w:val="Compact"/>
              <w:keepNext w:val="0"/>
              <w:spacing w:after="60" w:before="60" w:line="264" w:lineRule="auto"/>
              <w:jc w:val="left"/>
            </w:pPr>
            <w:r>
              <w:rPr>
                <w:sz w:val="18"/>
              </w:rPr>
              <w:t xml:space="preserve">场景卡、授权核对和发布方案</w:t>
            </w:r>
          </w:p>
        </w:tc>
      </w:tr>
      <w:tr>
        <w:trPr>
          <w:cantSplit/>
        </w:trPr>
        <w:tc>
          <w:tcPr>
            <w:tcW w:type="dxa" w:w="2120"/>
          </w:tcPr>
          <w:p>
            <w:pPr>
              <w:pStyle w:val="Compact"/>
              <w:keepNext w:val="0"/>
              <w:spacing w:after="60" w:before="60" w:line="264" w:lineRule="auto"/>
              <w:jc w:val="left"/>
            </w:pPr>
            <w:r>
              <w:rPr>
                <w:b/>
                <w:sz w:val="18"/>
              </w:rPr>
              <w:t xml:space="preserve">382</w:t>
            </w:r>
          </w:p>
        </w:tc>
        <w:tc>
          <w:tcPr>
            <w:tcW w:type="dxa" w:w="4048"/>
          </w:tcPr>
          <w:p>
            <w:pPr>
              <w:pStyle w:val="Compact"/>
              <w:keepNext w:val="0"/>
              <w:spacing w:after="60" w:before="60" w:line="264" w:lineRule="auto"/>
              <w:jc w:val="left"/>
            </w:pPr>
            <w:r>
              <w:rPr>
                <w:b/>
                <w:sz w:val="18"/>
              </w:rPr>
              <w:t xml:space="preserve">已公开数据与其他信息结合后的聚合性推断风险</w:t>
            </w:r>
          </w:p>
        </w:tc>
        <w:tc>
          <w:tcPr>
            <w:tcW w:type="dxa" w:w="3470"/>
          </w:tcPr>
          <w:p>
            <w:pPr>
              <w:pStyle w:val="Compact"/>
              <w:keepNext w:val="0"/>
              <w:spacing w:after="60" w:before="60" w:line="264" w:lineRule="auto"/>
              <w:jc w:val="left"/>
            </w:pPr>
            <w:r>
              <w:rPr>
                <w:b/>
                <w:sz w:val="18"/>
              </w:rPr>
              <w:t xml:space="preserve">已知背景、受保护目标、集合风险、关键组合、复核证据和措施前后结果</w:t>
            </w:r>
          </w:p>
        </w:tc>
      </w:tr>
      <w:tr>
        <w:trPr>
          <w:cantSplit/>
        </w:trPr>
        <w:tc>
          <w:tcPr>
            <w:tcW w:type="dxa" w:w="2120"/>
          </w:tcPr>
          <w:p>
            <w:pPr>
              <w:pStyle w:val="Compact"/>
              <w:keepNext w:val="0"/>
              <w:spacing w:after="60" w:before="60" w:line="264" w:lineRule="auto"/>
              <w:jc w:val="left"/>
            </w:pPr>
            <w:r>
              <w:rPr>
                <w:sz w:val="18"/>
              </w:rPr>
              <w:t xml:space="preserve">383</w:t>
            </w:r>
          </w:p>
        </w:tc>
        <w:tc>
          <w:tcPr>
            <w:tcW w:type="dxa" w:w="4048"/>
          </w:tcPr>
          <w:p>
            <w:pPr>
              <w:pStyle w:val="Compact"/>
              <w:keepNext w:val="0"/>
              <w:spacing w:after="60" w:before="60" w:line="264" w:lineRule="auto"/>
              <w:jc w:val="left"/>
            </w:pPr>
            <w:r>
              <w:rPr>
                <w:sz w:val="18"/>
              </w:rPr>
              <w:t xml:space="preserve">数据公开前的风险评估</w:t>
            </w:r>
          </w:p>
        </w:tc>
        <w:tc>
          <w:tcPr>
            <w:tcW w:type="dxa" w:w="3470"/>
          </w:tcPr>
          <w:p>
            <w:pPr>
              <w:pStyle w:val="Compact"/>
              <w:keepNext w:val="0"/>
              <w:spacing w:after="60" w:before="60" w:line="264" w:lineRule="auto"/>
              <w:jc w:val="left"/>
            </w:pPr>
            <w:r>
              <w:rPr>
                <w:sz w:val="18"/>
              </w:rPr>
              <w:t xml:space="preserve">发布前审计报告、未决问题和审批结论</w:t>
            </w:r>
          </w:p>
        </w:tc>
      </w:tr>
      <w:tr>
        <w:trPr>
          <w:cantSplit/>
        </w:trPr>
        <w:tc>
          <w:tcPr>
            <w:tcW w:type="dxa" w:w="2120"/>
          </w:tcPr>
          <w:p>
            <w:pPr>
              <w:pStyle w:val="Compact"/>
              <w:keepNext w:val="0"/>
              <w:spacing w:after="60" w:before="60" w:line="264" w:lineRule="auto"/>
              <w:jc w:val="left"/>
            </w:pPr>
            <w:r>
              <w:rPr>
                <w:sz w:val="18"/>
              </w:rPr>
              <w:t xml:space="preserve">440</w:t>
            </w:r>
          </w:p>
        </w:tc>
        <w:tc>
          <w:tcPr>
            <w:tcW w:type="dxa" w:w="4048"/>
          </w:tcPr>
          <w:p>
            <w:pPr>
              <w:pStyle w:val="Compact"/>
              <w:keepNext w:val="0"/>
              <w:spacing w:after="60" w:before="60" w:line="264" w:lineRule="auto"/>
              <w:jc w:val="left"/>
            </w:pPr>
            <w:r>
              <w:rPr>
                <w:sz w:val="18"/>
              </w:rPr>
              <w:t xml:space="preserve">共享风险评估及接收方保护能力</w:t>
            </w:r>
          </w:p>
        </w:tc>
        <w:tc>
          <w:tcPr>
            <w:tcW w:type="dxa" w:w="3470"/>
          </w:tcPr>
          <w:p>
            <w:pPr>
              <w:pStyle w:val="Compact"/>
              <w:keepNext w:val="0"/>
              <w:spacing w:after="60" w:before="60" w:line="264" w:lineRule="auto"/>
              <w:jc w:val="left"/>
            </w:pPr>
            <w:r>
              <w:rPr>
                <w:sz w:val="18"/>
              </w:rPr>
              <w:t xml:space="preserve">接收方画像、场景边界及共享复评证据</w:t>
            </w:r>
          </w:p>
        </w:tc>
      </w:tr>
    </w:tbl>
    <w:p>
      <w:pPr>
        <w:pStyle w:val="BodyText"/>
      </w:pPr>
      <w:r>
        <w:t xml:space="preserve">第 382 项是你近期研究最直接的制度落点。它不是额外虚构的一项科研需求，而是对材料中已有检查要求提供更精细的证据工具。</w:t>
      </w:r>
    </w:p>
    <w:p>
      <w:pPr>
        <w:pStyle w:val="Heading2"/>
      </w:pPr>
      <w:bookmarkStart w:id="94" w:name="开放目录及说明规定对谁以什么条件提供"/>
      <w:r>
        <w:t xml:space="preserve">4. 开放目录及说明：规定</w:t>
      </w:r>
      <w:r>
        <w:t xml:space="preserve">“</w:t>
      </w:r>
      <w:r>
        <w:t xml:space="preserve">对谁、以什么条件</w:t>
      </w:r>
      <w:r>
        <w:t xml:space="preserve">”</w:t>
      </w:r>
      <w:r>
        <w:t xml:space="preserve">提供</w:t>
      </w:r>
      <w:bookmarkEnd w:id="94"/>
    </w:p>
    <w:p>
      <w:pPr>
        <w:pStyle w:val="Heading3"/>
      </w:pPr>
      <w:bookmarkStart w:id="95" w:name="对-561-项目录的实际统计"/>
      <w:r>
        <w:t xml:space="preserve">4.1 对 561 项目录的实际统计</w:t>
      </w:r>
      <w:bookmarkEnd w:id="95"/>
    </w:p>
    <w:p>
      <w:pPr>
        <w:pStyle w:val="FirstParagraph"/>
      </w:pPr>
      <w:r>
        <w:t xml:space="preserve">S06 工作表为</w:t>
      </w:r>
      <w:r>
        <w:t xml:space="preserve">“</w:t>
      </w:r>
      <w:r>
        <w:t xml:space="preserve">数据开放目录</w:t>
      </w:r>
      <w:r>
        <w:t xml:space="preserve">”</w:t>
      </w:r>
      <w:r>
        <w:t xml:space="preserve">，标题占前两行，表头第 3 行，数据在第 4—564 行，序号连续为 1—561。按</w:t>
      </w:r>
      <w:r>
        <w:t xml:space="preserve">“</w:t>
      </w:r>
      <w:r>
        <w:t xml:space="preserve">具有序号及数据资源名称的资源行</w:t>
      </w:r>
      <w:r>
        <w:t xml:space="preserve">”</w:t>
      </w:r>
      <w:r>
        <w:t xml:space="preserve">计数，</w:t>
      </w:r>
      <w:r>
        <w:rPr>
          <w:b/>
        </w:rPr>
        <w:t xml:space="preserve">不是 561 个字段，也不是 561 张真实数据表</w:t>
      </w:r>
      <w:r>
        <w:t xml:space="preserve">。</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699"/>
        <w:gridCol w:w="6939"/>
      </w:tblGrid>
      <w:tr>
        <w:trPr>
          <w:cantSplit/>
          <w:tblHeader/>
        </w:trPr>
        <w:tc>
          <w:tcPr>
            <w:tcW w:type="dxa" w:w="2699"/>
            <w:shd w:fill="E8F0F5"/>
          </w:tcPr>
          <w:p>
            <w:pPr>
              <w:pStyle w:val="Compact"/>
              <w:keepNext w:val="0"/>
              <w:spacing w:after="60" w:before="60" w:line="264" w:lineRule="auto"/>
              <w:jc w:val="left"/>
            </w:pPr>
            <w:r>
              <w:rPr>
                <w:sz w:val="18"/>
              </w:rPr>
              <w:t xml:space="preserve">原表业务域写法</w:t>
            </w:r>
          </w:p>
        </w:tc>
        <w:tc>
          <w:tcPr>
            <w:tcW w:type="dxa" w:w="6939"/>
            <w:shd w:fill="E8F0F5"/>
          </w:tcPr>
          <w:p>
            <w:pPr>
              <w:pStyle w:val="Compact"/>
              <w:keepNext w:val="0"/>
              <w:spacing w:after="60" w:before="60" w:line="264" w:lineRule="auto"/>
              <w:jc w:val="right"/>
            </w:pPr>
            <w:r>
              <w:rPr>
                <w:sz w:val="18"/>
              </w:rPr>
              <w:t xml:space="preserve">资源项数</w:t>
            </w:r>
          </w:p>
        </w:tc>
      </w:tr>
      <w:tr>
        <w:trPr>
          <w:cantSplit/>
        </w:trPr>
        <w:tc>
          <w:tcPr>
            <w:tcW w:type="dxa" w:w="2699"/>
          </w:tcPr>
          <w:p>
            <w:pPr>
              <w:pStyle w:val="Compact"/>
              <w:keepNext w:val="0"/>
              <w:spacing w:after="60" w:before="60" w:line="264" w:lineRule="auto"/>
              <w:jc w:val="left"/>
            </w:pPr>
            <w:r>
              <w:rPr>
                <w:sz w:val="18"/>
              </w:rPr>
              <w:t xml:space="preserve">办公域</w:t>
            </w:r>
          </w:p>
        </w:tc>
        <w:tc>
          <w:tcPr>
            <w:tcW w:type="dxa" w:w="6939"/>
          </w:tcPr>
          <w:p>
            <w:pPr>
              <w:pStyle w:val="Compact"/>
              <w:keepNext w:val="0"/>
              <w:spacing w:after="60" w:before="60" w:line="264" w:lineRule="auto"/>
              <w:jc w:val="right"/>
            </w:pPr>
            <w:r>
              <w:rPr>
                <w:sz w:val="18"/>
              </w:rPr>
              <w:t xml:space="preserve">2</w:t>
            </w:r>
          </w:p>
        </w:tc>
      </w:tr>
      <w:tr>
        <w:trPr>
          <w:cantSplit/>
        </w:trPr>
        <w:tc>
          <w:tcPr>
            <w:tcW w:type="dxa" w:w="2699"/>
          </w:tcPr>
          <w:p>
            <w:pPr>
              <w:pStyle w:val="Compact"/>
              <w:keepNext w:val="0"/>
              <w:spacing w:after="60" w:before="60" w:line="264" w:lineRule="auto"/>
              <w:jc w:val="left"/>
            </w:pPr>
            <w:r>
              <w:rPr>
                <w:sz w:val="18"/>
              </w:rPr>
              <w:t xml:space="preserve">战略规划域</w:t>
            </w:r>
          </w:p>
        </w:tc>
        <w:tc>
          <w:tcPr>
            <w:tcW w:type="dxa" w:w="6939"/>
          </w:tcPr>
          <w:p>
            <w:pPr>
              <w:pStyle w:val="Compact"/>
              <w:keepNext w:val="0"/>
              <w:spacing w:after="60" w:before="60" w:line="264" w:lineRule="auto"/>
              <w:jc w:val="right"/>
            </w:pPr>
            <w:r>
              <w:rPr>
                <w:sz w:val="18"/>
              </w:rPr>
              <w:t xml:space="preserve">14</w:t>
            </w:r>
          </w:p>
        </w:tc>
      </w:tr>
      <w:tr>
        <w:trPr>
          <w:cantSplit/>
        </w:trPr>
        <w:tc>
          <w:tcPr>
            <w:tcW w:type="dxa" w:w="2699"/>
          </w:tcPr>
          <w:p>
            <w:pPr>
              <w:pStyle w:val="Compact"/>
              <w:keepNext w:val="0"/>
              <w:spacing w:after="60" w:before="60" w:line="264" w:lineRule="auto"/>
              <w:jc w:val="left"/>
            </w:pPr>
            <w:r>
              <w:rPr>
                <w:sz w:val="18"/>
              </w:rPr>
              <w:t xml:space="preserve">输配电域</w:t>
            </w:r>
          </w:p>
        </w:tc>
        <w:tc>
          <w:tcPr>
            <w:tcW w:type="dxa" w:w="6939"/>
          </w:tcPr>
          <w:p>
            <w:pPr>
              <w:pStyle w:val="Compact"/>
              <w:keepNext w:val="0"/>
              <w:spacing w:after="60" w:before="60" w:line="264" w:lineRule="auto"/>
              <w:jc w:val="right"/>
            </w:pPr>
            <w:r>
              <w:rPr>
                <w:sz w:val="18"/>
              </w:rPr>
              <w:t xml:space="preserve">260</w:t>
            </w:r>
          </w:p>
        </w:tc>
      </w:tr>
      <w:tr>
        <w:trPr>
          <w:cantSplit/>
        </w:trPr>
        <w:tc>
          <w:tcPr>
            <w:tcW w:type="dxa" w:w="2699"/>
          </w:tcPr>
          <w:p>
            <w:pPr>
              <w:pStyle w:val="Compact"/>
              <w:keepNext w:val="0"/>
              <w:spacing w:after="60" w:before="60" w:line="264" w:lineRule="auto"/>
              <w:jc w:val="left"/>
            </w:pPr>
            <w:r>
              <w:rPr>
                <w:sz w:val="18"/>
              </w:rPr>
              <w:t xml:space="preserve">市场营销域</w:t>
            </w:r>
          </w:p>
        </w:tc>
        <w:tc>
          <w:tcPr>
            <w:tcW w:type="dxa" w:w="6939"/>
          </w:tcPr>
          <w:p>
            <w:pPr>
              <w:pStyle w:val="Compact"/>
              <w:keepNext w:val="0"/>
              <w:spacing w:after="60" w:before="60" w:line="264" w:lineRule="auto"/>
              <w:jc w:val="right"/>
            </w:pPr>
            <w:r>
              <w:rPr>
                <w:sz w:val="18"/>
              </w:rPr>
              <w:t xml:space="preserve">223</w:t>
            </w:r>
          </w:p>
        </w:tc>
      </w:tr>
      <w:tr>
        <w:trPr>
          <w:cantSplit/>
        </w:trPr>
        <w:tc>
          <w:tcPr>
            <w:tcW w:type="dxa" w:w="2699"/>
          </w:tcPr>
          <w:p>
            <w:pPr>
              <w:pStyle w:val="Compact"/>
              <w:keepNext w:val="0"/>
              <w:spacing w:after="60" w:before="60" w:line="264" w:lineRule="auto"/>
              <w:jc w:val="left"/>
            </w:pPr>
            <w:r>
              <w:rPr>
                <w:sz w:val="18"/>
              </w:rPr>
              <w:t xml:space="preserve">市场营销域、系统运行域</w:t>
            </w:r>
          </w:p>
        </w:tc>
        <w:tc>
          <w:tcPr>
            <w:tcW w:type="dxa" w:w="6939"/>
          </w:tcPr>
          <w:p>
            <w:pPr>
              <w:pStyle w:val="Compact"/>
              <w:keepNext w:val="0"/>
              <w:spacing w:after="60" w:before="60" w:line="264" w:lineRule="auto"/>
              <w:jc w:val="right"/>
            </w:pPr>
            <w:r>
              <w:rPr>
                <w:sz w:val="18"/>
              </w:rPr>
              <w:t xml:space="preserve">1</w:t>
            </w:r>
          </w:p>
        </w:tc>
      </w:tr>
      <w:tr>
        <w:trPr>
          <w:cantSplit/>
        </w:trPr>
        <w:tc>
          <w:tcPr>
            <w:tcW w:type="dxa" w:w="2699"/>
          </w:tcPr>
          <w:p>
            <w:pPr>
              <w:pStyle w:val="Compact"/>
              <w:keepNext w:val="0"/>
              <w:spacing w:after="60" w:before="60" w:line="264" w:lineRule="auto"/>
              <w:jc w:val="left"/>
            </w:pPr>
            <w:r>
              <w:rPr>
                <w:sz w:val="18"/>
              </w:rPr>
              <w:t xml:space="preserve">新兴产业域</w:t>
            </w:r>
          </w:p>
        </w:tc>
        <w:tc>
          <w:tcPr>
            <w:tcW w:type="dxa" w:w="6939"/>
          </w:tcPr>
          <w:p>
            <w:pPr>
              <w:pStyle w:val="Compact"/>
              <w:keepNext w:val="0"/>
              <w:spacing w:after="60" w:before="60" w:line="264" w:lineRule="auto"/>
              <w:jc w:val="right"/>
            </w:pPr>
            <w:r>
              <w:rPr>
                <w:sz w:val="18"/>
              </w:rPr>
              <w:t xml:space="preserve">8</w:t>
            </w:r>
          </w:p>
        </w:tc>
      </w:tr>
      <w:tr>
        <w:trPr>
          <w:cantSplit/>
        </w:trPr>
        <w:tc>
          <w:tcPr>
            <w:tcW w:type="dxa" w:w="2699"/>
          </w:tcPr>
          <w:p>
            <w:pPr>
              <w:pStyle w:val="Compact"/>
              <w:keepNext w:val="0"/>
              <w:spacing w:after="60" w:before="60" w:line="264" w:lineRule="auto"/>
              <w:jc w:val="left"/>
            </w:pPr>
            <w:r>
              <w:rPr>
                <w:sz w:val="18"/>
              </w:rPr>
              <w:t xml:space="preserve">数字化域</w:t>
            </w:r>
          </w:p>
        </w:tc>
        <w:tc>
          <w:tcPr>
            <w:tcW w:type="dxa" w:w="6939"/>
          </w:tcPr>
          <w:p>
            <w:pPr>
              <w:pStyle w:val="Compact"/>
              <w:keepNext w:val="0"/>
              <w:spacing w:after="60" w:before="60" w:line="264" w:lineRule="auto"/>
              <w:jc w:val="right"/>
            </w:pPr>
            <w:r>
              <w:rPr>
                <w:sz w:val="18"/>
              </w:rPr>
              <w:t xml:space="preserve">1</w:t>
            </w:r>
          </w:p>
        </w:tc>
      </w:tr>
      <w:tr>
        <w:trPr>
          <w:cantSplit/>
        </w:trPr>
        <w:tc>
          <w:tcPr>
            <w:tcW w:type="dxa" w:w="2699"/>
          </w:tcPr>
          <w:p>
            <w:pPr>
              <w:pStyle w:val="Compact"/>
              <w:keepNext w:val="0"/>
              <w:spacing w:after="60" w:before="60" w:line="264" w:lineRule="auto"/>
              <w:jc w:val="left"/>
            </w:pPr>
            <w:r>
              <w:rPr>
                <w:sz w:val="18"/>
              </w:rPr>
              <w:t xml:space="preserve">安全监管域</w:t>
            </w:r>
          </w:p>
        </w:tc>
        <w:tc>
          <w:tcPr>
            <w:tcW w:type="dxa" w:w="6939"/>
          </w:tcPr>
          <w:p>
            <w:pPr>
              <w:pStyle w:val="Compact"/>
              <w:keepNext w:val="0"/>
              <w:spacing w:after="60" w:before="60" w:line="264" w:lineRule="auto"/>
              <w:jc w:val="right"/>
            </w:pPr>
            <w:r>
              <w:rPr>
                <w:sz w:val="18"/>
              </w:rPr>
              <w:t xml:space="preserve">11</w:t>
            </w:r>
          </w:p>
        </w:tc>
      </w:tr>
      <w:tr>
        <w:trPr>
          <w:cantSplit/>
        </w:trPr>
        <w:tc>
          <w:tcPr>
            <w:tcW w:type="dxa" w:w="2699"/>
          </w:tcPr>
          <w:p>
            <w:pPr>
              <w:pStyle w:val="Compact"/>
              <w:keepNext w:val="0"/>
              <w:spacing w:after="60" w:before="60" w:line="264" w:lineRule="auto"/>
              <w:jc w:val="left"/>
            </w:pPr>
            <w:r>
              <w:rPr>
                <w:sz w:val="18"/>
              </w:rPr>
              <w:t xml:space="preserve">安全监管域、系统运行域</w:t>
            </w:r>
          </w:p>
        </w:tc>
        <w:tc>
          <w:tcPr>
            <w:tcW w:type="dxa" w:w="6939"/>
          </w:tcPr>
          <w:p>
            <w:pPr>
              <w:pStyle w:val="Compact"/>
              <w:keepNext w:val="0"/>
              <w:spacing w:after="60" w:before="60" w:line="264" w:lineRule="auto"/>
              <w:jc w:val="right"/>
            </w:pPr>
            <w:r>
              <w:rPr>
                <w:sz w:val="18"/>
              </w:rPr>
              <w:t xml:space="preserve">2</w:t>
            </w:r>
          </w:p>
        </w:tc>
      </w:tr>
      <w:tr>
        <w:trPr>
          <w:cantSplit/>
        </w:trPr>
        <w:tc>
          <w:tcPr>
            <w:tcW w:type="dxa" w:w="2699"/>
          </w:tcPr>
          <w:p>
            <w:pPr>
              <w:pStyle w:val="Compact"/>
              <w:keepNext w:val="0"/>
              <w:spacing w:after="60" w:before="60" w:line="264" w:lineRule="auto"/>
              <w:jc w:val="left"/>
            </w:pPr>
            <w:r>
              <w:rPr>
                <w:sz w:val="18"/>
              </w:rPr>
              <w:t xml:space="preserve">系统运行域</w:t>
            </w:r>
          </w:p>
        </w:tc>
        <w:tc>
          <w:tcPr>
            <w:tcW w:type="dxa" w:w="6939"/>
          </w:tcPr>
          <w:p>
            <w:pPr>
              <w:pStyle w:val="Compact"/>
              <w:keepNext w:val="0"/>
              <w:spacing w:after="60" w:before="60" w:line="264" w:lineRule="auto"/>
              <w:jc w:val="right"/>
            </w:pPr>
            <w:r>
              <w:rPr>
                <w:sz w:val="18"/>
              </w:rPr>
              <w:t xml:space="preserve">39</w:t>
            </w:r>
          </w:p>
        </w:tc>
      </w:tr>
      <w:tr>
        <w:trPr>
          <w:cantSplit/>
        </w:trPr>
        <w:tc>
          <w:tcPr>
            <w:tcW w:type="dxa" w:w="2699"/>
          </w:tcPr>
          <w:p>
            <w:pPr>
              <w:pStyle w:val="Compact"/>
              <w:keepNext w:val="0"/>
              <w:spacing w:after="60" w:before="60" w:line="264" w:lineRule="auto"/>
              <w:jc w:val="left"/>
            </w:pPr>
            <w:r>
              <w:rPr>
                <w:b/>
                <w:sz w:val="18"/>
              </w:rPr>
              <w:t xml:space="preserve">合计</w:t>
            </w:r>
          </w:p>
        </w:tc>
        <w:tc>
          <w:tcPr>
            <w:tcW w:type="dxa" w:w="6939"/>
          </w:tcPr>
          <w:p>
            <w:pPr>
              <w:pStyle w:val="Compact"/>
              <w:keepNext w:val="0"/>
              <w:spacing w:after="60" w:before="60" w:line="264" w:lineRule="auto"/>
              <w:jc w:val="right"/>
            </w:pPr>
            <w:r>
              <w:rPr>
                <w:b/>
                <w:sz w:val="18"/>
              </w:rPr>
              <w:t xml:space="preserve">561</w:t>
            </w:r>
          </w:p>
        </w:tc>
      </w:tr>
    </w:tbl>
    <w:p>
      <w:pPr>
        <w:pStyle w:val="BodyText"/>
      </w:pPr>
      <w:r>
        <w:t xml:space="preserve">以上保留原表组合标签，不能据此声称有 10 个独立业务域。手册中的</w:t>
      </w:r>
      <w:r>
        <w:t xml:space="preserve">“</w:t>
      </w:r>
      <w:r>
        <w:t xml:space="preserve">新兴业务域</w:t>
      </w:r>
      <w:r>
        <w:t xml:space="preserve">”</w:t>
      </w:r>
      <w:r>
        <w:t xml:space="preserve">与目录中的</w:t>
      </w:r>
      <w:r>
        <w:t xml:space="preserve">“</w:t>
      </w:r>
      <w:r>
        <w:t xml:space="preserve">新兴产业域</w:t>
      </w:r>
      <w:r>
        <w:t xml:space="preserve">”</w:t>
      </w:r>
      <w:r>
        <w:t xml:space="preserve">也需建立版本和别名映射，不能擅自认定二者完全相同。</w:t>
      </w:r>
    </w:p>
    <w:p>
      <w:pPr>
        <w:pStyle w:val="BodyText"/>
      </w:pPr>
      <w:r>
        <w:t xml:space="preserve">开放策略统计：</w:t>
      </w:r>
      <w:r>
        <w:rPr>
          <w:b/>
        </w:rPr>
        <w:t xml:space="preserve">有条件开放 548 项（约 97.7%），无条件开放 13 项（约 2.3%）</w:t>
      </w:r>
      <w:r>
        <w:t xml:space="preserve">。无条件开放的序号为 1、2、277—287，其余均为有条件开放。</w:t>
      </w:r>
    </w:p>
    <w:p>
      <w:pPr>
        <w:pStyle w:val="BodyText"/>
      </w:pPr>
      <w:r>
        <w:t xml:space="preserve">目录有 13 列：序号、所属业务域、所属业务部门、数据资源名称、数据项字段、数据项描述、数据使用场景样例、区域范围、时间范围、更新频率、开放对象、开放策略、开放条件。</w:t>
      </w:r>
      <w:r>
        <w:rPr>
          <w:b/>
        </w:rPr>
        <w:t xml:space="preserve">没有逐项</w:t>
      </w:r>
      <w:r>
        <w:rPr>
          <w:b/>
        </w:rPr>
        <w:t xml:space="preserve">“</w:t>
      </w:r>
      <w:r>
        <w:rPr>
          <w:b/>
        </w:rPr>
        <w:t xml:space="preserve">安全等级</w:t>
      </w:r>
      <w:r>
        <w:rPr>
          <w:b/>
        </w:rPr>
        <w:t xml:space="preserve">”</w:t>
      </w:r>
      <w:r>
        <w:rPr>
          <w:b/>
        </w:rPr>
        <w:t xml:space="preserve">列。</w:t>
      </w:r>
      <w:r>
        <w:t xml:space="preserve"> </w:t>
      </w:r>
      <w:r>
        <w:t xml:space="preserve">因而可以直接导入分类和场景元数据，但不能从开放策略自动反推出 1—5 级。[S06；统计脚本及逐项 CSV 见工作底稿]</w:t>
      </w:r>
    </w:p>
    <w:p>
      <w:pPr>
        <w:pStyle w:val="Heading3"/>
      </w:pPr>
      <w:bookmarkStart w:id="96" w:name="开放说明规定的基本逻辑"/>
      <w:r>
        <w:t xml:space="preserve">4.2 开放说明规定的基本逻辑</w:t>
      </w:r>
      <w:bookmarkEnd w:id="96"/>
    </w:p>
    <w:p>
      <w:pPr>
        <w:pStyle w:val="FirstParagraph"/>
      </w:pPr>
      <w:r>
        <w:t xml:space="preserve">S07 提出依法合规、分类分级、权责对等、需求导向、保障安全五项原则，列出国家秘密、未经授权的敏感数据、侵害企业权益等不纳入目录的边界，并区分：</w:t>
      </w:r>
    </w:p>
    <w:p>
      <w:pPr>
        <w:pStyle w:val="Compact"/>
        <w:numPr>
          <w:numId w:val="1007"/>
          <w:ilvl w:val="0"/>
        </w:numPr>
      </w:pPr>
      <w:r>
        <w:t xml:space="preserve">有条件开放一般面向 1—3 级数据，需要满足相应授权/处理条件、签订使用协议，并按要求通过可信数据空间流通。</w:t>
      </w:r>
    </w:p>
    <w:p>
      <w:pPr>
        <w:pStyle w:val="Compact"/>
        <w:numPr>
          <w:numId w:val="1007"/>
          <w:ilvl w:val="0"/>
        </w:numPr>
      </w:pPr>
      <w:r>
        <w:t xml:space="preserve">无条件开放一般为 1 级数据，仍遵循平台身份及获取流程。</w:t>
      </w:r>
    </w:p>
    <w:p>
      <w:pPr>
        <w:pStyle w:val="FirstParagraph"/>
      </w:pPr>
      <w:r>
        <w:t xml:space="preserve">“</w:t>
      </w:r>
      <w:r>
        <w:t xml:space="preserve">无条件开放</w:t>
      </w:r>
      <w:r>
        <w:t xml:space="preserve">”</w:t>
      </w:r>
      <w:r>
        <w:t xml:space="preserve">并不表示所有人无需认证即可下载。按说明，游客只能查看无条件开放目录信息；已注册主体可获取无条件开放数据、查看有条件开放目录；已入驻主体才可申请有条件开放资源，经审查通过后获取。[S07，P0050—P0063、P0082—P0109]</w:t>
      </w:r>
    </w:p>
    <w:p>
      <w:pPr>
        <w:pStyle w:val="BodyText"/>
      </w:pPr>
      <w:r>
        <w:t xml:space="preserve">还应区分南方能源行业可信数据空间和电力市场交易平台的主体与权限体系：某企业完成市场注册，不等于已完成可信数据空间入驻，也不自动获得某项有条件开放资源的授权。</w:t>
      </w:r>
    </w:p>
    <w:p>
      <w:pPr>
        <w:pStyle w:val="Heading3"/>
      </w:pPr>
      <w:bookmarkStart w:id="97" w:name="从目录选哪些场景最适合接入研究"/>
      <w:r>
        <w:t xml:space="preserve">4.3 从目录选哪些场景最适合接入研究</w:t>
      </w:r>
      <w:bookmarkEnd w:id="97"/>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1542"/>
        <w:gridCol w:w="2699"/>
        <w:gridCol w:w="2699"/>
        <w:gridCol w:w="2699"/>
      </w:tblGrid>
      <w:tr>
        <w:trPr>
          <w:cantSplit/>
          <w:tblHeader/>
        </w:trPr>
        <w:tc>
          <w:tcPr>
            <w:tcW w:type="dxa" w:w="1542"/>
            <w:shd w:fill="E8F0F5"/>
          </w:tcPr>
          <w:p>
            <w:pPr>
              <w:pStyle w:val="Compact"/>
              <w:keepNext w:val="0"/>
              <w:spacing w:after="60" w:before="60" w:line="264" w:lineRule="auto"/>
              <w:jc w:val="left"/>
            </w:pPr>
            <w:r>
              <w:rPr>
                <w:sz w:val="18"/>
              </w:rPr>
              <w:t xml:space="preserve">目录序号（Excel 行）</w:t>
            </w:r>
          </w:p>
        </w:tc>
        <w:tc>
          <w:tcPr>
            <w:tcW w:type="dxa" w:w="2699"/>
            <w:shd w:fill="E8F0F5"/>
          </w:tcPr>
          <w:p>
            <w:pPr>
              <w:pStyle w:val="Compact"/>
              <w:keepNext w:val="0"/>
              <w:spacing w:after="60" w:before="60" w:line="264" w:lineRule="auto"/>
              <w:jc w:val="left"/>
            </w:pPr>
            <w:r>
              <w:rPr>
                <w:sz w:val="18"/>
              </w:rPr>
              <w:t xml:space="preserve">资源或资源组</w:t>
            </w:r>
          </w:p>
        </w:tc>
        <w:tc>
          <w:tcPr>
            <w:tcW w:type="dxa" w:w="2699"/>
            <w:shd w:fill="E8F0F5"/>
          </w:tcPr>
          <w:p>
            <w:pPr>
              <w:pStyle w:val="Compact"/>
              <w:keepNext w:val="0"/>
              <w:spacing w:after="60" w:before="60" w:line="264" w:lineRule="auto"/>
              <w:jc w:val="left"/>
            </w:pPr>
            <w:r>
              <w:rPr>
                <w:sz w:val="18"/>
              </w:rPr>
              <w:t xml:space="preserve">接入价值</w:t>
            </w:r>
          </w:p>
        </w:tc>
        <w:tc>
          <w:tcPr>
            <w:tcW w:type="dxa" w:w="2699"/>
            <w:shd w:fill="E8F0F5"/>
          </w:tcPr>
          <w:p>
            <w:pPr>
              <w:pStyle w:val="Compact"/>
              <w:keepNext w:val="0"/>
              <w:spacing w:after="60" w:before="60" w:line="264" w:lineRule="auto"/>
              <w:jc w:val="left"/>
            </w:pPr>
            <w:r>
              <w:rPr>
                <w:sz w:val="18"/>
              </w:rPr>
              <w:t xml:space="preserve">首要核对点</w:t>
            </w:r>
          </w:p>
        </w:tc>
      </w:tr>
      <w:tr>
        <w:trPr>
          <w:cantSplit/>
        </w:trPr>
        <w:tc>
          <w:tcPr>
            <w:tcW w:type="dxa" w:w="1542"/>
          </w:tcPr>
          <w:p>
            <w:pPr>
              <w:pStyle w:val="Compact"/>
              <w:keepNext w:val="0"/>
              <w:spacing w:after="60" w:before="60" w:line="264" w:lineRule="auto"/>
              <w:jc w:val="left"/>
            </w:pPr>
            <w:r>
              <w:rPr>
                <w:sz w:val="18"/>
              </w:rPr>
              <w:t xml:space="preserve">532—538（535—541）</w:t>
            </w:r>
          </w:p>
        </w:tc>
        <w:tc>
          <w:tcPr>
            <w:tcW w:type="dxa" w:w="2699"/>
          </w:tcPr>
          <w:p>
            <w:pPr>
              <w:pStyle w:val="Compact"/>
              <w:keepNext w:val="0"/>
              <w:spacing w:after="60" w:before="60" w:line="264" w:lineRule="auto"/>
              <w:jc w:val="left"/>
            </w:pPr>
            <w:r>
              <w:rPr>
                <w:sz w:val="18"/>
              </w:rPr>
              <w:t xml:space="preserve">负荷、发电、新能源、水电等预测</w:t>
            </w:r>
          </w:p>
        </w:tc>
        <w:tc>
          <w:tcPr>
            <w:tcW w:type="dxa" w:w="2699"/>
          </w:tcPr>
          <w:p>
            <w:pPr>
              <w:pStyle w:val="Compact"/>
              <w:keepNext w:val="0"/>
              <w:spacing w:after="60" w:before="60" w:line="264" w:lineRule="auto"/>
              <w:jc w:val="left"/>
            </w:pPr>
            <w:r>
              <w:rPr>
                <w:sz w:val="18"/>
              </w:rPr>
              <w:t xml:space="preserve">构造按披露时点区分的候选背景</w:t>
            </w:r>
          </w:p>
        </w:tc>
        <w:tc>
          <w:tcPr>
            <w:tcW w:type="dxa" w:w="2699"/>
          </w:tcPr>
          <w:p>
            <w:pPr>
              <w:pStyle w:val="Compact"/>
              <w:keepNext w:val="0"/>
              <w:spacing w:after="60" w:before="60" w:line="264" w:lineRule="auto"/>
              <w:jc w:val="left"/>
            </w:pPr>
            <w:r>
              <w:rPr>
                <w:sz w:val="18"/>
              </w:rPr>
              <w:t xml:space="preserve">按日更新不等于每个时刻均已对该主体可得</w:t>
            </w:r>
          </w:p>
        </w:tc>
      </w:tr>
      <w:tr>
        <w:trPr>
          <w:cantSplit/>
        </w:trPr>
        <w:tc>
          <w:tcPr>
            <w:tcW w:type="dxa" w:w="1542"/>
          </w:tcPr>
          <w:p>
            <w:pPr>
              <w:pStyle w:val="Compact"/>
              <w:keepNext w:val="0"/>
              <w:spacing w:after="60" w:before="60" w:line="264" w:lineRule="auto"/>
              <w:jc w:val="left"/>
            </w:pPr>
            <w:r>
              <w:rPr>
                <w:sz w:val="18"/>
              </w:rPr>
              <w:t xml:space="preserve">539—543（542—546）</w:t>
            </w:r>
          </w:p>
        </w:tc>
        <w:tc>
          <w:tcPr>
            <w:tcW w:type="dxa" w:w="2699"/>
          </w:tcPr>
          <w:p>
            <w:pPr>
              <w:pStyle w:val="Compact"/>
              <w:keepNext w:val="0"/>
              <w:spacing w:after="60" w:before="60" w:line="264" w:lineRule="auto"/>
              <w:jc w:val="left"/>
            </w:pPr>
            <w:r>
              <w:rPr>
                <w:sz w:val="18"/>
              </w:rPr>
              <w:t xml:space="preserve">发电总出力、新能源/水电总出力、区域实际负荷</w:t>
            </w:r>
          </w:p>
        </w:tc>
        <w:tc>
          <w:tcPr>
            <w:tcW w:type="dxa" w:w="2699"/>
          </w:tcPr>
          <w:p>
            <w:pPr>
              <w:pStyle w:val="Compact"/>
              <w:keepNext w:val="0"/>
              <w:spacing w:after="60" w:before="60" w:line="264" w:lineRule="auto"/>
              <w:jc w:val="left"/>
            </w:pPr>
            <w:r>
              <w:rPr>
                <w:sz w:val="18"/>
              </w:rPr>
              <w:t xml:space="preserve">与预测类组成时间敏感的复评场景</w:t>
            </w:r>
          </w:p>
        </w:tc>
        <w:tc>
          <w:tcPr>
            <w:tcW w:type="dxa" w:w="2699"/>
          </w:tcPr>
          <w:p>
            <w:pPr>
              <w:pStyle w:val="Compact"/>
              <w:keepNext w:val="0"/>
              <w:spacing w:after="60" w:before="60" w:line="264" w:lineRule="auto"/>
              <w:jc w:val="left"/>
            </w:pPr>
            <w:r>
              <w:rPr>
                <w:sz w:val="18"/>
              </w:rPr>
              <w:t xml:space="preserve">实际发布时刻、时间粒度和接收方权限</w:t>
            </w:r>
          </w:p>
        </w:tc>
      </w:tr>
      <w:tr>
        <w:trPr>
          <w:cantSplit/>
        </w:trPr>
        <w:tc>
          <w:tcPr>
            <w:tcW w:type="dxa" w:w="1542"/>
          </w:tcPr>
          <w:p>
            <w:pPr>
              <w:pStyle w:val="Compact"/>
              <w:keepNext w:val="0"/>
              <w:spacing w:after="60" w:before="60" w:line="264" w:lineRule="auto"/>
              <w:jc w:val="left"/>
            </w:pPr>
            <w:r>
              <w:rPr>
                <w:sz w:val="18"/>
              </w:rPr>
              <w:t xml:space="preserve">550（553）</w:t>
            </w:r>
          </w:p>
        </w:tc>
        <w:tc>
          <w:tcPr>
            <w:tcW w:type="dxa" w:w="2699"/>
          </w:tcPr>
          <w:p>
            <w:pPr>
              <w:pStyle w:val="Compact"/>
              <w:keepNext w:val="0"/>
              <w:spacing w:after="60" w:before="60" w:line="264" w:lineRule="auto"/>
              <w:jc w:val="left"/>
            </w:pPr>
            <w:r>
              <w:rPr>
                <w:sz w:val="18"/>
              </w:rPr>
              <w:t xml:space="preserve">火电机组运行监测信息</w:t>
            </w:r>
          </w:p>
        </w:tc>
        <w:tc>
          <w:tcPr>
            <w:tcW w:type="dxa" w:w="2699"/>
          </w:tcPr>
          <w:p>
            <w:pPr>
              <w:pStyle w:val="Compact"/>
              <w:keepNext w:val="0"/>
              <w:spacing w:after="60" w:before="60" w:line="264" w:lineRule="auto"/>
              <w:jc w:val="left"/>
            </w:pPr>
            <w:r>
              <w:rPr>
                <w:sz w:val="18"/>
              </w:rPr>
              <w:t xml:space="preserve">研究处理后产品是否暴露超出授权的细节</w:t>
            </w:r>
          </w:p>
        </w:tc>
        <w:tc>
          <w:tcPr>
            <w:tcW w:type="dxa" w:w="2699"/>
          </w:tcPr>
          <w:p>
            <w:pPr>
              <w:pStyle w:val="Compact"/>
              <w:keepNext w:val="0"/>
              <w:spacing w:after="60" w:before="60" w:line="264" w:lineRule="auto"/>
              <w:jc w:val="left"/>
            </w:pPr>
            <w:r>
              <w:rPr>
                <w:sz w:val="18"/>
              </w:rPr>
              <w:t xml:space="preserve">与市场细则中单机信息范围的匹配</w:t>
            </w:r>
          </w:p>
        </w:tc>
      </w:tr>
      <w:tr>
        <w:trPr>
          <w:cantSplit/>
        </w:trPr>
        <w:tc>
          <w:tcPr>
            <w:tcW w:type="dxa" w:w="1542"/>
          </w:tcPr>
          <w:p>
            <w:pPr>
              <w:pStyle w:val="Compact"/>
              <w:keepNext w:val="0"/>
              <w:spacing w:after="60" w:before="60" w:line="264" w:lineRule="auto"/>
              <w:jc w:val="left"/>
            </w:pPr>
            <w:r>
              <w:rPr>
                <w:sz w:val="18"/>
              </w:rPr>
              <w:t xml:space="preserve">476（479）</w:t>
            </w:r>
          </w:p>
        </w:tc>
        <w:tc>
          <w:tcPr>
            <w:tcW w:type="dxa" w:w="2699"/>
          </w:tcPr>
          <w:p>
            <w:pPr>
              <w:pStyle w:val="Compact"/>
              <w:keepNext w:val="0"/>
              <w:spacing w:after="60" w:before="60" w:line="264" w:lineRule="auto"/>
              <w:jc w:val="left"/>
            </w:pPr>
            <w:r>
              <w:rPr>
                <w:sz w:val="18"/>
              </w:rPr>
              <w:t xml:space="preserve">行业企业用电信息</w:t>
            </w:r>
          </w:p>
        </w:tc>
        <w:tc>
          <w:tcPr>
            <w:tcW w:type="dxa" w:w="2699"/>
          </w:tcPr>
          <w:p>
            <w:pPr>
              <w:pStyle w:val="Compact"/>
              <w:keepNext w:val="0"/>
              <w:spacing w:after="60" w:before="60" w:line="264" w:lineRule="auto"/>
              <w:jc w:val="left"/>
            </w:pPr>
            <w:r>
              <w:rPr>
                <w:sz w:val="18"/>
              </w:rPr>
              <w:t xml:space="preserve">企业权益、统计/融合产品和背景信息联合审计</w:t>
            </w:r>
          </w:p>
        </w:tc>
        <w:tc>
          <w:tcPr>
            <w:tcW w:type="dxa" w:w="2699"/>
          </w:tcPr>
          <w:p>
            <w:pPr>
              <w:pStyle w:val="Compact"/>
              <w:keepNext w:val="0"/>
              <w:spacing w:after="60" w:before="60" w:line="264" w:lineRule="auto"/>
              <w:jc w:val="left"/>
            </w:pPr>
            <w:r>
              <w:rPr>
                <w:sz w:val="18"/>
              </w:rPr>
              <w:t xml:space="preserve">不是只看</w:t>
            </w:r>
            <w:r>
              <w:rPr>
                <w:sz w:val="18"/>
              </w:rPr>
              <w:t xml:space="preserve">“</w:t>
            </w:r>
            <w:r>
              <w:rPr>
                <w:sz w:val="18"/>
              </w:rPr>
              <w:t xml:space="preserve">统计</w:t>
            </w:r>
            <w:r>
              <w:rPr>
                <w:sz w:val="18"/>
              </w:rPr>
              <w:t xml:space="preserve">”</w:t>
            </w:r>
            <w:r>
              <w:rPr>
                <w:sz w:val="18"/>
              </w:rPr>
              <w:t xml:space="preserve">名称，要检查企业可识别程度</w:t>
            </w:r>
          </w:p>
        </w:tc>
      </w:tr>
      <w:tr>
        <w:trPr>
          <w:cantSplit/>
        </w:trPr>
        <w:tc>
          <w:tcPr>
            <w:tcW w:type="dxa" w:w="1542"/>
          </w:tcPr>
          <w:p>
            <w:pPr>
              <w:pStyle w:val="Compact"/>
              <w:keepNext w:val="0"/>
              <w:spacing w:after="60" w:before="60" w:line="264" w:lineRule="auto"/>
              <w:jc w:val="left"/>
            </w:pPr>
            <w:r>
              <w:rPr>
                <w:sz w:val="18"/>
              </w:rPr>
              <w:t xml:space="preserve">471（474）</w:t>
            </w:r>
          </w:p>
        </w:tc>
        <w:tc>
          <w:tcPr>
            <w:tcW w:type="dxa" w:w="2699"/>
          </w:tcPr>
          <w:p>
            <w:pPr>
              <w:pStyle w:val="Compact"/>
              <w:keepNext w:val="0"/>
              <w:spacing w:after="60" w:before="60" w:line="264" w:lineRule="auto"/>
              <w:jc w:val="left"/>
            </w:pPr>
            <w:r>
              <w:rPr>
                <w:sz w:val="18"/>
              </w:rPr>
              <w:t xml:space="preserve">居民小区楼栋用电波动信息</w:t>
            </w:r>
          </w:p>
        </w:tc>
        <w:tc>
          <w:tcPr>
            <w:tcW w:type="dxa" w:w="2699"/>
          </w:tcPr>
          <w:p>
            <w:pPr>
              <w:pStyle w:val="Compact"/>
              <w:keepNext w:val="0"/>
              <w:spacing w:after="60" w:before="60" w:line="264" w:lineRule="auto"/>
              <w:jc w:val="left"/>
            </w:pPr>
            <w:r>
              <w:rPr>
                <w:sz w:val="18"/>
              </w:rPr>
              <w:t xml:space="preserve">聚合后隐私风险、规模及时间粒度变化</w:t>
            </w:r>
          </w:p>
        </w:tc>
        <w:tc>
          <w:tcPr>
            <w:tcW w:type="dxa" w:w="2699"/>
          </w:tcPr>
          <w:p>
            <w:pPr>
              <w:pStyle w:val="Compact"/>
              <w:keepNext w:val="0"/>
              <w:spacing w:after="60" w:before="60" w:line="264" w:lineRule="auto"/>
              <w:jc w:val="left"/>
            </w:pPr>
            <w:r>
              <w:rPr>
                <w:sz w:val="18"/>
              </w:rPr>
              <w:t xml:space="preserve">小群体可识别性；不能直接套回归</w:t>
            </w:r>
            <w:r>
              <w:rPr>
                <w:sz w:val="18"/>
              </w:rPr>
              <w:t xml:space="preserve"> </w:t>
            </w:r>
            <m:oMath>
              <m:sSup>
                <m:e>
                  <m:r>
                    <m:t>R</m:t>
                  </m:r>
                </m:e>
                <m:sup>
                  <m:r>
                    <m:t>2</m:t>
                  </m:r>
                </m:sup>
              </m:sSup>
            </m:oMath>
            <w:r>
              <w:rPr>
                <w:sz w:val="18"/>
              </w:rPr>
              <w:t xml:space="preserve"> </w:t>
            </w:r>
            <w:r>
              <w:rPr>
                <w:sz w:val="18"/>
              </w:rPr>
              <w:t xml:space="preserve">判断个人隐私</w:t>
            </w:r>
          </w:p>
        </w:tc>
      </w:tr>
      <w:tr>
        <w:trPr>
          <w:cantSplit/>
        </w:trPr>
        <w:tc>
          <w:tcPr>
            <w:tcW w:type="dxa" w:w="1542"/>
          </w:tcPr>
          <w:p>
            <w:pPr>
              <w:pStyle w:val="Compact"/>
              <w:keepNext w:val="0"/>
              <w:spacing w:after="60" w:before="60" w:line="264" w:lineRule="auto"/>
              <w:jc w:val="left"/>
            </w:pPr>
            <w:r>
              <w:rPr>
                <w:sz w:val="18"/>
              </w:rPr>
              <w:t xml:space="preserve">286（289）</w:t>
            </w:r>
          </w:p>
        </w:tc>
        <w:tc>
          <w:tcPr>
            <w:tcW w:type="dxa" w:w="2699"/>
          </w:tcPr>
          <w:p>
            <w:pPr>
              <w:pStyle w:val="Compact"/>
              <w:keepNext w:val="0"/>
              <w:spacing w:after="60" w:before="60" w:line="264" w:lineRule="auto"/>
              <w:jc w:val="left"/>
            </w:pPr>
            <w:r>
              <w:rPr>
                <w:sz w:val="18"/>
              </w:rPr>
              <w:t xml:space="preserve">线路负载率统计信息</w:t>
            </w:r>
          </w:p>
        </w:tc>
        <w:tc>
          <w:tcPr>
            <w:tcW w:type="dxa" w:w="2699"/>
          </w:tcPr>
          <w:p>
            <w:pPr>
              <w:pStyle w:val="Compact"/>
              <w:keepNext w:val="0"/>
              <w:spacing w:after="60" w:before="60" w:line="264" w:lineRule="auto"/>
              <w:jc w:val="left"/>
            </w:pPr>
            <w:r>
              <w:rPr>
                <w:sz w:val="18"/>
              </w:rPr>
              <w:t xml:space="preserve">无条件开放项也需要核对具体版本与字段精度</w:t>
            </w:r>
          </w:p>
        </w:tc>
        <w:tc>
          <w:tcPr>
            <w:tcW w:type="dxa" w:w="2699"/>
          </w:tcPr>
          <w:p>
            <w:pPr>
              <w:pStyle w:val="Compact"/>
              <w:keepNext w:val="0"/>
              <w:spacing w:after="60" w:before="60" w:line="264" w:lineRule="auto"/>
              <w:jc w:val="left"/>
            </w:pPr>
            <w:r>
              <w:rPr>
                <w:sz w:val="18"/>
              </w:rPr>
              <w:t xml:space="preserve">目录写法不能替代对明细、范围及组合影响的审查</w:t>
            </w:r>
          </w:p>
        </w:tc>
      </w:tr>
    </w:tbl>
    <w:p>
      <w:pPr>
        <w:pStyle w:val="BodyText"/>
      </w:pPr>
      <w:r>
        <w:t xml:space="preserve">这是试点选题依据，不是已经发现上述南网资源存在泄露的结论。</w:t>
      </w:r>
    </w:p>
    <w:p>
      <w:pPr>
        <w:pStyle w:val="Heading3"/>
      </w:pPr>
      <w:bookmarkStart w:id="98" w:name="通知处理单和反馈表各有什么作用"/>
      <w:r>
        <w:t xml:space="preserve">4.4 通知、处理单和反馈表各有什么作用</w:t>
      </w:r>
      <w:bookmarkEnd w:id="98"/>
    </w:p>
    <w:p>
      <w:pPr>
        <w:pStyle w:val="FirstParagraph"/>
      </w:pPr>
      <w:r>
        <w:t xml:space="preserve">S05 说明目录仍在征求意见，要求业务部门、法规部门及所属单位分别提出建议；S04 证明这份材料被收文流转，不能代替定稿批准；S08 可用来提交目录、条件、术语或版本冲突的具体修改意见。三者主要进入</w:t>
      </w:r>
      <w:r>
        <w:t xml:space="preserve">“</w:t>
      </w:r>
      <w:r>
        <w:t xml:space="preserve">规则来源与审批状态管理</w:t>
      </w:r>
      <w:r>
        <w:t xml:space="preserve">”</w:t>
      </w:r>
      <w:r>
        <w:t xml:space="preserve">，不应作为模型训练的等级真值。</w:t>
      </w:r>
    </w:p>
    <w:p>
      <w:pPr>
        <w:pStyle w:val="Heading2"/>
      </w:pPr>
      <w:bookmarkStart w:id="99" w:name="信息披露细则定义场景中的可见性"/>
      <w:r>
        <w:t xml:space="preserve">5. 信息披露细则：定义场景中的可见性</w:t>
      </w:r>
      <w:bookmarkEnd w:id="99"/>
    </w:p>
    <w:p>
      <w:pPr>
        <w:pStyle w:val="Heading3"/>
      </w:pPr>
      <w:bookmarkStart w:id="100" w:name="三类信息是接收范围"/>
      <w:r>
        <w:t xml:space="preserve">5.1 三类信息是接收范围</w:t>
      </w:r>
      <w:bookmarkEnd w:id="100"/>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类别</w:t>
            </w:r>
          </w:p>
        </w:tc>
        <w:tc>
          <w:tcPr>
            <w:tcW w:type="dxa" w:w="4048"/>
            <w:shd w:fill="E8F0F5"/>
          </w:tcPr>
          <w:p>
            <w:pPr>
              <w:pStyle w:val="Compact"/>
              <w:keepNext w:val="0"/>
              <w:spacing w:after="60" w:before="60" w:line="264" w:lineRule="auto"/>
              <w:jc w:val="left"/>
            </w:pPr>
            <w:r>
              <w:rPr>
                <w:sz w:val="18"/>
              </w:rPr>
              <w:t xml:space="preserve">所给细则的定义</w:t>
            </w:r>
          </w:p>
        </w:tc>
        <w:tc>
          <w:tcPr>
            <w:tcW w:type="dxa" w:w="3470"/>
            <w:shd w:fill="E8F0F5"/>
          </w:tcPr>
          <w:p>
            <w:pPr>
              <w:pStyle w:val="Compact"/>
              <w:keepNext w:val="0"/>
              <w:spacing w:after="60" w:before="60" w:line="264" w:lineRule="auto"/>
              <w:jc w:val="left"/>
            </w:pPr>
            <w:r>
              <w:rPr>
                <w:sz w:val="18"/>
              </w:rPr>
              <w:t xml:space="preserve">建模含义</w:t>
            </w:r>
          </w:p>
        </w:tc>
      </w:tr>
      <w:tr>
        <w:trPr>
          <w:cantSplit/>
        </w:trPr>
        <w:tc>
          <w:tcPr>
            <w:tcW w:type="dxa" w:w="2120"/>
          </w:tcPr>
          <w:p>
            <w:pPr>
              <w:pStyle w:val="Compact"/>
              <w:keepNext w:val="0"/>
              <w:spacing w:after="60" w:before="60" w:line="264" w:lineRule="auto"/>
              <w:jc w:val="left"/>
            </w:pPr>
            <w:r>
              <w:rPr>
                <w:sz w:val="18"/>
              </w:rPr>
              <w:t xml:space="preserve">公众信息</w:t>
            </w:r>
          </w:p>
        </w:tc>
        <w:tc>
          <w:tcPr>
            <w:tcW w:type="dxa" w:w="4048"/>
          </w:tcPr>
          <w:p>
            <w:pPr>
              <w:pStyle w:val="Compact"/>
              <w:keepNext w:val="0"/>
              <w:spacing w:after="60" w:before="60" w:line="264" w:lineRule="auto"/>
              <w:jc w:val="left"/>
            </w:pPr>
            <w:r>
              <w:rPr>
                <w:sz w:val="18"/>
              </w:rPr>
              <w:t xml:space="preserve">向社会公众披露</w:t>
            </w:r>
          </w:p>
        </w:tc>
        <w:tc>
          <w:tcPr>
            <w:tcW w:type="dxa" w:w="3470"/>
          </w:tcPr>
          <w:p>
            <w:pPr>
              <w:pStyle w:val="Compact"/>
              <w:keepNext w:val="0"/>
              <w:spacing w:after="60" w:before="60" w:line="264" w:lineRule="auto"/>
              <w:jc w:val="left"/>
            </w:pPr>
            <w:r>
              <w:rPr>
                <w:sz w:val="18"/>
              </w:rPr>
              <w:t xml:space="preserve">在满足时点和实际获取条件后，可进入公众场景背景</w:t>
            </w:r>
          </w:p>
        </w:tc>
      </w:tr>
      <w:tr>
        <w:trPr>
          <w:cantSplit/>
        </w:trPr>
        <w:tc>
          <w:tcPr>
            <w:tcW w:type="dxa" w:w="2120"/>
          </w:tcPr>
          <w:p>
            <w:pPr>
              <w:pStyle w:val="Compact"/>
              <w:keepNext w:val="0"/>
              <w:spacing w:after="60" w:before="60" w:line="264" w:lineRule="auto"/>
              <w:jc w:val="left"/>
            </w:pPr>
            <w:r>
              <w:rPr>
                <w:sz w:val="18"/>
              </w:rPr>
              <w:t xml:space="preserve">公开信息</w:t>
            </w:r>
          </w:p>
        </w:tc>
        <w:tc>
          <w:tcPr>
            <w:tcW w:type="dxa" w:w="4048"/>
          </w:tcPr>
          <w:p>
            <w:pPr>
              <w:pStyle w:val="Compact"/>
              <w:keepNext w:val="0"/>
              <w:spacing w:after="60" w:before="60" w:line="264" w:lineRule="auto"/>
              <w:jc w:val="left"/>
            </w:pPr>
            <w:r>
              <w:rPr>
                <w:sz w:val="18"/>
              </w:rPr>
              <w:t xml:space="preserve">向有关市场成员披露</w:t>
            </w:r>
          </w:p>
        </w:tc>
        <w:tc>
          <w:tcPr>
            <w:tcW w:type="dxa" w:w="3470"/>
          </w:tcPr>
          <w:p>
            <w:pPr>
              <w:pStyle w:val="Compact"/>
              <w:keepNext w:val="0"/>
              <w:spacing w:after="60" w:before="60" w:line="264" w:lineRule="auto"/>
              <w:jc w:val="left"/>
            </w:pPr>
            <w:r>
              <w:rPr>
                <w:sz w:val="18"/>
              </w:rPr>
              <w:t xml:space="preserve">只能进入具有相应资格和权限的成员场景</w:t>
            </w:r>
          </w:p>
        </w:tc>
      </w:tr>
      <w:tr>
        <w:trPr>
          <w:cantSplit/>
        </w:trPr>
        <w:tc>
          <w:tcPr>
            <w:tcW w:type="dxa" w:w="2120"/>
          </w:tcPr>
          <w:p>
            <w:pPr>
              <w:pStyle w:val="Compact"/>
              <w:keepNext w:val="0"/>
              <w:spacing w:after="60" w:before="60" w:line="264" w:lineRule="auto"/>
              <w:jc w:val="left"/>
            </w:pPr>
            <w:r>
              <w:rPr>
                <w:sz w:val="18"/>
              </w:rPr>
              <w:t xml:space="preserve">特定信息</w:t>
            </w:r>
          </w:p>
        </w:tc>
        <w:tc>
          <w:tcPr>
            <w:tcW w:type="dxa" w:w="4048"/>
          </w:tcPr>
          <w:p>
            <w:pPr>
              <w:pStyle w:val="Compact"/>
              <w:keepNext w:val="0"/>
              <w:spacing w:after="60" w:before="60" w:line="264" w:lineRule="auto"/>
              <w:jc w:val="left"/>
            </w:pPr>
            <w:r>
              <w:rPr>
                <w:sz w:val="18"/>
              </w:rPr>
              <w:t xml:space="preserve">向特定市场成员披露</w:t>
            </w:r>
          </w:p>
        </w:tc>
        <w:tc>
          <w:tcPr>
            <w:tcW w:type="dxa" w:w="3470"/>
          </w:tcPr>
          <w:p>
            <w:pPr>
              <w:pStyle w:val="Compact"/>
              <w:keepNext w:val="0"/>
              <w:spacing w:after="60" w:before="60" w:line="264" w:lineRule="auto"/>
              <w:jc w:val="left"/>
            </w:pPr>
            <w:r>
              <w:rPr>
                <w:sz w:val="18"/>
              </w:rPr>
              <w:t xml:space="preserve">对未获授权对象仍应视为受保护信息</w:t>
            </w:r>
          </w:p>
        </w:tc>
      </w:tr>
    </w:tbl>
    <w:p>
      <w:pPr>
        <w:pStyle w:val="BodyText"/>
      </w:pPr>
      <w:r>
        <w:t xml:space="preserve">以上依据 S10 第 5.1 条。不能把</w:t>
      </w:r>
      <w:r>
        <w:t xml:space="preserve">“</w:t>
      </w:r>
      <w:r>
        <w:t xml:space="preserve">公开信息</w:t>
      </w:r>
      <w:r>
        <w:t xml:space="preserve">”</w:t>
      </w:r>
      <w:r>
        <w:t xml:space="preserve">一概置入社会公众的背景集合，也不能把</w:t>
      </w:r>
      <w:r>
        <w:t xml:space="preserve">“</w:t>
      </w:r>
      <w:r>
        <w:t xml:space="preserve">特定信息</w:t>
      </w:r>
      <w:r>
        <w:t xml:space="preserve">”</w:t>
      </w:r>
      <w:r>
        <w:t xml:space="preserve">直接映射为南网某一安全等级。</w:t>
      </w:r>
    </w:p>
    <w:p>
      <w:pPr>
        <w:pStyle w:val="Heading3"/>
      </w:pPr>
      <w:bookmarkStart w:id="101" w:name="时点和粒度共同决定可见性"/>
      <w:r>
        <w:t xml:space="preserve">5.2 时点和粒度共同决定可见性</w:t>
      </w:r>
      <w:bookmarkEnd w:id="101"/>
    </w:p>
    <w:p>
      <w:pPr>
        <w:pStyle w:val="FirstParagraph"/>
      </w:pPr>
      <w:r>
        <w:t xml:space="preserve">S10 第 2.7 条区分预测类、出清类、运行类信息的披露时点；附表进一步细化周期、颗粒度、主体和方式。因此同名字段在交易前、交易日、运行后，对不同成员可能具有不同状态。S06 的</w:t>
      </w:r>
      <w:r>
        <w:t xml:space="preserve">“</w:t>
      </w:r>
      <w:r>
        <w:t xml:space="preserve">更新频率</w:t>
      </w:r>
      <w:r>
        <w:t xml:space="preserve">”</w:t>
      </w:r>
      <w:r>
        <w:t xml:space="preserve">只能说明更新周期，不能替代披露时刻。[S10，2.5—2.7、附表]</w:t>
      </w:r>
    </w:p>
    <w:p>
      <w:pPr>
        <w:pStyle w:val="BodyText"/>
      </w:pPr>
      <w:r>
        <w:t xml:space="preserve">第 5.2.3 条将单机实际出力等列入特定信息；第 5.7.2 条及附表列出市场运营机构披露的运行信息。具体审计应核对总量/单机、预测/实际、当前/历史这三组区别，避免把目标的直接副本错误地当作待研究的隐含推断渠道。</w:t>
      </w:r>
    </w:p>
    <w:p>
      <w:pPr>
        <w:pStyle w:val="Heading3"/>
      </w:pPr>
      <w:bookmarkStart w:id="102" w:name="不能由模型自行改变披露义务"/>
      <w:r>
        <w:t xml:space="preserve">5.3 不能由模型自行改变披露义务</w:t>
      </w:r>
      <w:bookmarkEnd w:id="102"/>
    </w:p>
    <w:p>
      <w:pPr>
        <w:pStyle w:val="FirstParagraph"/>
      </w:pPr>
      <w:r>
        <w:t xml:space="preserve">第 6 章规定新增或变更披露内容、范围、周期需要申请和审核。对于规则要求披露的数据，如果模型发现额外风险，应形成风险说明、提出允许范围内的保护方案或启动正式调整程序；不能让模型直接关闭依法依规应提供的信息。[S10，6.1—6.4]</w:t>
      </w:r>
    </w:p>
    <w:p>
      <w:pPr>
        <w:pStyle w:val="BodyText"/>
      </w:pPr>
      <w:r>
        <w:t xml:space="preserve">第 7 章规定承诺、保密、记录与封存，封存期限为五年，特殊情况除外；第 2.5 条要求披露信息保留或可查不少于两年。两类期限服务不同对象，不能混用。[S10，2.5、7.1—7.5]</w:t>
      </w:r>
    </w:p>
    <w:p>
      <w:pPr>
        <w:pStyle w:val="Heading2"/>
      </w:pPr>
      <w:bookmarkStart w:id="103" w:name="注册细则为主体和权限变化提供基础信息"/>
      <w:r>
        <w:t xml:space="preserve">6. 注册细则：为主体和权限变化提供基础信息</w:t>
      </w:r>
      <w:bookmarkEnd w:id="103"/>
    </w:p>
    <w:p>
      <w:pPr>
        <w:pStyle w:val="FirstParagraph"/>
      </w:pPr>
      <w:r>
        <w:t xml:space="preserve">S09 面向发电企业、售电公司、电力用户及新型经营主体，覆盖注册、共享、信息变更、市场范围变更和注销。第 5.3 条的首注负责和信息共享机制，第 5.21 条的交易、结算、调度等名称映射，能够支持我们的主体识别和跨系统身份关联。</w:t>
      </w:r>
    </w:p>
    <w:p>
      <w:pPr>
        <w:pStyle w:val="BodyText"/>
      </w:pPr>
      <w:r>
        <w:t xml:space="preserve">第 5.22 条对参与批发交易的主体身份认证提出要求。第 6—8 章的主体信息、市场范围、注销变化可以成为重新校验访问权限与评估场景的触发事件；注销后的历史保留也不能等同于继续拥有当前访问权限。[S09，5.3、5.20—5.23、第 6—8 章]</w:t>
      </w:r>
    </w:p>
    <w:p>
      <w:pPr>
        <w:pStyle w:val="BodyText"/>
      </w:pPr>
      <w:r>
        <w:t xml:space="preserve">该细则不提供数据内容的五级定级算法。它回答</w:t>
      </w:r>
      <w:r>
        <w:t xml:space="preserve">“</w:t>
      </w:r>
      <w:r>
        <w:t xml:space="preserve">主体是谁、具备什么市场身份和范围</w:t>
      </w:r>
      <w:r>
        <w:t xml:space="preserve">”</w:t>
      </w:r>
      <w:r>
        <w:t xml:space="preserve">，应与数据授权、使用协议和披露条目共同使用。</w:t>
      </w:r>
    </w:p>
    <w:p>
      <w:pPr>
        <w:pStyle w:val="Heading2"/>
      </w:pPr>
      <w:bookmarkStart w:id="104" w:name="规则入库前必须处理的具体差异"/>
      <w:r>
        <w:t xml:space="preserve">7. 规则入库前必须处理的具体差异</w:t>
      </w:r>
      <w:bookmarkEnd w:id="104"/>
    </w:p>
    <w:p>
      <w:pPr>
        <w:pStyle w:val="FirstParagraph"/>
      </w:pPr>
      <w:r>
        <w:t xml:space="preserve">本次对公开的国家能源局正式文件进行了定点核对，没有把南网内部材料上传到外部服务。核对发现：2026 年正式《能源行业数据分类分级指南》已于 7 月 1 日施行；其中用户规模、部分设施门槛与 S02 示例存在差异。外部依据见 W01—W03。</w:t>
      </w:r>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差异</w:t>
            </w:r>
          </w:p>
        </w:tc>
        <w:tc>
          <w:tcPr>
            <w:tcW w:type="dxa" w:w="4048"/>
            <w:shd w:fill="E8F0F5"/>
          </w:tcPr>
          <w:p>
            <w:pPr>
              <w:pStyle w:val="Compact"/>
              <w:keepNext w:val="0"/>
              <w:spacing w:after="60" w:before="60" w:line="264" w:lineRule="auto"/>
              <w:jc w:val="left"/>
            </w:pPr>
            <w:r>
              <w:rPr>
                <w:sz w:val="18"/>
              </w:rPr>
              <w:t xml:space="preserve">材料证据</w:t>
            </w:r>
          </w:p>
        </w:tc>
        <w:tc>
          <w:tcPr>
            <w:tcW w:type="dxa" w:w="3470"/>
            <w:shd w:fill="E8F0F5"/>
          </w:tcPr>
          <w:p>
            <w:pPr>
              <w:pStyle w:val="Compact"/>
              <w:keepNext w:val="0"/>
              <w:spacing w:after="60" w:before="60" w:line="264" w:lineRule="auto"/>
              <w:jc w:val="left"/>
            </w:pPr>
            <w:r>
              <w:rPr>
                <w:sz w:val="18"/>
              </w:rPr>
              <w:t xml:space="preserve">入库处理</w:t>
            </w:r>
          </w:p>
        </w:tc>
      </w:tr>
      <w:tr>
        <w:trPr>
          <w:cantSplit/>
        </w:trPr>
        <w:tc>
          <w:tcPr>
            <w:tcW w:type="dxa" w:w="2120"/>
          </w:tcPr>
          <w:p>
            <w:pPr>
              <w:pStyle w:val="Compact"/>
              <w:keepNext w:val="0"/>
              <w:spacing w:after="60" w:before="60" w:line="264" w:lineRule="auto"/>
              <w:jc w:val="left"/>
            </w:pPr>
            <w:r>
              <w:rPr>
                <w:sz w:val="18"/>
              </w:rPr>
              <w:t xml:space="preserve">重要消费数据规模示例不同</w:t>
            </w:r>
          </w:p>
        </w:tc>
        <w:tc>
          <w:tcPr>
            <w:tcW w:type="dxa" w:w="4048"/>
          </w:tcPr>
          <w:p>
            <w:pPr>
              <w:pStyle w:val="Compact"/>
              <w:keepNext w:val="0"/>
              <w:spacing w:after="60" w:before="60" w:line="264" w:lineRule="auto"/>
              <w:jc w:val="left"/>
            </w:pPr>
            <w:r>
              <w:rPr>
                <w:sz w:val="18"/>
              </w:rPr>
              <w:t xml:space="preserve">S02 表 4.1 写关联 100 万人以上公民个人信息的能源消费原始数据；正式指南第 10 条写 1,000 万个及以上电力用户的电力消费原始数据，统计主体也不同</w:t>
            </w:r>
          </w:p>
        </w:tc>
        <w:tc>
          <w:tcPr>
            <w:tcW w:type="dxa" w:w="3470"/>
          </w:tcPr>
          <w:p>
            <w:pPr>
              <w:pStyle w:val="Compact"/>
              <w:keepNext w:val="0"/>
              <w:spacing w:after="60" w:before="60" w:line="264" w:lineRule="auto"/>
              <w:jc w:val="left"/>
            </w:pPr>
            <w:r>
              <w:rPr>
                <w:sz w:val="18"/>
              </w:rPr>
              <w:t xml:space="preserve">不做数字替换了事；区分企业加严要求、行业识别标准及计量对象，交责任部门核实</w:t>
            </w:r>
          </w:p>
        </w:tc>
      </w:tr>
      <w:tr>
        <w:trPr>
          <w:cantSplit/>
        </w:trPr>
        <w:tc>
          <w:tcPr>
            <w:tcW w:type="dxa" w:w="2120"/>
          </w:tcPr>
          <w:p>
            <w:pPr>
              <w:pStyle w:val="Compact"/>
              <w:keepNext w:val="0"/>
              <w:spacing w:after="60" w:before="60" w:line="264" w:lineRule="auto"/>
              <w:jc w:val="left"/>
            </w:pPr>
            <w:r>
              <w:rPr>
                <w:sz w:val="18"/>
              </w:rPr>
              <w:t xml:space="preserve">部分设施门槛及数据类型不同</w:t>
            </w:r>
          </w:p>
        </w:tc>
        <w:tc>
          <w:tcPr>
            <w:tcW w:type="dxa" w:w="4048"/>
          </w:tcPr>
          <w:p>
            <w:pPr>
              <w:pStyle w:val="Compact"/>
              <w:keepNext w:val="0"/>
              <w:spacing w:after="60" w:before="60" w:line="264" w:lineRule="auto"/>
              <w:jc w:val="left"/>
            </w:pPr>
            <w:r>
              <w:rPr>
                <w:sz w:val="18"/>
              </w:rPr>
              <w:t xml:space="preserve">S02 表 4.1 的变电站等示例与正式指南第 8—9 条的电压、坐标/指令限定不一致</w:t>
            </w:r>
          </w:p>
        </w:tc>
        <w:tc>
          <w:tcPr>
            <w:tcW w:type="dxa" w:w="3470"/>
          </w:tcPr>
          <w:p>
            <w:pPr>
              <w:pStyle w:val="Compact"/>
              <w:keepNext w:val="0"/>
              <w:spacing w:after="60" w:before="60" w:line="264" w:lineRule="auto"/>
              <w:jc w:val="left"/>
            </w:pPr>
            <w:r>
              <w:rPr>
                <w:sz w:val="18"/>
              </w:rPr>
              <w:t xml:space="preserve">正式条文独立建规则，草案示例保留冲突状态，不自动认定为国家重要/核心数据</w:t>
            </w:r>
          </w:p>
        </w:tc>
      </w:tr>
      <w:tr>
        <w:trPr>
          <w:cantSplit/>
        </w:trPr>
        <w:tc>
          <w:tcPr>
            <w:tcW w:type="dxa" w:w="2120"/>
          </w:tcPr>
          <w:p>
            <w:pPr>
              <w:pStyle w:val="Compact"/>
              <w:keepNext w:val="0"/>
              <w:spacing w:after="60" w:before="60" w:line="264" w:lineRule="auto"/>
              <w:jc w:val="left"/>
            </w:pPr>
            <w:r>
              <w:rPr>
                <w:sz w:val="18"/>
              </w:rPr>
              <w:t xml:space="preserve">目录仍引用较早细则</w:t>
            </w:r>
          </w:p>
        </w:tc>
        <w:tc>
          <w:tcPr>
            <w:tcW w:type="dxa" w:w="4048"/>
          </w:tcPr>
          <w:p>
            <w:pPr>
              <w:pStyle w:val="Compact"/>
              <w:keepNext w:val="0"/>
              <w:spacing w:after="60" w:before="60" w:line="264" w:lineRule="auto"/>
              <w:jc w:val="left"/>
            </w:pPr>
            <w:r>
              <w:rPr>
                <w:sz w:val="18"/>
              </w:rPr>
              <w:t xml:space="preserve">S06 序号 532—543 等开放条件引用 2025 版细则，包内另有 2026 审议稿</w:t>
            </w:r>
          </w:p>
        </w:tc>
        <w:tc>
          <w:tcPr>
            <w:tcW w:type="dxa" w:w="3470"/>
          </w:tcPr>
          <w:p>
            <w:pPr>
              <w:pStyle w:val="Compact"/>
              <w:keepNext w:val="0"/>
              <w:spacing w:after="60" w:before="60" w:line="264" w:lineRule="auto"/>
              <w:jc w:val="left"/>
            </w:pPr>
            <w:r>
              <w:rPr>
                <w:sz w:val="18"/>
              </w:rPr>
              <w:t xml:space="preserve">分版本保存，获得生效依据后再切换，不能静默混用</w:t>
            </w:r>
          </w:p>
        </w:tc>
      </w:tr>
      <w:tr>
        <w:trPr>
          <w:cantSplit/>
        </w:trPr>
        <w:tc>
          <w:tcPr>
            <w:tcW w:type="dxa" w:w="2120"/>
          </w:tcPr>
          <w:p>
            <w:pPr>
              <w:pStyle w:val="Compact"/>
              <w:keepNext w:val="0"/>
              <w:spacing w:after="60" w:before="60" w:line="264" w:lineRule="auto"/>
              <w:jc w:val="left"/>
            </w:pPr>
            <w:r>
              <w:rPr>
                <w:sz w:val="18"/>
              </w:rPr>
              <w:t xml:space="preserve">两级/三级共享描述局部不完全一致</w:t>
            </w:r>
          </w:p>
        </w:tc>
        <w:tc>
          <w:tcPr>
            <w:tcW w:type="dxa" w:w="4048"/>
          </w:tcPr>
          <w:p>
            <w:pPr>
              <w:pStyle w:val="Compact"/>
              <w:keepNext w:val="0"/>
              <w:spacing w:after="60" w:before="60" w:line="264" w:lineRule="auto"/>
              <w:jc w:val="left"/>
            </w:pPr>
            <w:r>
              <w:rPr>
                <w:sz w:val="18"/>
              </w:rPr>
              <w:t xml:space="preserve">S02 表 4.1 与表 4.4，以及不同影响对象表中的共享范围写法不同</w:t>
            </w:r>
          </w:p>
        </w:tc>
        <w:tc>
          <w:tcPr>
            <w:tcW w:type="dxa" w:w="3470"/>
          </w:tcPr>
          <w:p>
            <w:pPr>
              <w:pStyle w:val="Compact"/>
              <w:keepNext w:val="0"/>
              <w:spacing w:after="60" w:before="60" w:line="264" w:lineRule="auto"/>
              <w:jc w:val="left"/>
            </w:pPr>
            <w:r>
              <w:rPr>
                <w:sz w:val="18"/>
              </w:rPr>
              <w:t xml:space="preserve">等级、影响对象和共享权限分别建模，待管理口径确认</w:t>
            </w:r>
          </w:p>
        </w:tc>
      </w:tr>
      <w:tr>
        <w:trPr>
          <w:cantSplit/>
        </w:trPr>
        <w:tc>
          <w:tcPr>
            <w:tcW w:type="dxa" w:w="2120"/>
          </w:tcPr>
          <w:p>
            <w:pPr>
              <w:pStyle w:val="Compact"/>
              <w:keepNext w:val="0"/>
              <w:spacing w:after="60" w:before="60" w:line="264" w:lineRule="auto"/>
              <w:jc w:val="left"/>
            </w:pPr>
            <w:r>
              <w:rPr>
                <w:sz w:val="18"/>
              </w:rPr>
              <w:t xml:space="preserve">条款编号和示例编辑遗留</w:t>
            </w:r>
          </w:p>
        </w:tc>
        <w:tc>
          <w:tcPr>
            <w:tcW w:type="dxa" w:w="4048"/>
          </w:tcPr>
          <w:p>
            <w:pPr>
              <w:pStyle w:val="Compact"/>
              <w:keepNext w:val="0"/>
              <w:spacing w:after="60" w:before="60" w:line="264" w:lineRule="auto"/>
              <w:jc w:val="left"/>
            </w:pPr>
            <w:r>
              <w:rPr>
                <w:sz w:val="18"/>
              </w:rPr>
              <w:t xml:space="preserve">正文多处写表 3.x，实际表题为 4.x；附录 B 有重复描述</w:t>
            </w:r>
          </w:p>
        </w:tc>
        <w:tc>
          <w:tcPr>
            <w:tcW w:type="dxa" w:w="3470"/>
          </w:tcPr>
          <w:p>
            <w:pPr>
              <w:pStyle w:val="Compact"/>
              <w:keepNext w:val="0"/>
              <w:spacing w:after="60" w:before="60" w:line="264" w:lineRule="auto"/>
              <w:jc w:val="left"/>
            </w:pPr>
            <w:r>
              <w:rPr>
                <w:sz w:val="18"/>
              </w:rPr>
              <w:t xml:space="preserve">定位到实际表题与内容，保留原引用和校正建议</w:t>
            </w:r>
          </w:p>
        </w:tc>
      </w:tr>
      <w:tr>
        <w:trPr>
          <w:cantSplit/>
        </w:trPr>
        <w:tc>
          <w:tcPr>
            <w:tcW w:type="dxa" w:w="2120"/>
          </w:tcPr>
          <w:p>
            <w:pPr>
              <w:pStyle w:val="Compact"/>
              <w:keepNext w:val="0"/>
              <w:spacing w:after="60" w:before="60" w:line="264" w:lineRule="auto"/>
              <w:jc w:val="left"/>
            </w:pPr>
            <w:r>
              <w:rPr>
                <w:sz w:val="18"/>
              </w:rPr>
              <w:t xml:space="preserve">支持</w:t>
            </w:r>
            <w:r>
              <w:rPr>
                <w:sz w:val="18"/>
              </w:rPr>
              <w:t xml:space="preserve">“</w:t>
            </w:r>
            <w:r>
              <w:rPr>
                <w:sz w:val="18"/>
              </w:rPr>
              <w:t xml:space="preserve">降低级别</w:t>
            </w:r>
            <w:r>
              <w:rPr>
                <w:sz w:val="18"/>
              </w:rPr>
              <w:t xml:space="preserve">”</w:t>
            </w:r>
            <w:r>
              <w:rPr>
                <w:sz w:val="18"/>
              </w:rPr>
              <w:t xml:space="preserve">的条件需核实</w:t>
            </w:r>
          </w:p>
        </w:tc>
        <w:tc>
          <w:tcPr>
            <w:tcW w:type="dxa" w:w="4048"/>
          </w:tcPr>
          <w:p>
            <w:pPr>
              <w:pStyle w:val="Compact"/>
              <w:keepNext w:val="0"/>
              <w:spacing w:after="60" w:before="60" w:line="264" w:lineRule="auto"/>
              <w:jc w:val="left"/>
            </w:pPr>
            <w:r>
              <w:rPr>
                <w:sz w:val="18"/>
              </w:rPr>
              <w:t xml:space="preserve">S02 附录 D/E 涉及降低标识化程度等表述</w:t>
            </w:r>
          </w:p>
        </w:tc>
        <w:tc>
          <w:tcPr>
            <w:tcW w:type="dxa" w:w="3470"/>
          </w:tcPr>
          <w:p>
            <w:pPr>
              <w:pStyle w:val="Compact"/>
              <w:keepNext w:val="0"/>
              <w:spacing w:after="60" w:before="60" w:line="264" w:lineRule="auto"/>
              <w:jc w:val="left"/>
            </w:pPr>
            <w:r>
              <w:rPr>
                <w:sz w:val="18"/>
              </w:rPr>
              <w:t xml:space="preserve">加入可恢复性证据和评定流程；不得把一次模型低分当成不可恢复证明</w:t>
            </w:r>
          </w:p>
        </w:tc>
      </w:tr>
    </w:tbl>
    <w:p>
      <w:pPr>
        <w:pStyle w:val="BodyText"/>
      </w:pPr>
      <w:r>
        <w:t xml:space="preserve">这些差异不意味着可以自行放松现有保护。体系应保留当前有效保护状态，将冲突提交业务、数字化及相应管理部门处理。国家重要/核心身份识别与企业内部从严保护需要分别记录。</w:t>
      </w:r>
    </w:p>
    <w:p>
      <w:pPr>
        <w:pStyle w:val="BodyText"/>
      </w:pPr>
      <w:r>
        <w:t xml:space="preserve">W01：</w:t>
      </w:r>
      <w:hyperlink r:id="rId29">
        <w:r>
          <w:rPr>
            <w:rStyle w:val="Hyperlink"/>
          </w:rPr>
          <w:t xml:space="preserve">国家能源局《能源行业数据分类分级指南（2026年版）》</w:t>
        </w:r>
      </w:hyperlink>
      <w:r>
        <w:t xml:space="preserve">，重点核对第 5—11、15 条。其第 6—7 条区分可恢复衍生数据与不可恢复脱敏数据，支持在降级前开展恢复风险复评。</w:t>
      </w:r>
    </w:p>
    <w:p>
      <w:pPr>
        <w:pStyle w:val="BodyText"/>
      </w:pPr>
      <w:r>
        <w:t xml:space="preserve">W02：</w:t>
      </w:r>
      <w:hyperlink r:id="rId105">
        <w:r>
          <w:rPr>
            <w:rStyle w:val="Hyperlink"/>
          </w:rPr>
          <w:t xml:space="preserve">国家能源局对该指南的答记者问</w:t>
        </w:r>
      </w:hyperlink>
      <w:r>
        <w:t xml:space="preserve">，说明行业识别规则以外的数据仍需遵守其他适用保护要求。</w:t>
      </w:r>
    </w:p>
    <w:p>
      <w:pPr>
        <w:pStyle w:val="BodyText"/>
      </w:pPr>
      <w:r>
        <w:t xml:space="preserve">W03：</w:t>
      </w:r>
      <w:hyperlink r:id="rId106">
        <w:r>
          <w:rPr>
            <w:rStyle w:val="Hyperlink"/>
          </w:rPr>
          <w:t xml:space="preserve">GB/T 43697-2024 官方标准信息</w:t>
        </w:r>
      </w:hyperlink>
      <w:r>
        <w:t xml:space="preserve">，用于核对标准名称、状态和实施日期；本次未据网页元数据推导具体分级阈值。</w:t>
      </w:r>
    </w:p>
    <w:p>
      <w:pPr>
        <w:pStyle w:val="Heading2"/>
      </w:pPr>
      <w:bookmarkStart w:id="107" w:name="六类规则在体系中的分工"/>
      <w:r>
        <w:t xml:space="preserve">8. 六类规则在体系中的分工</w:t>
      </w:r>
      <w:bookmarkEnd w:id="107"/>
    </w:p>
    <w:p>
      <w:pPr>
        <w:pStyle w:val="FirstParagraph"/>
      </w:pPr>
      <w:r>
        <w:t xml:space="preserve">最终应建立六类相互关联、分别版本管理的规则：</w:t>
      </w:r>
    </w:p>
    <w:p>
      <w:pPr>
        <w:pStyle w:val="Compact"/>
        <w:numPr>
          <w:numId w:val="1008"/>
          <w:ilvl w:val="0"/>
        </w:numPr>
      </w:pPr>
      <w:r>
        <w:rPr>
          <w:b/>
        </w:rPr>
        <w:t xml:space="preserve">分类规则</w:t>
      </w:r>
      <w:r>
        <w:t xml:space="preserve">：业务层级、对象与字段归属。</w:t>
      </w:r>
    </w:p>
    <w:p>
      <w:pPr>
        <w:pStyle w:val="Compact"/>
        <w:numPr>
          <w:numId w:val="1008"/>
          <w:ilvl w:val="0"/>
        </w:numPr>
      </w:pPr>
      <w:r>
        <w:rPr>
          <w:b/>
        </w:rPr>
        <w:t xml:space="preserve">定级规则</w:t>
      </w:r>
      <w:r>
        <w:t xml:space="preserve">：影响对象、影响程度、识别条件、认定与审批。</w:t>
      </w:r>
    </w:p>
    <w:p>
      <w:pPr>
        <w:pStyle w:val="Compact"/>
        <w:numPr>
          <w:numId w:val="1008"/>
          <w:ilvl w:val="0"/>
        </w:numPr>
      </w:pPr>
      <w:r>
        <w:rPr>
          <w:b/>
        </w:rPr>
        <w:t xml:space="preserve">开放规则</w:t>
      </w:r>
      <w:r>
        <w:t xml:space="preserve">：开放对象、授权、场景、协议、数据空间条件。</w:t>
      </w:r>
    </w:p>
    <w:p>
      <w:pPr>
        <w:pStyle w:val="Compact"/>
        <w:numPr>
          <w:numId w:val="1008"/>
          <w:ilvl w:val="0"/>
        </w:numPr>
      </w:pPr>
      <w:r>
        <w:rPr>
          <w:b/>
        </w:rPr>
        <w:t xml:space="preserve">披露规则</w:t>
      </w:r>
      <w:r>
        <w:t xml:space="preserve">：必须/允许披露的内容、范围、时点和粒度。</w:t>
      </w:r>
    </w:p>
    <w:p>
      <w:pPr>
        <w:pStyle w:val="Compact"/>
        <w:numPr>
          <w:numId w:val="1008"/>
          <w:ilvl w:val="0"/>
        </w:numPr>
      </w:pPr>
      <w:r>
        <w:rPr>
          <w:b/>
        </w:rPr>
        <w:t xml:space="preserve">主体规则</w:t>
      </w:r>
      <w:r>
        <w:t xml:space="preserve">：注册状态、市场范围、角色及其变更。</w:t>
      </w:r>
    </w:p>
    <w:p>
      <w:pPr>
        <w:pStyle w:val="Compact"/>
        <w:numPr>
          <w:numId w:val="1008"/>
          <w:ilvl w:val="0"/>
        </w:numPr>
      </w:pPr>
      <w:r>
        <w:rPr>
          <w:b/>
        </w:rPr>
        <w:t xml:space="preserve">风险与复评规则</w:t>
      </w:r>
      <w:r>
        <w:t xml:space="preserve">：检查项、风险矩阵、整改、复核及目录更新。</w:t>
      </w:r>
    </w:p>
    <w:p>
      <w:pPr>
        <w:pStyle w:val="FirstParagraph"/>
      </w:pPr>
      <w:r>
        <w:t xml:space="preserve">六者可以联动，但不能压成一个</w:t>
      </w:r>
      <w:r>
        <w:t xml:space="preserve">“</w:t>
      </w:r>
      <w:r>
        <w:t xml:space="preserve">敏感度标签</w:t>
      </w:r>
      <w:r>
        <w:t xml:space="preserve">”</w:t>
      </w:r>
      <w:r>
        <w:t xml:space="preserve">。</w:t>
      </w:r>
    </w:p>
    <w:p>
      <w:pPr>
        <w:pStyle w:val="Heading1"/>
        <w:pageBreakBefore/>
      </w:pPr>
      <w:bookmarkStart w:id="108" w:name="附录三汇报主线与落地清单"/>
      <w:r>
        <w:t xml:space="preserve">附录三：汇报主线与落地清单</w:t>
      </w:r>
      <w:bookmarkEnd w:id="108"/>
    </w:p>
    <w:p>
      <w:pPr>
        <w:pStyle w:val="Heading2"/>
      </w:pPr>
      <w:bookmarkStart w:id="109" w:name="建议汇报题目与一句话定位"/>
      <w:r>
        <w:t xml:space="preserve">1. 建议汇报题目与一句话定位</w:t>
      </w:r>
      <w:bookmarkEnd w:id="109"/>
    </w:p>
    <w:p>
      <w:pPr>
        <w:pStyle w:val="FirstParagraph"/>
      </w:pPr>
      <w:r>
        <w:rPr>
          <w:b/>
        </w:rPr>
        <w:t xml:space="preserve">题目：面向南网数据开放共享的规则与推断证据协同分类分级体系。</w:t>
      </w:r>
    </w:p>
    <w:p>
      <w:pPr>
        <w:pStyle w:val="BodyText"/>
      </w:pPr>
      <w:r>
        <w:t xml:space="preserve">一句话：把南网的分类分级与开放要求转成规则，用已有研究补充组合推断风险证据，再通过审批、保护措施和持续复评把规则落到实际数据使用中。</w:t>
      </w:r>
    </w:p>
    <w:p>
      <w:pPr>
        <w:pStyle w:val="Heading2"/>
      </w:pPr>
      <w:bookmarkStart w:id="110" w:name="七页汇报的连续论证"/>
      <w:r>
        <w:t xml:space="preserve">2. 七页汇报的连续论证</w:t>
      </w:r>
      <w:bookmarkEnd w:id="110"/>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1542"/>
        <w:gridCol w:w="2699"/>
        <w:gridCol w:w="2699"/>
        <w:gridCol w:w="2699"/>
      </w:tblGrid>
      <w:tr>
        <w:trPr>
          <w:cantSplit/>
          <w:tblHeader/>
        </w:trPr>
        <w:tc>
          <w:tcPr>
            <w:tcW w:type="dxa" w:w="1542"/>
            <w:shd w:fill="E8F0F5"/>
          </w:tcPr>
          <w:p>
            <w:pPr>
              <w:pStyle w:val="Compact"/>
              <w:keepNext w:val="0"/>
              <w:spacing w:after="60" w:before="60" w:line="264" w:lineRule="auto"/>
              <w:jc w:val="left"/>
            </w:pPr>
            <w:r>
              <w:rPr>
                <w:sz w:val="18"/>
              </w:rPr>
              <w:t xml:space="preserve">页</w:t>
            </w:r>
          </w:p>
        </w:tc>
        <w:tc>
          <w:tcPr>
            <w:tcW w:type="dxa" w:w="2699"/>
            <w:shd w:fill="E8F0F5"/>
          </w:tcPr>
          <w:p>
            <w:pPr>
              <w:pStyle w:val="Compact"/>
              <w:keepNext w:val="0"/>
              <w:spacing w:after="60" w:before="60" w:line="264" w:lineRule="auto"/>
              <w:jc w:val="left"/>
            </w:pPr>
            <w:r>
              <w:rPr>
                <w:sz w:val="18"/>
              </w:rPr>
              <w:t xml:space="preserve">标题</w:t>
            </w:r>
          </w:p>
        </w:tc>
        <w:tc>
          <w:tcPr>
            <w:tcW w:type="dxa" w:w="2699"/>
            <w:shd w:fill="E8F0F5"/>
          </w:tcPr>
          <w:p>
            <w:pPr>
              <w:pStyle w:val="Compact"/>
              <w:keepNext w:val="0"/>
              <w:spacing w:after="60" w:before="60" w:line="264" w:lineRule="auto"/>
              <w:jc w:val="left"/>
            </w:pPr>
            <w:r>
              <w:rPr>
                <w:sz w:val="18"/>
              </w:rPr>
              <w:t xml:space="preserve">本页只讲清的一件事</w:t>
            </w:r>
          </w:p>
        </w:tc>
        <w:tc>
          <w:tcPr>
            <w:tcW w:type="dxa" w:w="2699"/>
            <w:shd w:fill="E8F0F5"/>
          </w:tcPr>
          <w:p>
            <w:pPr>
              <w:pStyle w:val="Compact"/>
              <w:keepNext w:val="0"/>
              <w:spacing w:after="60" w:before="60" w:line="264" w:lineRule="auto"/>
              <w:jc w:val="left"/>
            </w:pPr>
            <w:r>
              <w:rPr>
                <w:sz w:val="18"/>
              </w:rPr>
              <w:t xml:space="preserve">适合放的材料</w:t>
            </w:r>
          </w:p>
        </w:tc>
      </w:tr>
      <w:tr>
        <w:trPr>
          <w:cantSplit/>
        </w:trPr>
        <w:tc>
          <w:tcPr>
            <w:tcW w:type="dxa" w:w="1542"/>
          </w:tcPr>
          <w:p>
            <w:pPr>
              <w:pStyle w:val="Compact"/>
              <w:keepNext w:val="0"/>
              <w:spacing w:after="60" w:before="60" w:line="264" w:lineRule="auto"/>
              <w:jc w:val="left"/>
            </w:pPr>
            <w:r>
              <w:rPr>
                <w:sz w:val="18"/>
              </w:rPr>
              <w:t xml:space="preserve">1</w:t>
            </w:r>
          </w:p>
        </w:tc>
        <w:tc>
          <w:tcPr>
            <w:tcW w:type="dxa" w:w="2699"/>
          </w:tcPr>
          <w:p>
            <w:pPr>
              <w:pStyle w:val="Compact"/>
              <w:keepNext w:val="0"/>
              <w:spacing w:after="60" w:before="60" w:line="264" w:lineRule="auto"/>
              <w:jc w:val="left"/>
            </w:pPr>
            <w:r>
              <w:rPr>
                <w:sz w:val="18"/>
              </w:rPr>
              <w:t xml:space="preserve">南网已有规则，我们补充什么</w:t>
            </w:r>
          </w:p>
        </w:tc>
        <w:tc>
          <w:tcPr>
            <w:tcW w:type="dxa" w:w="2699"/>
          </w:tcPr>
          <w:p>
            <w:pPr>
              <w:pStyle w:val="Compact"/>
              <w:keepNext w:val="0"/>
              <w:spacing w:after="60" w:before="60" w:line="264" w:lineRule="auto"/>
              <w:jc w:val="left"/>
            </w:pPr>
            <w:r>
              <w:rPr>
                <w:sz w:val="18"/>
              </w:rPr>
              <w:t xml:space="preserve">现有规则需要技术证据支持聚合和加工后的判断</w:t>
            </w:r>
          </w:p>
        </w:tc>
        <w:tc>
          <w:tcPr>
            <w:tcW w:type="dxa" w:w="2699"/>
          </w:tcPr>
          <w:p>
            <w:pPr>
              <w:pStyle w:val="Compact"/>
              <w:keepNext w:val="0"/>
              <w:spacing w:after="60" w:before="60" w:line="264" w:lineRule="auto"/>
              <w:jc w:val="left"/>
            </w:pPr>
            <w:r>
              <w:rPr>
                <w:sz w:val="18"/>
              </w:rPr>
              <w:t xml:space="preserve">分类分级手册附录 D/E、风险评估第 382 项</w:t>
            </w:r>
          </w:p>
        </w:tc>
      </w:tr>
      <w:tr>
        <w:trPr>
          <w:cantSplit/>
        </w:trPr>
        <w:tc>
          <w:tcPr>
            <w:tcW w:type="dxa" w:w="1542"/>
          </w:tcPr>
          <w:p>
            <w:pPr>
              <w:pStyle w:val="Compact"/>
              <w:keepNext w:val="0"/>
              <w:spacing w:after="60" w:before="60" w:line="264" w:lineRule="auto"/>
              <w:jc w:val="left"/>
            </w:pPr>
            <w:r>
              <w:rPr>
                <w:sz w:val="18"/>
              </w:rPr>
              <w:t xml:space="preserve">2</w:t>
            </w:r>
          </w:p>
        </w:tc>
        <w:tc>
          <w:tcPr>
            <w:tcW w:type="dxa" w:w="2699"/>
          </w:tcPr>
          <w:p>
            <w:pPr>
              <w:pStyle w:val="Compact"/>
              <w:keepNext w:val="0"/>
              <w:spacing w:after="60" w:before="60" w:line="264" w:lineRule="auto"/>
              <w:jc w:val="left"/>
            </w:pPr>
            <w:r>
              <w:rPr>
                <w:sz w:val="18"/>
              </w:rPr>
              <w:t xml:space="preserve">分类、级别、开放范围分别是什么</w:t>
            </w:r>
          </w:p>
        </w:tc>
        <w:tc>
          <w:tcPr>
            <w:tcW w:type="dxa" w:w="2699"/>
          </w:tcPr>
          <w:p>
            <w:pPr>
              <w:pStyle w:val="Compact"/>
              <w:keepNext w:val="0"/>
              <w:spacing w:after="60" w:before="60" w:line="264" w:lineRule="auto"/>
              <w:jc w:val="left"/>
            </w:pPr>
            <w:r>
              <w:rPr>
                <w:sz w:val="18"/>
              </w:rPr>
              <w:t xml:space="preserve">三者关联，但不是同一个标签</w:t>
            </w:r>
          </w:p>
        </w:tc>
        <w:tc>
          <w:tcPr>
            <w:tcW w:type="dxa" w:w="2699"/>
          </w:tcPr>
          <w:p>
            <w:pPr>
              <w:pStyle w:val="Compact"/>
              <w:keepNext w:val="0"/>
              <w:spacing w:after="60" w:before="60" w:line="264" w:lineRule="auto"/>
              <w:jc w:val="left"/>
            </w:pPr>
            <w:r>
              <w:rPr>
                <w:sz w:val="18"/>
              </w:rPr>
              <w:t xml:space="preserve">业务分类链、三类五级、公众/公开/特定对照</w:t>
            </w:r>
          </w:p>
        </w:tc>
      </w:tr>
      <w:tr>
        <w:trPr>
          <w:cantSplit/>
        </w:trPr>
        <w:tc>
          <w:tcPr>
            <w:tcW w:type="dxa" w:w="1542"/>
          </w:tcPr>
          <w:p>
            <w:pPr>
              <w:pStyle w:val="Compact"/>
              <w:keepNext w:val="0"/>
              <w:spacing w:after="60" w:before="60" w:line="264" w:lineRule="auto"/>
              <w:jc w:val="left"/>
            </w:pPr>
            <w:r>
              <w:rPr>
                <w:sz w:val="18"/>
              </w:rPr>
              <w:t xml:space="preserve">3</w:t>
            </w:r>
          </w:p>
        </w:tc>
        <w:tc>
          <w:tcPr>
            <w:tcW w:type="dxa" w:w="2699"/>
          </w:tcPr>
          <w:p>
            <w:pPr>
              <w:pStyle w:val="Compact"/>
              <w:keepNext w:val="0"/>
              <w:spacing w:after="60" w:before="60" w:line="264" w:lineRule="auto"/>
              <w:jc w:val="left"/>
            </w:pPr>
            <w:r>
              <w:rPr>
                <w:sz w:val="18"/>
              </w:rPr>
              <w:t xml:space="preserve">师兄方法已经提供哪些基础</w:t>
            </w:r>
          </w:p>
        </w:tc>
        <w:tc>
          <w:tcPr>
            <w:tcW w:type="dxa" w:w="2699"/>
          </w:tcPr>
          <w:p>
            <w:pPr>
              <w:pStyle w:val="Compact"/>
              <w:keepNext w:val="0"/>
              <w:spacing w:after="60" w:before="60" w:line="264" w:lineRule="auto"/>
              <w:jc w:val="left"/>
            </w:pPr>
            <w:r>
              <w:rPr>
                <w:sz w:val="18"/>
              </w:rPr>
              <w:t xml:space="preserve">规则抽取—关联发现—动态策略的链条</w:t>
            </w:r>
          </w:p>
        </w:tc>
        <w:tc>
          <w:tcPr>
            <w:tcW w:type="dxa" w:w="2699"/>
          </w:tcPr>
          <w:p>
            <w:pPr>
              <w:pStyle w:val="Compact"/>
              <w:keepNext w:val="0"/>
              <w:spacing w:after="60" w:before="60" w:line="264" w:lineRule="auto"/>
              <w:jc w:val="left"/>
            </w:pPr>
            <w:r>
              <w:rPr>
                <w:sz w:val="18"/>
              </w:rPr>
              <w:t xml:space="preserve">论文 3.1、3.4.2、4 章对应表</w:t>
            </w:r>
          </w:p>
        </w:tc>
      </w:tr>
      <w:tr>
        <w:trPr>
          <w:cantSplit/>
        </w:trPr>
        <w:tc>
          <w:tcPr>
            <w:tcW w:type="dxa" w:w="1542"/>
          </w:tcPr>
          <w:p>
            <w:pPr>
              <w:pStyle w:val="Compact"/>
              <w:keepNext w:val="0"/>
              <w:spacing w:after="60" w:before="60" w:line="264" w:lineRule="auto"/>
              <w:jc w:val="left"/>
            </w:pPr>
            <w:r>
              <w:rPr>
                <w:sz w:val="18"/>
              </w:rPr>
              <w:t xml:space="preserve">4</w:t>
            </w:r>
          </w:p>
        </w:tc>
        <w:tc>
          <w:tcPr>
            <w:tcW w:type="dxa" w:w="2699"/>
          </w:tcPr>
          <w:p>
            <w:pPr>
              <w:pStyle w:val="Compact"/>
              <w:keepNext w:val="0"/>
              <w:spacing w:after="60" w:before="60" w:line="264" w:lineRule="auto"/>
              <w:jc w:val="left"/>
            </w:pPr>
            <w:r>
              <w:rPr>
                <w:sz w:val="18"/>
              </w:rPr>
              <w:t xml:space="preserve">为什么需要背景组合风险</w:t>
            </w:r>
          </w:p>
        </w:tc>
        <w:tc>
          <w:tcPr>
            <w:tcW w:type="dxa" w:w="2699"/>
          </w:tcPr>
          <w:p>
            <w:pPr>
              <w:pStyle w:val="Compact"/>
              <w:keepNext w:val="0"/>
              <w:spacing w:after="60" w:before="60" w:line="264" w:lineRule="auto"/>
              <w:jc w:val="left"/>
            </w:pPr>
            <w:r>
              <w:rPr>
                <w:sz w:val="18"/>
              </w:rPr>
              <w:t xml:space="preserve">单字段属性和两两相关不能覆盖所有组合暴露</w:t>
            </w:r>
          </w:p>
        </w:tc>
        <w:tc>
          <w:tcPr>
            <w:tcW w:type="dxa" w:w="2699"/>
          </w:tcPr>
          <w:p>
            <w:pPr>
              <w:pStyle w:val="Compact"/>
              <w:keepNext w:val="0"/>
              <w:spacing w:after="60" w:before="60" w:line="264" w:lineRule="auto"/>
              <w:jc w:val="left"/>
            </w:pPr>
            <m:oMath>
              <m:r>
                <m:t>V</m:t>
              </m:r>
            </m:oMath>
            <w:r>
              <w:rPr>
                <w:sz w:val="18"/>
              </w:rPr>
              <w:t xml:space="preserve">、</w:t>
            </w:r>
            <m:oMath>
              <m:r>
                <m:t>Δ</m:t>
              </m:r>
            </m:oMath>
            <w:r>
              <w:rPr>
                <w:sz w:val="18"/>
              </w:rPr>
              <w:t xml:space="preserve">、</w:t>
            </w:r>
            <m:oMath>
              <m:sSup>
                <m:e>
                  <m:r>
                    <m:t>M</m:t>
                  </m:r>
                </m:e>
                <m:sup>
                  <m:r>
                    <m:t>(</m:t>
                  </m:r>
                  <m:r>
                    <m:t>K</m:t>
                  </m:r>
                  <m:r>
                    <m:t>)</m:t>
                  </m:r>
                </m:sup>
              </m:sSup>
            </m:oMath>
            <w:r>
              <w:rPr>
                <w:sz w:val="18"/>
              </w:rPr>
              <w:t xml:space="preserve"> </w:t>
            </w:r>
            <w:r>
              <w:rPr>
                <w:sz w:val="18"/>
              </w:rPr>
              <w:t xml:space="preserve">与关键背景的简图</w:t>
            </w:r>
          </w:p>
        </w:tc>
      </w:tr>
      <w:tr>
        <w:trPr>
          <w:cantSplit/>
        </w:trPr>
        <w:tc>
          <w:tcPr>
            <w:tcW w:type="dxa" w:w="1542"/>
          </w:tcPr>
          <w:p>
            <w:pPr>
              <w:pStyle w:val="Compact"/>
              <w:keepNext w:val="0"/>
              <w:spacing w:after="60" w:before="60" w:line="264" w:lineRule="auto"/>
              <w:jc w:val="left"/>
            </w:pPr>
            <w:r>
              <w:rPr>
                <w:sz w:val="18"/>
              </w:rPr>
              <w:t xml:space="preserve">5</w:t>
            </w:r>
          </w:p>
        </w:tc>
        <w:tc>
          <w:tcPr>
            <w:tcW w:type="dxa" w:w="2699"/>
          </w:tcPr>
          <w:p>
            <w:pPr>
              <w:pStyle w:val="Compact"/>
              <w:keepNext w:val="0"/>
              <w:spacing w:after="60" w:before="60" w:line="264" w:lineRule="auto"/>
              <w:jc w:val="left"/>
            </w:pPr>
            <w:r>
              <w:rPr>
                <w:sz w:val="18"/>
              </w:rPr>
              <w:t xml:space="preserve">三部分如何形成一套体系</w:t>
            </w:r>
          </w:p>
        </w:tc>
        <w:tc>
          <w:tcPr>
            <w:tcW w:type="dxa" w:w="2699"/>
          </w:tcPr>
          <w:p>
            <w:pPr>
              <w:pStyle w:val="Compact"/>
              <w:keepNext w:val="0"/>
              <w:spacing w:after="60" w:before="60" w:line="264" w:lineRule="auto"/>
              <w:jc w:val="left"/>
            </w:pPr>
            <w:r>
              <w:rPr>
                <w:sz w:val="18"/>
              </w:rPr>
              <w:t xml:space="preserve">规则基线、场景建模、证据复核、治理决定相衔接</w:t>
            </w:r>
          </w:p>
        </w:tc>
        <w:tc>
          <w:tcPr>
            <w:tcW w:type="dxa" w:w="2699"/>
          </w:tcPr>
          <w:p>
            <w:pPr>
              <w:pStyle w:val="Compact"/>
              <w:keepNext w:val="0"/>
              <w:spacing w:after="60" w:before="60" w:line="264" w:lineRule="auto"/>
              <w:jc w:val="left"/>
            </w:pPr>
            <w:r>
              <w:rPr>
                <w:sz w:val="18"/>
              </w:rPr>
              <w:t xml:space="preserve">主方案流程图</w:t>
            </w:r>
          </w:p>
        </w:tc>
      </w:tr>
      <w:tr>
        <w:trPr>
          <w:cantSplit/>
        </w:trPr>
        <w:tc>
          <w:tcPr>
            <w:tcW w:type="dxa" w:w="1542"/>
          </w:tcPr>
          <w:p>
            <w:pPr>
              <w:pStyle w:val="Compact"/>
              <w:keepNext w:val="0"/>
              <w:spacing w:after="60" w:before="60" w:line="264" w:lineRule="auto"/>
              <w:jc w:val="left"/>
            </w:pPr>
            <w:r>
              <w:rPr>
                <w:sz w:val="18"/>
              </w:rPr>
              <w:t xml:space="preserve">6</w:t>
            </w:r>
          </w:p>
        </w:tc>
        <w:tc>
          <w:tcPr>
            <w:tcW w:type="dxa" w:w="2699"/>
          </w:tcPr>
          <w:p>
            <w:pPr>
              <w:pStyle w:val="Compact"/>
              <w:keepNext w:val="0"/>
              <w:spacing w:after="60" w:before="60" w:line="264" w:lineRule="auto"/>
              <w:jc w:val="left"/>
            </w:pPr>
            <w:r>
              <w:rPr>
                <w:sz w:val="18"/>
              </w:rPr>
              <w:t xml:space="preserve">用一个南网场景走通流程</w:t>
            </w:r>
          </w:p>
        </w:tc>
        <w:tc>
          <w:tcPr>
            <w:tcW w:type="dxa" w:w="2699"/>
          </w:tcPr>
          <w:p>
            <w:pPr>
              <w:pStyle w:val="Compact"/>
              <w:keepNext w:val="0"/>
              <w:spacing w:after="60" w:before="60" w:line="264" w:lineRule="auto"/>
              <w:jc w:val="left"/>
            </w:pPr>
            <w:r>
              <w:rPr>
                <w:sz w:val="18"/>
              </w:rPr>
              <w:t xml:space="preserve">主体/时点决定可见背景，结果进入复核和保护建议</w:t>
            </w:r>
          </w:p>
        </w:tc>
        <w:tc>
          <w:tcPr>
            <w:tcW w:type="dxa" w:w="2699"/>
          </w:tcPr>
          <w:p>
            <w:pPr>
              <w:pStyle w:val="Compact"/>
              <w:keepNext w:val="0"/>
              <w:spacing w:after="60" w:before="60" w:line="264" w:lineRule="auto"/>
              <w:jc w:val="left"/>
            </w:pPr>
            <w:r>
              <w:rPr>
                <w:sz w:val="18"/>
              </w:rPr>
              <w:t xml:space="preserve">目录 532—543 的预测/运行资源组，不展示虚构风险数值</w:t>
            </w:r>
          </w:p>
        </w:tc>
      </w:tr>
      <w:tr>
        <w:trPr>
          <w:cantSplit/>
        </w:trPr>
        <w:tc>
          <w:tcPr>
            <w:tcW w:type="dxa" w:w="1542"/>
          </w:tcPr>
          <w:p>
            <w:pPr>
              <w:pStyle w:val="Compact"/>
              <w:keepNext w:val="0"/>
              <w:spacing w:after="60" w:before="60" w:line="264" w:lineRule="auto"/>
              <w:jc w:val="left"/>
            </w:pPr>
            <w:r>
              <w:rPr>
                <w:sz w:val="18"/>
              </w:rPr>
              <w:t xml:space="preserve">7</w:t>
            </w:r>
          </w:p>
        </w:tc>
        <w:tc>
          <w:tcPr>
            <w:tcW w:type="dxa" w:w="2699"/>
          </w:tcPr>
          <w:p>
            <w:pPr>
              <w:pStyle w:val="Compact"/>
              <w:keepNext w:val="0"/>
              <w:spacing w:after="60" w:before="60" w:line="264" w:lineRule="auto"/>
              <w:jc w:val="left"/>
            </w:pPr>
            <w:r>
              <w:rPr>
                <w:sz w:val="18"/>
              </w:rPr>
              <w:t xml:space="preserve">项目如何交付与验证</w:t>
            </w:r>
          </w:p>
        </w:tc>
        <w:tc>
          <w:tcPr>
            <w:tcW w:type="dxa" w:w="2699"/>
          </w:tcPr>
          <w:p>
            <w:pPr>
              <w:pStyle w:val="Compact"/>
              <w:keepNext w:val="0"/>
              <w:spacing w:after="60" w:before="60" w:line="264" w:lineRule="auto"/>
              <w:jc w:val="left"/>
            </w:pPr>
            <w:r>
              <w:rPr>
                <w:sz w:val="18"/>
              </w:rPr>
              <w:t xml:space="preserve">不只交算法，还交规则、目录、证据、审批和执行记录</w:t>
            </w:r>
          </w:p>
        </w:tc>
        <w:tc>
          <w:tcPr>
            <w:tcW w:type="dxa" w:w="2699"/>
          </w:tcPr>
          <w:p>
            <w:pPr>
              <w:pStyle w:val="Compact"/>
              <w:keepNext w:val="0"/>
              <w:spacing w:after="60" w:before="60" w:line="264" w:lineRule="auto"/>
              <w:jc w:val="left"/>
            </w:pPr>
            <w:r>
              <w:rPr>
                <w:sz w:val="18"/>
              </w:rPr>
              <w:t xml:space="preserve">四张主表、两类报告及三阶段实施顺序</w:t>
            </w:r>
          </w:p>
        </w:tc>
      </w:tr>
    </w:tbl>
    <w:p>
      <w:pPr>
        <w:pStyle w:val="BodyText"/>
      </w:pPr>
      <w:r>
        <w:t xml:space="preserve">不建议以</w:t>
      </w:r>
      <w:r>
        <w:t xml:space="preserve">“</w:t>
      </w:r>
      <w:r>
        <w:t xml:space="preserve">大模型、自编码器、FP-Growth、MIC、GRPO、通用模型</w:t>
      </w:r>
      <w:r>
        <w:t xml:space="preserve">”</w:t>
      </w:r>
      <w:r>
        <w:t xml:space="preserve">逐个介绍作为汇报主结构。听众更需要知道每个环节解决什么管理问题，以及输入和输出如何衔接。</w:t>
      </w:r>
    </w:p>
    <w:p>
      <w:pPr>
        <w:pStyle w:val="Heading2"/>
      </w:pPr>
      <w:bookmarkStart w:id="111" w:name="能直接使用的项目内容表述"/>
      <w:r>
        <w:t xml:space="preserve">3. 能直接使用的项目内容表述</w:t>
      </w:r>
      <w:bookmarkEnd w:id="111"/>
    </w:p>
    <w:p>
      <w:pPr>
        <w:pStyle w:val="Heading3"/>
      </w:pPr>
      <w:bookmarkStart w:id="112" w:name="研究内容一面向南网制度和业务语义的规则建模"/>
      <w:r>
        <w:t xml:space="preserve">研究内容一：面向南网制度和业务语义的规则建模</w:t>
      </w:r>
      <w:bookmarkEnd w:id="112"/>
    </w:p>
    <w:p>
      <w:pPr>
        <w:pStyle w:val="FirstParagraph"/>
      </w:pPr>
      <w:r>
        <w:t xml:space="preserve">梳理南网分类分级、数据开放、市场注册、信息披露及风险评估要求，构建具备条款来源、版本状态、适用条件和审核记录的规则库；结合企业级业务架构和数据资产元数据，完成资源、对象与字段的分类映射，为基线分级和场景授权提供依据。</w:t>
      </w:r>
    </w:p>
    <w:p>
      <w:pPr>
        <w:pStyle w:val="Heading3"/>
      </w:pPr>
      <w:bookmarkStart w:id="113" w:name="研究内容二面向开放共享背景的组合推断风险评估"/>
      <w:r>
        <w:t xml:space="preserve">研究内容二：面向开放共享背景的组合推断风险评估</w:t>
      </w:r>
      <w:bookmarkEnd w:id="113"/>
    </w:p>
    <w:p>
      <w:pPr>
        <w:pStyle w:val="FirstParagraph"/>
      </w:pPr>
      <w:r>
        <w:t xml:space="preserve">结合物理业务先验、统计关联及敏感字段模式发现候选关系，在明确接收主体、披露时点和背景可得性的条件下，评估字段集合对受保护目标的推断能力，形成字段增量风险、背景放大和关键组合证据，并通过独立留出验证控制经验结论的适用范围。</w:t>
      </w:r>
    </w:p>
    <w:p>
      <w:pPr>
        <w:pStyle w:val="Heading3"/>
      </w:pPr>
      <w:bookmarkStart w:id="114" w:name="研究内容三推断证据驱动的分级复核与动态防护"/>
      <w:r>
        <w:t xml:space="preserve">研究内容三：推断证据驱动的分级复核与动态防护</w:t>
      </w:r>
      <w:bookmarkEnd w:id="114"/>
    </w:p>
    <w:p>
      <w:pPr>
        <w:pStyle w:val="FirstParagraph"/>
      </w:pPr>
      <w:r>
        <w:t xml:space="preserve">将组合风险证据映射到数据深度、可恢复性及影响分析，形成可追溯的等级复核建议；在现行规则、授权和披露义务约束下推荐实际保护措施，经审批执行后验证剩余风险与业务可用性，并随规则、数据产品、接收主体和已知背景变化持续更新。</w:t>
      </w:r>
    </w:p>
    <w:p>
      <w:pPr>
        <w:pStyle w:val="Heading2"/>
      </w:pPr>
      <w:bookmarkStart w:id="115" w:name="当前研究成果怎样引用最稳妥"/>
      <w:r>
        <w:t xml:space="preserve">4. 当前研究成果怎样引用最稳妥</w:t>
      </w:r>
      <w:bookmarkEnd w:id="115"/>
    </w:p>
    <w:p>
      <w:pPr>
        <w:pStyle w:val="FirstParagraph"/>
      </w:pPr>
      <w:r>
        <w:t xml:space="preserve">师兄的实验用于说明规则抽取、常见敏感模式发现和动态效用优化的可行性；不将小规模工程属性抽取准确率写成法规理解准确率，也不将模拟效用增益写成现实泄露下降比例。</w:t>
      </w:r>
    </w:p>
    <w:p>
      <w:pPr>
        <w:pStyle w:val="BodyText"/>
      </w:pPr>
      <w:r>
        <w:t xml:space="preserve">你的近期稿已有能够说明组合必要性的结果，例如 RTS-GMLC 线路目标在阈值 0.7、额外背景预算 K=2 下没有单字段越阈，但 23 个字段中有 21 个参与关键组合；NEM BW01 在阈值 0.5 下有 266 个规模不超过 3 的最小不安全集合。引用时须注明数据集、目标、阈值、预算和所用经验模型，并明确它们是</w:t>
      </w:r>
      <w:r>
        <w:rPr>
          <w:b/>
        </w:rPr>
        <w:t xml:space="preserve">研究稿结果，不是南网业务数据结果</w:t>
      </w:r>
      <w:r>
        <w:t xml:space="preserve">。[R01，</w:t>
      </w:r>
      <w:r>
        <w:rPr>
          <w:rStyle w:val="VerbatimChar"/>
        </w:rPr>
        <w:t xml:space="preserve">tables/tab_risk.tex</w:t>
      </w:r>
      <w:r>
        <w:t xml:space="preserve">]</w:t>
      </w:r>
    </w:p>
    <w:p>
      <w:pPr>
        <w:pStyle w:val="BodyText"/>
      </w:pPr>
      <w:r>
        <w:t xml:space="preserve">NEM、PJM、CAISO 在研究中按中国披露语义划分字段角色，用途是构建可复核的研究场景，不能据此对这些市场作实际违规判断。对南网试点必须重新做本地条款映射和可得性核验。[R01，实验设置与局限]</w:t>
      </w:r>
    </w:p>
    <w:p>
      <w:pPr>
        <w:pStyle w:val="BodyText"/>
      </w:pPr>
      <w:r>
        <w:t xml:space="preserve">“</w:t>
      </w:r>
      <w:r>
        <w:t xml:space="preserve">认证</w:t>
      </w:r>
      <w:r>
        <w:t xml:space="preserve">”</w:t>
      </w:r>
      <w:r>
        <w:t xml:space="preserve">也应限于已复核候选和经验模型范围，不宜写为全面安全证明。更换模型族可能改变两个集合的推断能力及其差值，因此不能笼统声称更强模型一定令每一个字段的最大边际分数上升。</w:t>
      </w:r>
    </w:p>
    <w:p>
      <w:pPr>
        <w:pStyle w:val="Heading2"/>
      </w:pPr>
      <w:bookmarkStart w:id="116" w:name="先做的十项工作"/>
      <w:r>
        <w:t xml:space="preserve">5. 先做的十项工作</w:t>
      </w:r>
      <w:bookmarkEnd w:id="116"/>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顺序</w:t>
            </w:r>
          </w:p>
        </w:tc>
        <w:tc>
          <w:tcPr>
            <w:tcW w:type="dxa" w:w="4048"/>
            <w:shd w:fill="E8F0F5"/>
          </w:tcPr>
          <w:p>
            <w:pPr>
              <w:pStyle w:val="Compact"/>
              <w:keepNext w:val="0"/>
              <w:spacing w:after="60" w:before="60" w:line="264" w:lineRule="auto"/>
              <w:jc w:val="left"/>
            </w:pPr>
            <w:r>
              <w:rPr>
                <w:sz w:val="18"/>
              </w:rPr>
              <w:t xml:space="preserve">工作</w:t>
            </w:r>
          </w:p>
        </w:tc>
        <w:tc>
          <w:tcPr>
            <w:tcW w:type="dxa" w:w="3470"/>
            <w:shd w:fill="E8F0F5"/>
          </w:tcPr>
          <w:p>
            <w:pPr>
              <w:pStyle w:val="Compact"/>
              <w:keepNext w:val="0"/>
              <w:spacing w:after="60" w:before="60" w:line="264" w:lineRule="auto"/>
              <w:jc w:val="left"/>
            </w:pPr>
            <w:r>
              <w:rPr>
                <w:sz w:val="18"/>
              </w:rPr>
              <w:t xml:space="preserve">可审查产出</w:t>
            </w:r>
          </w:p>
        </w:tc>
      </w:tr>
      <w:tr>
        <w:trPr>
          <w:cantSplit/>
        </w:trPr>
        <w:tc>
          <w:tcPr>
            <w:tcW w:type="dxa" w:w="2120"/>
          </w:tcPr>
          <w:p>
            <w:pPr>
              <w:pStyle w:val="Compact"/>
              <w:keepNext w:val="0"/>
              <w:spacing w:after="60" w:before="60" w:line="264" w:lineRule="auto"/>
              <w:jc w:val="left"/>
            </w:pPr>
            <w:r>
              <w:rPr>
                <w:sz w:val="18"/>
              </w:rPr>
              <w:t xml:space="preserve">1</w:t>
            </w:r>
          </w:p>
        </w:tc>
        <w:tc>
          <w:tcPr>
            <w:tcW w:type="dxa" w:w="4048"/>
          </w:tcPr>
          <w:p>
            <w:pPr>
              <w:pStyle w:val="Compact"/>
              <w:keepNext w:val="0"/>
              <w:spacing w:after="60" w:before="60" w:line="264" w:lineRule="auto"/>
              <w:jc w:val="left"/>
            </w:pPr>
            <w:r>
              <w:rPr>
                <w:sz w:val="18"/>
              </w:rPr>
              <w:t xml:space="preserve">核对南网材料的正式版本、效力和适用范围</w:t>
            </w:r>
          </w:p>
        </w:tc>
        <w:tc>
          <w:tcPr>
            <w:tcW w:type="dxa" w:w="3470"/>
          </w:tcPr>
          <w:p>
            <w:pPr>
              <w:pStyle w:val="Compact"/>
              <w:keepNext w:val="0"/>
              <w:spacing w:after="60" w:before="60" w:line="264" w:lineRule="auto"/>
              <w:jc w:val="left"/>
            </w:pPr>
            <w:r>
              <w:rPr>
                <w:sz w:val="18"/>
              </w:rPr>
              <w:t xml:space="preserve">版本台账、冲突清单、启用状态</w:t>
            </w:r>
          </w:p>
        </w:tc>
      </w:tr>
      <w:tr>
        <w:trPr>
          <w:cantSplit/>
        </w:trPr>
        <w:tc>
          <w:tcPr>
            <w:tcW w:type="dxa" w:w="2120"/>
          </w:tcPr>
          <w:p>
            <w:pPr>
              <w:pStyle w:val="Compact"/>
              <w:keepNext w:val="0"/>
              <w:spacing w:after="60" w:before="60" w:line="264" w:lineRule="auto"/>
              <w:jc w:val="left"/>
            </w:pPr>
            <w:r>
              <w:rPr>
                <w:sz w:val="18"/>
              </w:rPr>
              <w:t xml:space="preserve">2</w:t>
            </w:r>
          </w:p>
        </w:tc>
        <w:tc>
          <w:tcPr>
            <w:tcW w:type="dxa" w:w="4048"/>
          </w:tcPr>
          <w:p>
            <w:pPr>
              <w:pStyle w:val="Compact"/>
              <w:keepNext w:val="0"/>
              <w:spacing w:after="60" w:before="60" w:line="264" w:lineRule="auto"/>
              <w:jc w:val="left"/>
            </w:pPr>
            <w:r>
              <w:rPr>
                <w:sz w:val="18"/>
              </w:rPr>
              <w:t xml:space="preserve">确认最新业务架构及分类编码</w:t>
            </w:r>
          </w:p>
        </w:tc>
        <w:tc>
          <w:tcPr>
            <w:tcW w:type="dxa" w:w="3470"/>
          </w:tcPr>
          <w:p>
            <w:pPr>
              <w:pStyle w:val="Compact"/>
              <w:keepNext w:val="0"/>
              <w:spacing w:after="60" w:before="60" w:line="264" w:lineRule="auto"/>
              <w:jc w:val="left"/>
            </w:pPr>
            <w:r>
              <w:rPr>
                <w:sz w:val="18"/>
              </w:rPr>
              <w:t xml:space="preserve">业务分类树、别名与版本映射</w:t>
            </w:r>
          </w:p>
        </w:tc>
      </w:tr>
      <w:tr>
        <w:trPr>
          <w:cantSplit/>
        </w:trPr>
        <w:tc>
          <w:tcPr>
            <w:tcW w:type="dxa" w:w="2120"/>
          </w:tcPr>
          <w:p>
            <w:pPr>
              <w:pStyle w:val="Compact"/>
              <w:keepNext w:val="0"/>
              <w:spacing w:after="60" w:before="60" w:line="264" w:lineRule="auto"/>
              <w:jc w:val="left"/>
            </w:pPr>
            <w:r>
              <w:rPr>
                <w:sz w:val="18"/>
              </w:rPr>
              <w:t xml:space="preserve">3</w:t>
            </w:r>
          </w:p>
        </w:tc>
        <w:tc>
          <w:tcPr>
            <w:tcW w:type="dxa" w:w="4048"/>
          </w:tcPr>
          <w:p>
            <w:pPr>
              <w:pStyle w:val="Compact"/>
              <w:keepNext w:val="0"/>
              <w:spacing w:after="60" w:before="60" w:line="264" w:lineRule="auto"/>
              <w:jc w:val="left"/>
            </w:pPr>
            <w:r>
              <w:rPr>
                <w:sz w:val="18"/>
              </w:rPr>
              <w:t xml:space="preserve">导入 561 项资源目录，并关联真实系统和字段</w:t>
            </w:r>
          </w:p>
        </w:tc>
        <w:tc>
          <w:tcPr>
            <w:tcW w:type="dxa" w:w="3470"/>
          </w:tcPr>
          <w:p>
            <w:pPr>
              <w:pStyle w:val="Compact"/>
              <w:keepNext w:val="0"/>
              <w:spacing w:after="60" w:before="60" w:line="264" w:lineRule="auto"/>
              <w:jc w:val="left"/>
            </w:pPr>
            <w:r>
              <w:rPr>
                <w:sz w:val="18"/>
              </w:rPr>
              <w:t xml:space="preserve">资源—资产—字段映射表</w:t>
            </w:r>
          </w:p>
        </w:tc>
      </w:tr>
      <w:tr>
        <w:trPr>
          <w:cantSplit/>
        </w:trPr>
        <w:tc>
          <w:tcPr>
            <w:tcW w:type="dxa" w:w="2120"/>
          </w:tcPr>
          <w:p>
            <w:pPr>
              <w:pStyle w:val="Compact"/>
              <w:keepNext w:val="0"/>
              <w:spacing w:after="60" w:before="60" w:line="264" w:lineRule="auto"/>
              <w:jc w:val="left"/>
            </w:pPr>
            <w:r>
              <w:rPr>
                <w:sz w:val="18"/>
              </w:rPr>
              <w:t xml:space="preserve">4</w:t>
            </w:r>
          </w:p>
        </w:tc>
        <w:tc>
          <w:tcPr>
            <w:tcW w:type="dxa" w:w="4048"/>
          </w:tcPr>
          <w:p>
            <w:pPr>
              <w:pStyle w:val="Compact"/>
              <w:keepNext w:val="0"/>
              <w:spacing w:after="60" w:before="60" w:line="264" w:lineRule="auto"/>
              <w:jc w:val="left"/>
            </w:pPr>
            <w:r>
              <w:rPr>
                <w:sz w:val="18"/>
              </w:rPr>
              <w:t xml:space="preserve">整理现有等级和重要/核心识别依据</w:t>
            </w:r>
          </w:p>
        </w:tc>
        <w:tc>
          <w:tcPr>
            <w:tcW w:type="dxa" w:w="3470"/>
          </w:tcPr>
          <w:p>
            <w:pPr>
              <w:pStyle w:val="Compact"/>
              <w:keepNext w:val="0"/>
              <w:spacing w:after="60" w:before="60" w:line="264" w:lineRule="auto"/>
              <w:jc w:val="left"/>
            </w:pPr>
            <w:r>
              <w:rPr>
                <w:sz w:val="18"/>
              </w:rPr>
              <w:t xml:space="preserve">分类分级主表及未决事项</w:t>
            </w:r>
          </w:p>
        </w:tc>
      </w:tr>
      <w:tr>
        <w:trPr>
          <w:cantSplit/>
        </w:trPr>
        <w:tc>
          <w:tcPr>
            <w:tcW w:type="dxa" w:w="2120"/>
          </w:tcPr>
          <w:p>
            <w:pPr>
              <w:pStyle w:val="Compact"/>
              <w:keepNext w:val="0"/>
              <w:spacing w:after="60" w:before="60" w:line="264" w:lineRule="auto"/>
              <w:jc w:val="left"/>
            </w:pPr>
            <w:r>
              <w:rPr>
                <w:sz w:val="18"/>
              </w:rPr>
              <w:t xml:space="preserve">5</w:t>
            </w:r>
          </w:p>
        </w:tc>
        <w:tc>
          <w:tcPr>
            <w:tcW w:type="dxa" w:w="4048"/>
          </w:tcPr>
          <w:p>
            <w:pPr>
              <w:pStyle w:val="Compact"/>
              <w:keepNext w:val="0"/>
              <w:spacing w:after="60" w:before="60" w:line="264" w:lineRule="auto"/>
              <w:jc w:val="left"/>
            </w:pPr>
            <w:r>
              <w:rPr>
                <w:sz w:val="18"/>
              </w:rPr>
              <w:t xml:space="preserve">选定一个可取得完整历史数据的试点场景</w:t>
            </w:r>
          </w:p>
        </w:tc>
        <w:tc>
          <w:tcPr>
            <w:tcW w:type="dxa" w:w="3470"/>
          </w:tcPr>
          <w:p>
            <w:pPr>
              <w:pStyle w:val="Compact"/>
              <w:keepNext w:val="0"/>
              <w:spacing w:after="60" w:before="60" w:line="264" w:lineRule="auto"/>
              <w:jc w:val="left"/>
            </w:pPr>
            <w:r>
              <w:rPr>
                <w:sz w:val="18"/>
              </w:rPr>
              <w:t xml:space="preserve">场景卡、数据授权范围与目标依据</w:t>
            </w:r>
          </w:p>
        </w:tc>
      </w:tr>
      <w:tr>
        <w:trPr>
          <w:cantSplit/>
        </w:trPr>
        <w:tc>
          <w:tcPr>
            <w:tcW w:type="dxa" w:w="2120"/>
          </w:tcPr>
          <w:p>
            <w:pPr>
              <w:pStyle w:val="Compact"/>
              <w:keepNext w:val="0"/>
              <w:spacing w:after="60" w:before="60" w:line="264" w:lineRule="auto"/>
              <w:jc w:val="left"/>
            </w:pPr>
            <w:r>
              <w:rPr>
                <w:sz w:val="18"/>
              </w:rPr>
              <w:t xml:space="preserve">6</w:t>
            </w:r>
          </w:p>
        </w:tc>
        <w:tc>
          <w:tcPr>
            <w:tcW w:type="dxa" w:w="4048"/>
          </w:tcPr>
          <w:p>
            <w:pPr>
              <w:pStyle w:val="Compact"/>
              <w:keepNext w:val="0"/>
              <w:spacing w:after="60" w:before="60" w:line="264" w:lineRule="auto"/>
              <w:jc w:val="left"/>
            </w:pPr>
            <w:r>
              <w:rPr>
                <w:sz w:val="18"/>
              </w:rPr>
              <w:t xml:space="preserve">定义主体可得背景及实际拟提供集合</w:t>
            </w:r>
          </w:p>
        </w:tc>
        <w:tc>
          <w:tcPr>
            <w:tcW w:type="dxa" w:w="3470"/>
          </w:tcPr>
          <w:p>
            <w:pPr>
              <w:pStyle w:val="Compact"/>
              <w:keepNext w:val="0"/>
              <w:spacing w:after="60" w:before="60" w:line="264" w:lineRule="auto"/>
              <w:jc w:val="left"/>
            </w:pPr>
            <w:r>
              <w:rPr>
                <w:sz w:val="18"/>
              </w:rPr>
              <w:t xml:space="preserve">可得性证据、时点和历史累积清单</w:t>
            </w:r>
          </w:p>
        </w:tc>
      </w:tr>
      <w:tr>
        <w:trPr>
          <w:cantSplit/>
        </w:trPr>
        <w:tc>
          <w:tcPr>
            <w:tcW w:type="dxa" w:w="2120"/>
          </w:tcPr>
          <w:p>
            <w:pPr>
              <w:pStyle w:val="Compact"/>
              <w:keepNext w:val="0"/>
              <w:spacing w:after="60" w:before="60" w:line="264" w:lineRule="auto"/>
              <w:jc w:val="left"/>
            </w:pPr>
            <w:r>
              <w:rPr>
                <w:sz w:val="18"/>
              </w:rPr>
              <w:t xml:space="preserve">7</w:t>
            </w:r>
          </w:p>
        </w:tc>
        <w:tc>
          <w:tcPr>
            <w:tcW w:type="dxa" w:w="4048"/>
          </w:tcPr>
          <w:p>
            <w:pPr>
              <w:pStyle w:val="Compact"/>
              <w:keepNext w:val="0"/>
              <w:spacing w:after="60" w:before="60" w:line="264" w:lineRule="auto"/>
              <w:jc w:val="left"/>
            </w:pPr>
            <w:r>
              <w:rPr>
                <w:sz w:val="18"/>
              </w:rPr>
              <w:t xml:space="preserve">完成规则基线、关联筛查与组合分析对比</w:t>
            </w:r>
          </w:p>
        </w:tc>
        <w:tc>
          <w:tcPr>
            <w:tcW w:type="dxa" w:w="3470"/>
          </w:tcPr>
          <w:p>
            <w:pPr>
              <w:pStyle w:val="Compact"/>
              <w:keepNext w:val="0"/>
              <w:spacing w:after="60" w:before="60" w:line="264" w:lineRule="auto"/>
              <w:jc w:val="left"/>
            </w:pPr>
            <w:r>
              <w:rPr>
                <w:sz w:val="18"/>
              </w:rPr>
              <w:t xml:space="preserve">已验证范围的检出/漏检及复核成本</w:t>
            </w:r>
          </w:p>
        </w:tc>
      </w:tr>
      <w:tr>
        <w:trPr>
          <w:cantSplit/>
        </w:trPr>
        <w:tc>
          <w:tcPr>
            <w:tcW w:type="dxa" w:w="2120"/>
          </w:tcPr>
          <w:p>
            <w:pPr>
              <w:pStyle w:val="Compact"/>
              <w:keepNext w:val="0"/>
              <w:spacing w:after="60" w:before="60" w:line="264" w:lineRule="auto"/>
              <w:jc w:val="left"/>
            </w:pPr>
            <w:r>
              <w:rPr>
                <w:sz w:val="18"/>
              </w:rPr>
              <w:t xml:space="preserve">8</w:t>
            </w:r>
          </w:p>
        </w:tc>
        <w:tc>
          <w:tcPr>
            <w:tcW w:type="dxa" w:w="4048"/>
          </w:tcPr>
          <w:p>
            <w:pPr>
              <w:pStyle w:val="Compact"/>
              <w:keepNext w:val="0"/>
              <w:spacing w:after="60" w:before="60" w:line="264" w:lineRule="auto"/>
              <w:jc w:val="left"/>
            </w:pPr>
            <w:r>
              <w:rPr>
                <w:sz w:val="18"/>
              </w:rPr>
              <w:t xml:space="preserve">对候选保护方案作实际效果比较</w:t>
            </w:r>
          </w:p>
        </w:tc>
        <w:tc>
          <w:tcPr>
            <w:tcW w:type="dxa" w:w="3470"/>
          </w:tcPr>
          <w:p>
            <w:pPr>
              <w:pStyle w:val="Compact"/>
              <w:keepNext w:val="0"/>
              <w:spacing w:after="60" w:before="60" w:line="264" w:lineRule="auto"/>
              <w:jc w:val="left"/>
            </w:pPr>
            <w:r>
              <w:rPr>
                <w:sz w:val="18"/>
              </w:rPr>
              <w:t xml:space="preserve">措施前后暴露、业务效用和规则满足情况</w:t>
            </w:r>
          </w:p>
        </w:tc>
      </w:tr>
      <w:tr>
        <w:trPr>
          <w:cantSplit/>
        </w:trPr>
        <w:tc>
          <w:tcPr>
            <w:tcW w:type="dxa" w:w="2120"/>
          </w:tcPr>
          <w:p>
            <w:pPr>
              <w:pStyle w:val="Compact"/>
              <w:keepNext w:val="0"/>
              <w:spacing w:after="60" w:before="60" w:line="264" w:lineRule="auto"/>
              <w:jc w:val="left"/>
            </w:pPr>
            <w:r>
              <w:rPr>
                <w:sz w:val="18"/>
              </w:rPr>
              <w:t xml:space="preserve">9</w:t>
            </w:r>
          </w:p>
        </w:tc>
        <w:tc>
          <w:tcPr>
            <w:tcW w:type="dxa" w:w="4048"/>
          </w:tcPr>
          <w:p>
            <w:pPr>
              <w:pStyle w:val="Compact"/>
              <w:keepNext w:val="0"/>
              <w:spacing w:after="60" w:before="60" w:line="264" w:lineRule="auto"/>
              <w:jc w:val="left"/>
            </w:pPr>
            <w:r>
              <w:rPr>
                <w:sz w:val="18"/>
              </w:rPr>
              <w:t xml:space="preserve">联通复核、审批、目录与策略执行</w:t>
            </w:r>
          </w:p>
        </w:tc>
        <w:tc>
          <w:tcPr>
            <w:tcW w:type="dxa" w:w="3470"/>
          </w:tcPr>
          <w:p>
            <w:pPr>
              <w:pStyle w:val="Compact"/>
              <w:keepNext w:val="0"/>
              <w:spacing w:after="60" w:before="60" w:line="264" w:lineRule="auto"/>
              <w:jc w:val="left"/>
            </w:pPr>
            <w:r>
              <w:rPr>
                <w:sz w:val="18"/>
              </w:rPr>
              <w:t xml:space="preserve">变更记录、责任人和同步验证</w:t>
            </w:r>
          </w:p>
        </w:tc>
      </w:tr>
      <w:tr>
        <w:trPr>
          <w:cantSplit/>
        </w:trPr>
        <w:tc>
          <w:tcPr>
            <w:tcW w:type="dxa" w:w="2120"/>
          </w:tcPr>
          <w:p>
            <w:pPr>
              <w:pStyle w:val="Compact"/>
              <w:keepNext w:val="0"/>
              <w:spacing w:after="60" w:before="60" w:line="264" w:lineRule="auto"/>
              <w:jc w:val="left"/>
            </w:pPr>
            <w:r>
              <w:rPr>
                <w:sz w:val="18"/>
              </w:rPr>
              <w:t xml:space="preserve">10</w:t>
            </w:r>
          </w:p>
        </w:tc>
        <w:tc>
          <w:tcPr>
            <w:tcW w:type="dxa" w:w="4048"/>
          </w:tcPr>
          <w:p>
            <w:pPr>
              <w:pStyle w:val="Compact"/>
              <w:keepNext w:val="0"/>
              <w:spacing w:after="60" w:before="60" w:line="264" w:lineRule="auto"/>
              <w:jc w:val="left"/>
            </w:pPr>
            <w:r>
              <w:rPr>
                <w:sz w:val="18"/>
              </w:rPr>
              <w:t xml:space="preserve">以更新事件触发复评，并形成评估附件</w:t>
            </w:r>
          </w:p>
        </w:tc>
        <w:tc>
          <w:tcPr>
            <w:tcW w:type="dxa" w:w="3470"/>
          </w:tcPr>
          <w:p>
            <w:pPr>
              <w:pStyle w:val="Compact"/>
              <w:keepNext w:val="0"/>
              <w:spacing w:after="60" w:before="60" w:line="264" w:lineRule="auto"/>
              <w:jc w:val="left"/>
            </w:pPr>
            <w:r>
              <w:rPr>
                <w:sz w:val="18"/>
              </w:rPr>
              <w:t xml:space="preserve">第 382 等检查项的证据与整改闭环</w:t>
            </w:r>
          </w:p>
        </w:tc>
      </w:tr>
    </w:tbl>
    <w:p>
      <w:pPr>
        <w:pStyle w:val="Heading2"/>
      </w:pPr>
      <w:bookmarkStart w:id="117" w:name="需要在项目对接中补齐的信息"/>
      <w:r>
        <w:t xml:space="preserve">6. 需要在项目对接中补齐的信息</w:t>
      </w:r>
      <w:bookmarkEnd w:id="117"/>
    </w:p>
    <w:p>
      <w:pPr>
        <w:pStyle w:val="FirstParagraph"/>
      </w:pPr>
      <w:r>
        <w:t xml:space="preserve">以下是后续实施依赖，本次文档梳理不以取得这些答案为前提：</w:t>
      </w:r>
    </w:p>
    <w:p>
      <w:pPr>
        <w:pStyle w:val="Compact"/>
        <w:numPr>
          <w:numId w:val="1009"/>
          <w:ilvl w:val="0"/>
        </w:numPr>
      </w:pPr>
      <w:r>
        <w:t xml:space="preserve">征求意见稿/审议稿的正式定稿版本、实际生效依据，以及示例冲突的解释口径。</w:t>
      </w:r>
    </w:p>
    <w:p>
      <w:pPr>
        <w:pStyle w:val="Compact"/>
        <w:numPr>
          <w:numId w:val="1009"/>
          <w:ilvl w:val="0"/>
        </w:numPr>
      </w:pPr>
      <w:r>
        <w:t xml:space="preserve">最新企业级业务架构、已审批分类分级清单及重要/核心数据目录。</w:t>
      </w:r>
    </w:p>
    <w:p>
      <w:pPr>
        <w:pStyle w:val="Compact"/>
        <w:numPr>
          <w:numId w:val="1009"/>
          <w:ilvl w:val="0"/>
        </w:numPr>
      </w:pPr>
      <w:r>
        <w:t xml:space="preserve">试点资源的真实字段、规模、粒度、完整历史数据与合法使用范围。</w:t>
      </w:r>
    </w:p>
    <w:p>
      <w:pPr>
        <w:pStyle w:val="Compact"/>
        <w:numPr>
          <w:numId w:val="1009"/>
          <w:ilvl w:val="0"/>
        </w:numPr>
      </w:pPr>
      <w:r>
        <w:t xml:space="preserve">拟接收主体、已获得历史数据、真实披露时刻及跨平台可得信息。</w:t>
      </w:r>
    </w:p>
    <w:p>
      <w:pPr>
        <w:pStyle w:val="Compact"/>
        <w:numPr>
          <w:numId w:val="1009"/>
          <w:ilvl w:val="0"/>
        </w:numPr>
      </w:pPr>
      <w:r>
        <w:t xml:space="preserve">受保护目标及影响依据、允许的处理措施、不可改变的披露要求。</w:t>
      </w:r>
    </w:p>
    <w:p>
      <w:pPr>
        <w:pStyle w:val="Compact"/>
        <w:numPr>
          <w:numId w:val="1009"/>
          <w:ilvl w:val="0"/>
        </w:numPr>
      </w:pPr>
      <w:r>
        <w:t xml:space="preserve">负责规则审校、等级审批、授权审查、策略执行和风险报告的具体岗位。</w:t>
      </w:r>
    </w:p>
    <w:p>
      <w:pPr>
        <w:pStyle w:val="Heading2"/>
      </w:pPr>
      <w:bookmarkStart w:id="118" w:name="本次已完成与尚未完成"/>
      <w:r>
        <w:t xml:space="preserve">7. 本次已完成与尚未完成</w:t>
      </w:r>
      <w:bookmarkEnd w:id="118"/>
    </w:p>
    <w:p>
      <w:pPr>
        <w:pStyle w:val="FirstParagraph"/>
      </w:pPr>
      <w:r>
        <w:rPr>
          <w:b/>
        </w:rPr>
        <w:t xml:space="preserve">已完成</w:t>
      </w:r>
      <w:r>
        <w:t xml:space="preserve">：指定论文章节梳理；9 份南网文件解读；目录逐项提取与统计；关键制度对照；近期研究接入定位；完整体系方案、汇报主线及四张表的可编辑模板。</w:t>
      </w:r>
    </w:p>
    <w:p>
      <w:pPr>
        <w:pStyle w:val="BodyText"/>
      </w:pPr>
      <w:r>
        <w:rPr>
          <w:b/>
        </w:rPr>
        <w:t xml:space="preserve">尚未实施</w:t>
      </w:r>
      <w:r>
        <w:t xml:space="preserve">：南网真实数据上的风险实验、正式分级认定、产品开放授权和生产策略执行。后续验证应从试点场景进入，不需要先改写全部研究代码。</w:t>
      </w:r>
    </w:p>
    <w:p>
      <w:pPr>
        <w:pStyle w:val="Heading1"/>
        <w:pageBreakBefore/>
      </w:pPr>
      <w:bookmarkStart w:id="119" w:name="附录四来源索引与核对口径"/>
      <w:r>
        <w:t xml:space="preserve">附录四：来源索引与核对口径</w:t>
      </w:r>
      <w:bookmarkEnd w:id="119"/>
    </w:p>
    <w:p>
      <w:pPr>
        <w:pStyle w:val="FirstParagraph"/>
      </w:pPr>
      <w:r>
        <w:t xml:space="preserve">原始文件均保留，压缩包只在本地解压。以下链接可回到原文及按段落/表格/页码提取的工作文本。正文中的 S、R、W 编号分别指提供材料、近期研究和公开核对来源。</w:t>
      </w:r>
    </w:p>
    <w:p>
      <w:pPr>
        <w:pStyle w:val="Heading2"/>
      </w:pPr>
      <w:bookmarkStart w:id="120" w:name="用户提供材料"/>
      <w:r>
        <w:t xml:space="preserve">1. 用户提供材料</w:t>
      </w:r>
      <w:bookmarkEnd w:id="120"/>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编号</w:t>
            </w:r>
          </w:p>
        </w:tc>
        <w:tc>
          <w:tcPr>
            <w:tcW w:type="dxa" w:w="4048"/>
            <w:shd w:fill="E8F0F5"/>
          </w:tcPr>
          <w:p>
            <w:pPr>
              <w:pStyle w:val="Compact"/>
              <w:keepNext w:val="0"/>
              <w:spacing w:after="60" w:before="60" w:line="264" w:lineRule="auto"/>
              <w:jc w:val="left"/>
            </w:pPr>
            <w:r>
              <w:rPr>
                <w:sz w:val="18"/>
              </w:rPr>
              <w:t xml:space="preserve">原文</w:t>
            </w:r>
          </w:p>
        </w:tc>
        <w:tc>
          <w:tcPr>
            <w:tcW w:type="dxa" w:w="3470"/>
            <w:shd w:fill="E8F0F5"/>
          </w:tcPr>
          <w:p>
            <w:pPr>
              <w:pStyle w:val="Compact"/>
              <w:keepNext w:val="0"/>
              <w:spacing w:after="60" w:before="60" w:line="264" w:lineRule="auto"/>
              <w:jc w:val="left"/>
            </w:pPr>
            <w:r>
              <w:rPr>
                <w:sz w:val="18"/>
              </w:rPr>
              <w:t xml:space="preserve">提取文本</w:t>
            </w:r>
          </w:p>
        </w:tc>
      </w:tr>
      <w:tr>
        <w:trPr>
          <w:cantSplit/>
        </w:trPr>
        <w:tc>
          <w:tcPr>
            <w:tcW w:type="dxa" w:w="2120"/>
          </w:tcPr>
          <w:p>
            <w:pPr>
              <w:pStyle w:val="Compact"/>
              <w:keepNext w:val="0"/>
              <w:spacing w:after="60" w:before="60" w:line="264" w:lineRule="auto"/>
              <w:jc w:val="left"/>
            </w:pPr>
            <w:r>
              <w:rPr>
                <w:sz w:val="18"/>
              </w:rPr>
              <w:t xml:space="preserve">S01</w:t>
            </w:r>
          </w:p>
        </w:tc>
        <w:tc>
          <w:tcPr>
            <w:tcW w:type="dxa" w:w="4048"/>
          </w:tcPr>
          <w:p>
            <w:pPr>
              <w:pStyle w:val="Compact"/>
              <w:keepNext w:val="0"/>
              <w:spacing w:after="60" w:before="60" w:line="264" w:lineRule="auto"/>
              <w:jc w:val="left"/>
            </w:pPr>
            <w:hyperlink r:id="rId121">
              <w:r>
                <w:rPr>
                  <w:rStyle w:val="Hyperlink"/>
                </w:rPr>
                <w:t xml:space="preserve">邢之熠_毕业论文.docx</w:t>
              </w:r>
            </w:hyperlink>
          </w:p>
        </w:tc>
        <w:tc>
          <w:tcPr>
            <w:tcW w:type="dxa" w:w="3470"/>
          </w:tcPr>
          <w:p>
            <w:pPr>
              <w:pStyle w:val="Compact"/>
              <w:keepNext w:val="0"/>
              <w:spacing w:after="60" w:before="60" w:line="264" w:lineRule="auto"/>
              <w:jc w:val="left"/>
            </w:pPr>
            <w:hyperlink r:id="rId122">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S02</w:t>
            </w:r>
          </w:p>
        </w:tc>
        <w:tc>
          <w:tcPr>
            <w:tcW w:type="dxa" w:w="4048"/>
          </w:tcPr>
          <w:p>
            <w:pPr>
              <w:pStyle w:val="Compact"/>
              <w:keepNext w:val="0"/>
              <w:spacing w:after="60" w:before="60" w:line="264" w:lineRule="auto"/>
              <w:jc w:val="left"/>
            </w:pPr>
            <w:hyperlink r:id="rId123">
              <w:r>
                <w:rPr>
                  <w:rStyle w:val="Hyperlink"/>
                </w:rPr>
                <w:t xml:space="preserve">【附件1】 数据分类分级工作手册（征求意见版）-2026-07-27.docx</w:t>
              </w:r>
            </w:hyperlink>
          </w:p>
        </w:tc>
        <w:tc>
          <w:tcPr>
            <w:tcW w:type="dxa" w:w="3470"/>
          </w:tcPr>
          <w:p>
            <w:pPr>
              <w:pStyle w:val="Compact"/>
              <w:keepNext w:val="0"/>
              <w:spacing w:after="60" w:before="60" w:line="264" w:lineRule="auto"/>
              <w:jc w:val="left"/>
            </w:pPr>
            <w:hyperlink r:id="rId124">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S03</w:t>
            </w:r>
          </w:p>
        </w:tc>
        <w:tc>
          <w:tcPr>
            <w:tcW w:type="dxa" w:w="4048"/>
          </w:tcPr>
          <w:p>
            <w:pPr>
              <w:pStyle w:val="Compact"/>
              <w:keepNext w:val="0"/>
              <w:spacing w:after="60" w:before="60" w:line="264" w:lineRule="auto"/>
              <w:jc w:val="left"/>
            </w:pPr>
            <w:hyperlink r:id="rId125">
              <w:r>
                <w:rPr>
                  <w:rStyle w:val="Hyperlink"/>
                </w:rPr>
                <w:t xml:space="preserve">【附件2】 数据安全风险评估工作手册（2026年修订版）-2026-07-27.docx</w:t>
              </w:r>
            </w:hyperlink>
          </w:p>
        </w:tc>
        <w:tc>
          <w:tcPr>
            <w:tcW w:type="dxa" w:w="3470"/>
          </w:tcPr>
          <w:p>
            <w:pPr>
              <w:pStyle w:val="Compact"/>
              <w:keepNext w:val="0"/>
              <w:spacing w:after="60" w:before="60" w:line="264" w:lineRule="auto"/>
              <w:jc w:val="left"/>
            </w:pPr>
            <w:hyperlink r:id="rId126">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S04</w:t>
            </w:r>
          </w:p>
        </w:tc>
        <w:tc>
          <w:tcPr>
            <w:tcW w:type="dxa" w:w="4048"/>
          </w:tcPr>
          <w:p>
            <w:pPr>
              <w:pStyle w:val="Compact"/>
              <w:keepNext w:val="0"/>
              <w:spacing w:after="60" w:before="60" w:line="264" w:lineRule="auto"/>
              <w:jc w:val="left"/>
            </w:pPr>
            <w:hyperlink r:id="rId127">
              <w:r>
                <w:rPr>
                  <w:rStyle w:val="Hyperlink"/>
                </w:rPr>
                <w:t xml:space="preserve">【收文处理单】S〔2025〕1919号 关于征求《南方电网公司数据开放目录（第二批）（征求意见稿）》意见的通知-2026-01-07.docx</w:t>
              </w:r>
            </w:hyperlink>
          </w:p>
        </w:tc>
        <w:tc>
          <w:tcPr>
            <w:tcW w:type="dxa" w:w="3470"/>
          </w:tcPr>
          <w:p>
            <w:pPr>
              <w:pStyle w:val="Compact"/>
              <w:keepNext w:val="0"/>
              <w:spacing w:after="60" w:before="60" w:line="264" w:lineRule="auto"/>
              <w:jc w:val="left"/>
            </w:pPr>
            <w:hyperlink r:id="rId128">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S05</w:t>
            </w:r>
          </w:p>
        </w:tc>
        <w:tc>
          <w:tcPr>
            <w:tcW w:type="dxa" w:w="4048"/>
          </w:tcPr>
          <w:p>
            <w:pPr>
              <w:pStyle w:val="Compact"/>
              <w:keepNext w:val="0"/>
              <w:spacing w:after="60" w:before="60" w:line="264" w:lineRule="auto"/>
              <w:jc w:val="left"/>
            </w:pPr>
            <w:hyperlink r:id="rId129">
              <w:r>
                <w:rPr>
                  <w:rStyle w:val="Hyperlink"/>
                </w:rPr>
                <w:t xml:space="preserve">【正文】S〔2025〕1919号 关于征求《南方电网公司数据开放目录（第二批）（征求意见稿）》意见的通知-2025-11-26.pdf</w:t>
              </w:r>
            </w:hyperlink>
          </w:p>
        </w:tc>
        <w:tc>
          <w:tcPr>
            <w:tcW w:type="dxa" w:w="3470"/>
          </w:tcPr>
          <w:p>
            <w:pPr>
              <w:pStyle w:val="Compact"/>
              <w:keepNext w:val="0"/>
              <w:spacing w:after="60" w:before="60" w:line="264" w:lineRule="auto"/>
              <w:jc w:val="left"/>
            </w:pPr>
            <w:hyperlink r:id="rId130">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S06</w:t>
            </w:r>
          </w:p>
        </w:tc>
        <w:tc>
          <w:tcPr>
            <w:tcW w:type="dxa" w:w="4048"/>
          </w:tcPr>
          <w:p>
            <w:pPr>
              <w:pStyle w:val="Compact"/>
              <w:keepNext w:val="0"/>
              <w:spacing w:after="60" w:before="60" w:line="264" w:lineRule="auto"/>
              <w:jc w:val="left"/>
            </w:pPr>
            <w:hyperlink r:id="rId131">
              <w:r>
                <w:rPr>
                  <w:rStyle w:val="Hyperlink"/>
                </w:rPr>
                <w:t xml:space="preserve">【附件1】S〔2025〕1919号 附件1：南方电网公司数据开放目录（第二批）（征求意见稿）-2025-11-26.xlsx</w:t>
              </w:r>
            </w:hyperlink>
          </w:p>
        </w:tc>
        <w:tc>
          <w:tcPr>
            <w:tcW w:type="dxa" w:w="3470"/>
          </w:tcPr>
          <w:p>
            <w:pPr>
              <w:pStyle w:val="Compact"/>
              <w:keepNext w:val="0"/>
              <w:spacing w:after="60" w:before="60" w:line="264" w:lineRule="auto"/>
              <w:jc w:val="left"/>
            </w:pPr>
            <w:hyperlink r:id="rId132">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S07</w:t>
            </w:r>
          </w:p>
        </w:tc>
        <w:tc>
          <w:tcPr>
            <w:tcW w:type="dxa" w:w="4048"/>
          </w:tcPr>
          <w:p>
            <w:pPr>
              <w:pStyle w:val="Compact"/>
              <w:keepNext w:val="0"/>
              <w:spacing w:after="60" w:before="60" w:line="264" w:lineRule="auto"/>
              <w:jc w:val="left"/>
            </w:pPr>
            <w:hyperlink r:id="rId133">
              <w:r>
                <w:rPr>
                  <w:rStyle w:val="Hyperlink"/>
                </w:rPr>
                <w:t xml:space="preserve">【附件2】S〔2025〕1919号 附件2：南方电网公司数据开放目录说明-2025-11-26.docx</w:t>
              </w:r>
            </w:hyperlink>
          </w:p>
        </w:tc>
        <w:tc>
          <w:tcPr>
            <w:tcW w:type="dxa" w:w="3470"/>
          </w:tcPr>
          <w:p>
            <w:pPr>
              <w:pStyle w:val="Compact"/>
              <w:keepNext w:val="0"/>
              <w:spacing w:after="60" w:before="60" w:line="264" w:lineRule="auto"/>
              <w:jc w:val="left"/>
            </w:pPr>
            <w:hyperlink r:id="rId134">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S08</w:t>
            </w:r>
          </w:p>
        </w:tc>
        <w:tc>
          <w:tcPr>
            <w:tcW w:type="dxa" w:w="4048"/>
          </w:tcPr>
          <w:p>
            <w:pPr>
              <w:pStyle w:val="Compact"/>
              <w:keepNext w:val="0"/>
              <w:spacing w:after="60" w:before="60" w:line="264" w:lineRule="auto"/>
              <w:jc w:val="left"/>
            </w:pPr>
            <w:hyperlink r:id="rId135">
              <w:r>
                <w:rPr>
                  <w:rStyle w:val="Hyperlink"/>
                </w:rPr>
                <w:t xml:space="preserve">【附件3】S〔2025〕1919号 附件3：南方电网公司数据开放目录（第二批）意见反馈表-2025-11-26.xlsx</w:t>
              </w:r>
            </w:hyperlink>
          </w:p>
        </w:tc>
        <w:tc>
          <w:tcPr>
            <w:tcW w:type="dxa" w:w="3470"/>
          </w:tcPr>
          <w:p>
            <w:pPr>
              <w:pStyle w:val="Compact"/>
              <w:keepNext w:val="0"/>
              <w:spacing w:after="60" w:before="60" w:line="264" w:lineRule="auto"/>
              <w:jc w:val="left"/>
            </w:pPr>
            <w:hyperlink r:id="rId136">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S09</w:t>
            </w:r>
          </w:p>
        </w:tc>
        <w:tc>
          <w:tcPr>
            <w:tcW w:type="dxa" w:w="4048"/>
          </w:tcPr>
          <w:p>
            <w:pPr>
              <w:pStyle w:val="Compact"/>
              <w:keepNext w:val="0"/>
              <w:spacing w:after="60" w:before="60" w:line="264" w:lineRule="auto"/>
              <w:jc w:val="left"/>
            </w:pPr>
            <w:hyperlink r:id="rId137">
              <w:r>
                <w:rPr>
                  <w:rStyle w:val="Hyperlink"/>
                </w:rPr>
                <w:t xml:space="preserve">附件1-5：南方区域电力市场注册实施细则（2026年V1.0版）（审议稿）.pdf</w:t>
              </w:r>
            </w:hyperlink>
          </w:p>
        </w:tc>
        <w:tc>
          <w:tcPr>
            <w:tcW w:type="dxa" w:w="3470"/>
          </w:tcPr>
          <w:p>
            <w:pPr>
              <w:pStyle w:val="Compact"/>
              <w:keepNext w:val="0"/>
              <w:spacing w:after="60" w:before="60" w:line="264" w:lineRule="auto"/>
              <w:jc w:val="left"/>
            </w:pPr>
            <w:hyperlink r:id="rId138">
              <w:r>
                <w:rPr>
                  <w:rStyle w:val="Hyperlink"/>
                </w:rPr>
                <w:t xml:space="preserve">本地提取</w:t>
              </w:r>
            </w:hyperlink>
          </w:p>
        </w:tc>
      </w:tr>
      <w:tr>
        <w:trPr>
          <w:cantSplit/>
        </w:trPr>
        <w:tc>
          <w:tcPr>
            <w:tcW w:type="dxa" w:w="2120"/>
          </w:tcPr>
          <w:p>
            <w:pPr>
              <w:pStyle w:val="Compact"/>
              <w:keepNext w:val="0"/>
              <w:spacing w:after="60" w:before="60" w:line="264" w:lineRule="auto"/>
              <w:jc w:val="left"/>
            </w:pPr>
            <w:r>
              <w:rPr>
                <w:sz w:val="18"/>
              </w:rPr>
              <w:t xml:space="preserve">S10</w:t>
            </w:r>
          </w:p>
        </w:tc>
        <w:tc>
          <w:tcPr>
            <w:tcW w:type="dxa" w:w="4048"/>
          </w:tcPr>
          <w:p>
            <w:pPr>
              <w:pStyle w:val="Compact"/>
              <w:keepNext w:val="0"/>
              <w:spacing w:after="60" w:before="60" w:line="264" w:lineRule="auto"/>
              <w:jc w:val="left"/>
            </w:pPr>
            <w:hyperlink r:id="rId139">
              <w:r>
                <w:rPr>
                  <w:rStyle w:val="Hyperlink"/>
                </w:rPr>
                <w:t xml:space="preserve">附件1-6：南方区域电力市场信息披露实施细则（2026年V1.0版）(审议稿).pdf</w:t>
              </w:r>
            </w:hyperlink>
          </w:p>
        </w:tc>
        <w:tc>
          <w:tcPr>
            <w:tcW w:type="dxa" w:w="3470"/>
          </w:tcPr>
          <w:p>
            <w:pPr>
              <w:pStyle w:val="Compact"/>
              <w:keepNext w:val="0"/>
              <w:spacing w:after="60" w:before="60" w:line="264" w:lineRule="auto"/>
              <w:jc w:val="left"/>
            </w:pPr>
            <w:hyperlink r:id="rId140">
              <w:r>
                <w:rPr>
                  <w:rStyle w:val="Hyperlink"/>
                </w:rPr>
                <w:t xml:space="preserve">本地提取</w:t>
              </w:r>
            </w:hyperlink>
          </w:p>
        </w:tc>
      </w:tr>
    </w:tbl>
    <w:p>
      <w:pPr>
        <w:pStyle w:val="Heading2"/>
      </w:pPr>
      <w:bookmarkStart w:id="141" w:name="近期研究"/>
      <w:r>
        <w:t xml:space="preserve">2. 近期研究</w:t>
      </w:r>
      <w:bookmarkEnd w:id="141"/>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编号</w:t>
            </w:r>
          </w:p>
        </w:tc>
        <w:tc>
          <w:tcPr>
            <w:tcW w:type="dxa" w:w="4048"/>
            <w:shd w:fill="E8F0F5"/>
          </w:tcPr>
          <w:p>
            <w:pPr>
              <w:pStyle w:val="Compact"/>
              <w:keepNext w:val="0"/>
              <w:spacing w:after="60" w:before="60" w:line="264" w:lineRule="auto"/>
              <w:jc w:val="left"/>
            </w:pPr>
            <w:r>
              <w:rPr>
                <w:sz w:val="18"/>
              </w:rPr>
              <w:t xml:space="preserve">本地文件</w:t>
            </w:r>
          </w:p>
        </w:tc>
        <w:tc>
          <w:tcPr>
            <w:tcW w:type="dxa" w:w="3470"/>
            <w:shd w:fill="E8F0F5"/>
          </w:tcPr>
          <w:p>
            <w:pPr>
              <w:pStyle w:val="Compact"/>
              <w:keepNext w:val="0"/>
              <w:spacing w:after="60" w:before="60" w:line="264" w:lineRule="auto"/>
              <w:jc w:val="left"/>
            </w:pPr>
            <w:r>
              <w:rPr>
                <w:sz w:val="18"/>
              </w:rPr>
              <w:t xml:space="preserve">核对说明</w:t>
            </w:r>
          </w:p>
        </w:tc>
      </w:tr>
      <w:tr>
        <w:trPr>
          <w:cantSplit/>
        </w:trPr>
        <w:tc>
          <w:tcPr>
            <w:tcW w:type="dxa" w:w="2120"/>
          </w:tcPr>
          <w:p>
            <w:pPr>
              <w:pStyle w:val="Compact"/>
              <w:keepNext w:val="0"/>
              <w:spacing w:after="60" w:before="60" w:line="264" w:lineRule="auto"/>
              <w:jc w:val="left"/>
            </w:pPr>
            <w:r>
              <w:rPr>
                <w:sz w:val="18"/>
              </w:rPr>
              <w:t xml:space="preserve">R01</w:t>
            </w:r>
          </w:p>
        </w:tc>
        <w:tc>
          <w:tcPr>
            <w:tcW w:type="dxa" w:w="4048"/>
          </w:tcPr>
          <w:p>
            <w:pPr>
              <w:pStyle w:val="Compact"/>
              <w:keepNext w:val="0"/>
              <w:spacing w:after="60" w:before="60" w:line="264" w:lineRule="auto"/>
              <w:jc w:val="left"/>
            </w:pPr>
            <w:hyperlink r:id="rId142">
              <w:r>
                <w:rPr>
                  <w:rStyle w:val="Hyperlink"/>
                </w:rPr>
                <w:t xml:space="preserve">近期 IEEE 研究稿：风险定义、估计器、结果与局限</w:t>
              </w:r>
            </w:hyperlink>
          </w:p>
        </w:tc>
        <w:tc>
          <w:tcPr>
            <w:tcW w:type="dxa" w:w="3470"/>
          </w:tcPr>
          <w:p>
            <w:pPr>
              <w:pStyle w:val="Compact"/>
              <w:keepNext w:val="0"/>
              <w:spacing w:after="60" w:before="60" w:line="264" w:lineRule="auto"/>
              <w:jc w:val="left"/>
            </w:pPr>
            <w:r>
              <w:rPr>
                <w:sz w:val="18"/>
              </w:rPr>
              <w:t xml:space="preserve">本次只读；不代表论文全部实验已重新运行</w:t>
            </w:r>
          </w:p>
        </w:tc>
      </w:tr>
      <w:tr>
        <w:trPr>
          <w:cantSplit/>
        </w:trPr>
        <w:tc>
          <w:tcPr>
            <w:tcW w:type="dxa" w:w="2120"/>
          </w:tcPr>
          <w:p>
            <w:pPr>
              <w:pStyle w:val="Compact"/>
              <w:keepNext w:val="0"/>
              <w:spacing w:after="60" w:before="60" w:line="264" w:lineRule="auto"/>
              <w:jc w:val="left"/>
            </w:pPr>
            <w:r>
              <w:rPr>
                <w:sz w:val="18"/>
              </w:rPr>
              <w:t xml:space="preserve">R02</w:t>
            </w:r>
          </w:p>
        </w:tc>
        <w:tc>
          <w:tcPr>
            <w:tcW w:type="dxa" w:w="4048"/>
          </w:tcPr>
          <w:p>
            <w:pPr>
              <w:pStyle w:val="Compact"/>
              <w:keepNext w:val="0"/>
              <w:spacing w:after="60" w:before="60" w:line="264" w:lineRule="auto"/>
              <w:jc w:val="left"/>
            </w:pPr>
            <w:hyperlink r:id="rId143">
              <w:r>
                <w:rPr>
                  <w:rStyle w:val="Hyperlink"/>
                </w:rPr>
                <w:t xml:space="preserve">V6 版本说明及验证边界</w:t>
              </w:r>
            </w:hyperlink>
          </w:p>
        </w:tc>
        <w:tc>
          <w:tcPr>
            <w:tcW w:type="dxa" w:w="3470"/>
          </w:tcPr>
          <w:p>
            <w:pPr>
              <w:pStyle w:val="Compact"/>
              <w:keepNext w:val="0"/>
              <w:spacing w:after="60" w:before="60" w:line="264" w:lineRule="auto"/>
              <w:jc w:val="left"/>
            </w:pPr>
            <w:r>
              <w:rPr>
                <w:sz w:val="18"/>
              </w:rPr>
              <w:t xml:space="preserve">本次只读；不代表论文全部实验已重新运行</w:t>
            </w:r>
          </w:p>
        </w:tc>
      </w:tr>
      <w:tr>
        <w:trPr>
          <w:cantSplit/>
        </w:trPr>
        <w:tc>
          <w:tcPr>
            <w:tcW w:type="dxa" w:w="2120"/>
          </w:tcPr>
          <w:p>
            <w:pPr>
              <w:pStyle w:val="Compact"/>
              <w:keepNext w:val="0"/>
              <w:spacing w:after="60" w:before="60" w:line="264" w:lineRule="auto"/>
              <w:jc w:val="left"/>
            </w:pPr>
            <w:r>
              <w:rPr>
                <w:sz w:val="18"/>
              </w:rPr>
              <w:t xml:space="preserve">R03</w:t>
            </w:r>
          </w:p>
        </w:tc>
        <w:tc>
          <w:tcPr>
            <w:tcW w:type="dxa" w:w="4048"/>
          </w:tcPr>
          <w:p>
            <w:pPr>
              <w:pStyle w:val="Compact"/>
              <w:keepNext w:val="0"/>
              <w:spacing w:after="60" w:before="60" w:line="264" w:lineRule="auto"/>
              <w:jc w:val="left"/>
            </w:pPr>
            <w:hyperlink r:id="rId144">
              <w:r>
                <w:rPr>
                  <w:rStyle w:val="Hyperlink"/>
                </w:rPr>
                <w:t xml:space="preserve">2026-09-25 论文主线重构与完善计划</w:t>
              </w:r>
            </w:hyperlink>
          </w:p>
        </w:tc>
        <w:tc>
          <w:tcPr>
            <w:tcW w:type="dxa" w:w="3470"/>
          </w:tcPr>
          <w:p>
            <w:pPr>
              <w:pStyle w:val="Compact"/>
              <w:keepNext w:val="0"/>
              <w:spacing w:after="60" w:before="60" w:line="264" w:lineRule="auto"/>
              <w:jc w:val="left"/>
            </w:pPr>
            <w:r>
              <w:rPr>
                <w:sz w:val="18"/>
              </w:rPr>
              <w:t xml:space="preserve">本次只读；不代表论文全部实验已重新运行</w:t>
            </w:r>
          </w:p>
        </w:tc>
      </w:tr>
      <w:tr>
        <w:trPr>
          <w:cantSplit/>
        </w:trPr>
        <w:tc>
          <w:tcPr>
            <w:tcW w:type="dxa" w:w="2120"/>
          </w:tcPr>
          <w:p>
            <w:pPr>
              <w:pStyle w:val="Compact"/>
              <w:keepNext w:val="0"/>
              <w:spacing w:after="60" w:before="60" w:line="264" w:lineRule="auto"/>
              <w:jc w:val="left"/>
            </w:pPr>
            <w:r>
              <w:rPr>
                <w:sz w:val="18"/>
              </w:rPr>
              <w:t xml:space="preserve">R04</w:t>
            </w:r>
          </w:p>
        </w:tc>
        <w:tc>
          <w:tcPr>
            <w:tcW w:type="dxa" w:w="4048"/>
          </w:tcPr>
          <w:p>
            <w:pPr>
              <w:pStyle w:val="Compact"/>
              <w:keepNext w:val="0"/>
              <w:spacing w:after="60" w:before="60" w:line="264" w:lineRule="auto"/>
              <w:jc w:val="left"/>
            </w:pPr>
            <w:hyperlink r:id="rId145">
              <w:r>
                <w:rPr>
                  <w:rStyle w:val="Hyperlink"/>
                </w:rPr>
                <w:t xml:space="preserve">早期冻结实验协议，仅用于辨认历史口径</w:t>
              </w:r>
            </w:hyperlink>
          </w:p>
        </w:tc>
        <w:tc>
          <w:tcPr>
            <w:tcW w:type="dxa" w:w="3470"/>
          </w:tcPr>
          <w:p>
            <w:pPr>
              <w:pStyle w:val="Compact"/>
              <w:keepNext w:val="0"/>
              <w:spacing w:after="60" w:before="60" w:line="264" w:lineRule="auto"/>
              <w:jc w:val="left"/>
            </w:pPr>
            <w:r>
              <w:rPr>
                <w:sz w:val="18"/>
              </w:rPr>
              <w:t xml:space="preserve">本次只读；不代表论文全部实验已重新运行</w:t>
            </w:r>
          </w:p>
        </w:tc>
      </w:tr>
    </w:tbl>
    <w:p>
      <w:pPr>
        <w:pStyle w:val="BodyText"/>
      </w:pPr>
      <w:r>
        <w:t xml:space="preserve">R01 的具体分文件：</w:t>
      </w:r>
      <w:r>
        <w:rPr>
          <w:rStyle w:val="VerbatimChar"/>
        </w:rPr>
        <w:t xml:space="preserve">sec_front.tex</w:t>
      </w:r>
      <w:r>
        <w:t xml:space="preserve"> </w:t>
      </w:r>
      <w:r>
        <w:t xml:space="preserve">为定义与方法，</w:t>
      </w:r>
      <w:r>
        <w:rPr>
          <w:rStyle w:val="VerbatimChar"/>
        </w:rPr>
        <w:t xml:space="preserve">sec_setup.tex</w:t>
      </w:r>
      <w:r>
        <w:t xml:space="preserve"> </w:t>
      </w:r>
      <w:r>
        <w:t xml:space="preserve">为数据口径，</w:t>
      </w:r>
      <w:r>
        <w:rPr>
          <w:rStyle w:val="VerbatimChar"/>
        </w:rPr>
        <w:t xml:space="preserve">sec_application.tex</w:t>
      </w:r>
      <w:r>
        <w:t xml:space="preserve"> </w:t>
      </w:r>
      <w:r>
        <w:t xml:space="preserve">为处置应用，</w:t>
      </w:r>
      <w:r>
        <w:rPr>
          <w:rStyle w:val="VerbatimChar"/>
        </w:rPr>
        <w:t xml:space="preserve">sec_discussion.tex</w:t>
      </w:r>
      <w:r>
        <w:t xml:space="preserve"> </w:t>
      </w:r>
      <w:r>
        <w:t xml:space="preserve">为边界，</w:t>
      </w:r>
      <w:r>
        <w:rPr>
          <w:rStyle w:val="VerbatimChar"/>
        </w:rPr>
        <w:t xml:space="preserve">tables/tab_risk.tex</w:t>
      </w:r>
      <w:r>
        <w:t xml:space="preserve"> </w:t>
      </w:r>
      <w:r>
        <w:t xml:space="preserve">为本文引用的组合风险结果。</w:t>
      </w:r>
    </w:p>
    <w:p>
      <w:pPr>
        <w:pStyle w:val="Heading2"/>
      </w:pPr>
      <w:bookmarkStart w:id="146" w:name="公开的正式来源核对"/>
      <w:r>
        <w:t xml:space="preserve">3. 公开的正式来源核对</w:t>
      </w:r>
      <w:bookmarkEnd w:id="146"/>
    </w:p>
    <w:tbl>
      <w:tblPr>
        <w:tblW w:type="dxa" w:w="9638"/>
        <w:tblLayout w:type="fixed"/>
        <w:tblLook w:firstColumn="1" w:firstRow="1" w:lastColumn="0" w:lastRow="0" w:noHBand="0" w:noVBand="1" w:val="04A0"/>
        <w:tblBorders>
          <w:top w:val="single" w:sz="4" w:color="CED9E2"/>
          <w:left w:val="single" w:sz="4" w:color="CED9E2"/>
          <w:bottom w:val="single" w:sz="4" w:color="CED9E2"/>
          <w:right w:val="single" w:sz="4" w:color="CED9E2"/>
          <w:insideH w:val="single" w:sz="4" w:color="CED9E2"/>
          <w:insideV w:val="single" w:sz="4" w:color="CED9E2"/>
        </w:tblBorders>
      </w:tblPr>
      <w:tblGrid>
        <w:gridCol w:w="2120"/>
        <w:gridCol w:w="4048"/>
        <w:gridCol w:w="3470"/>
      </w:tblGrid>
      <w:tr>
        <w:trPr>
          <w:cantSplit/>
          <w:tblHeader/>
        </w:trPr>
        <w:tc>
          <w:tcPr>
            <w:tcW w:type="dxa" w:w="2120"/>
            <w:shd w:fill="E8F0F5"/>
          </w:tcPr>
          <w:p>
            <w:pPr>
              <w:pStyle w:val="Compact"/>
              <w:keepNext w:val="0"/>
              <w:spacing w:after="60" w:before="60" w:line="264" w:lineRule="auto"/>
              <w:jc w:val="left"/>
            </w:pPr>
            <w:r>
              <w:rPr>
                <w:sz w:val="18"/>
              </w:rPr>
              <w:t xml:space="preserve">编号</w:t>
            </w:r>
          </w:p>
        </w:tc>
        <w:tc>
          <w:tcPr>
            <w:tcW w:type="dxa" w:w="4048"/>
            <w:shd w:fill="E8F0F5"/>
          </w:tcPr>
          <w:p>
            <w:pPr>
              <w:pStyle w:val="Compact"/>
              <w:keepNext w:val="0"/>
              <w:spacing w:after="60" w:before="60" w:line="264" w:lineRule="auto"/>
              <w:jc w:val="left"/>
            </w:pPr>
            <w:r>
              <w:rPr>
                <w:sz w:val="18"/>
              </w:rPr>
              <w:t xml:space="preserve">来源</w:t>
            </w:r>
          </w:p>
        </w:tc>
        <w:tc>
          <w:tcPr>
            <w:tcW w:type="dxa" w:w="3470"/>
            <w:shd w:fill="E8F0F5"/>
          </w:tcPr>
          <w:p>
            <w:pPr>
              <w:pStyle w:val="Compact"/>
              <w:keepNext w:val="0"/>
              <w:spacing w:after="60" w:before="60" w:line="264" w:lineRule="auto"/>
              <w:jc w:val="left"/>
            </w:pPr>
            <w:r>
              <w:rPr>
                <w:sz w:val="18"/>
              </w:rPr>
              <w:t xml:space="preserve">本次用途</w:t>
            </w:r>
          </w:p>
        </w:tc>
      </w:tr>
      <w:tr>
        <w:trPr>
          <w:cantSplit/>
        </w:trPr>
        <w:tc>
          <w:tcPr>
            <w:tcW w:type="dxa" w:w="2120"/>
          </w:tcPr>
          <w:p>
            <w:pPr>
              <w:pStyle w:val="Compact"/>
              <w:keepNext w:val="0"/>
              <w:spacing w:after="60" w:before="60" w:line="264" w:lineRule="auto"/>
              <w:jc w:val="left"/>
            </w:pPr>
            <w:r>
              <w:rPr>
                <w:sz w:val="18"/>
              </w:rPr>
              <w:t xml:space="preserve">W01</w:t>
            </w:r>
          </w:p>
        </w:tc>
        <w:tc>
          <w:tcPr>
            <w:tcW w:type="dxa" w:w="4048"/>
          </w:tcPr>
          <w:p>
            <w:pPr>
              <w:pStyle w:val="Compact"/>
              <w:keepNext w:val="0"/>
              <w:spacing w:after="60" w:before="60" w:line="264" w:lineRule="auto"/>
              <w:jc w:val="left"/>
            </w:pPr>
            <w:hyperlink r:id="rId29">
              <w:r>
                <w:rPr>
                  <w:rStyle w:val="Hyperlink"/>
                </w:rPr>
                <w:t xml:space="preserve">国家能源局：能源行业数据分类分级指南（2026年版）</w:t>
              </w:r>
            </w:hyperlink>
          </w:p>
        </w:tc>
        <w:tc>
          <w:tcPr>
            <w:tcW w:type="dxa" w:w="3470"/>
          </w:tcPr>
          <w:p>
            <w:pPr>
              <w:pStyle w:val="Compact"/>
              <w:keepNext w:val="0"/>
              <w:spacing w:after="60" w:before="60" w:line="264" w:lineRule="auto"/>
              <w:jc w:val="left"/>
            </w:pPr>
            <w:r>
              <w:rPr>
                <w:sz w:val="18"/>
              </w:rPr>
              <w:t xml:space="preserve">核对正式版本、生效日期、识别条件与衍生数据条款</w:t>
            </w:r>
          </w:p>
        </w:tc>
      </w:tr>
      <w:tr>
        <w:trPr>
          <w:cantSplit/>
        </w:trPr>
        <w:tc>
          <w:tcPr>
            <w:tcW w:type="dxa" w:w="2120"/>
          </w:tcPr>
          <w:p>
            <w:pPr>
              <w:pStyle w:val="Compact"/>
              <w:keepNext w:val="0"/>
              <w:spacing w:after="60" w:before="60" w:line="264" w:lineRule="auto"/>
              <w:jc w:val="left"/>
            </w:pPr>
            <w:r>
              <w:rPr>
                <w:sz w:val="18"/>
              </w:rPr>
              <w:t xml:space="preserve">W02</w:t>
            </w:r>
          </w:p>
        </w:tc>
        <w:tc>
          <w:tcPr>
            <w:tcW w:type="dxa" w:w="4048"/>
          </w:tcPr>
          <w:p>
            <w:pPr>
              <w:pStyle w:val="Compact"/>
              <w:keepNext w:val="0"/>
              <w:spacing w:after="60" w:before="60" w:line="264" w:lineRule="auto"/>
              <w:jc w:val="left"/>
            </w:pPr>
            <w:hyperlink r:id="rId105">
              <w:r>
                <w:rPr>
                  <w:rStyle w:val="Hyperlink"/>
                </w:rPr>
                <w:t xml:space="preserve">国家能源局：指南答记者问</w:t>
              </w:r>
            </w:hyperlink>
          </w:p>
        </w:tc>
        <w:tc>
          <w:tcPr>
            <w:tcW w:type="dxa" w:w="3470"/>
          </w:tcPr>
          <w:p>
            <w:pPr>
              <w:pStyle w:val="Compact"/>
              <w:keepNext w:val="0"/>
              <w:spacing w:after="60" w:before="60" w:line="264" w:lineRule="auto"/>
              <w:jc w:val="left"/>
            </w:pPr>
            <w:r>
              <w:rPr>
                <w:sz w:val="18"/>
              </w:rPr>
              <w:t xml:space="preserve">核对行业识别与其他保护义务之间的边界</w:t>
            </w:r>
          </w:p>
        </w:tc>
      </w:tr>
      <w:tr>
        <w:trPr>
          <w:cantSplit/>
        </w:trPr>
        <w:tc>
          <w:tcPr>
            <w:tcW w:type="dxa" w:w="2120"/>
          </w:tcPr>
          <w:p>
            <w:pPr>
              <w:pStyle w:val="Compact"/>
              <w:keepNext w:val="0"/>
              <w:spacing w:after="60" w:before="60" w:line="264" w:lineRule="auto"/>
              <w:jc w:val="left"/>
            </w:pPr>
            <w:r>
              <w:rPr>
                <w:sz w:val="18"/>
              </w:rPr>
              <w:t xml:space="preserve">W03</w:t>
            </w:r>
          </w:p>
        </w:tc>
        <w:tc>
          <w:tcPr>
            <w:tcW w:type="dxa" w:w="4048"/>
          </w:tcPr>
          <w:p>
            <w:pPr>
              <w:pStyle w:val="Compact"/>
              <w:keepNext w:val="0"/>
              <w:spacing w:after="60" w:before="60" w:line="264" w:lineRule="auto"/>
              <w:jc w:val="left"/>
            </w:pPr>
            <w:hyperlink r:id="rId106">
              <w:r>
                <w:rPr>
                  <w:rStyle w:val="Hyperlink"/>
                </w:rPr>
                <w:t xml:space="preserve">GB/T 43697-2024 官方标准信息</w:t>
              </w:r>
            </w:hyperlink>
          </w:p>
        </w:tc>
        <w:tc>
          <w:tcPr>
            <w:tcW w:type="dxa" w:w="3470"/>
          </w:tcPr>
          <w:p>
            <w:pPr>
              <w:pStyle w:val="Compact"/>
              <w:keepNext w:val="0"/>
              <w:spacing w:after="60" w:before="60" w:line="264" w:lineRule="auto"/>
              <w:jc w:val="left"/>
            </w:pPr>
            <w:r>
              <w:rPr>
                <w:sz w:val="18"/>
              </w:rPr>
              <w:t xml:space="preserve">仅核对标准名称、状态和实施日期</w:t>
            </w:r>
          </w:p>
        </w:tc>
      </w:tr>
      <w:tr>
        <w:trPr>
          <w:cantSplit/>
        </w:trPr>
        <w:tc>
          <w:tcPr>
            <w:tcW w:type="dxa" w:w="2120"/>
          </w:tcPr>
          <w:p>
            <w:pPr>
              <w:pStyle w:val="Compact"/>
              <w:keepNext w:val="0"/>
              <w:spacing w:after="60" w:before="60" w:line="264" w:lineRule="auto"/>
              <w:jc w:val="left"/>
            </w:pPr>
            <w:r>
              <w:rPr>
                <w:sz w:val="18"/>
              </w:rPr>
              <w:t xml:space="preserve">W04</w:t>
            </w:r>
          </w:p>
        </w:tc>
        <w:tc>
          <w:tcPr>
            <w:tcW w:type="dxa" w:w="4048"/>
          </w:tcPr>
          <w:p>
            <w:pPr>
              <w:pStyle w:val="Compact"/>
              <w:keepNext w:val="0"/>
              <w:spacing w:after="60" w:before="60" w:line="264" w:lineRule="auto"/>
              <w:jc w:val="left"/>
            </w:pPr>
            <w:hyperlink r:id="rId147">
              <w:r>
                <w:rPr>
                  <w:rStyle w:val="Hyperlink"/>
                </w:rPr>
                <w:t xml:space="preserve">国家能源局：电力市场信息披露基本规则发布通知</w:t>
              </w:r>
            </w:hyperlink>
          </w:p>
        </w:tc>
        <w:tc>
          <w:tcPr>
            <w:tcW w:type="dxa" w:w="3470"/>
          </w:tcPr>
          <w:p>
            <w:pPr>
              <w:pStyle w:val="Compact"/>
              <w:keepNext w:val="0"/>
              <w:spacing w:after="60" w:before="60" w:line="264" w:lineRule="auto"/>
              <w:jc w:val="left"/>
            </w:pPr>
            <w:r>
              <w:rPr>
                <w:sz w:val="18"/>
              </w:rPr>
              <w:t xml:space="preserve">核对国家层面的规则来源</w:t>
            </w:r>
          </w:p>
        </w:tc>
      </w:tr>
    </w:tbl>
    <w:p>
      <w:pPr>
        <w:pStyle w:val="BodyText"/>
      </w:pPr>
      <w:r>
        <w:t xml:space="preserve">公开来源核对日期为 2026-09-29。这是针对关键依据的核对，不构成对全部法律法规及公司制度现行效力的穷尽检索；南网材料正文状态以包内原件为准。</w:t>
      </w:r>
    </w:p>
    <w:p>
      <w:pPr>
        <w:pStyle w:val="Heading2"/>
      </w:pPr>
      <w:bookmarkStart w:id="148" w:name="提取与统计口径"/>
      <w:r>
        <w:t xml:space="preserve">4. 提取与统计口径</w:t>
      </w:r>
      <w:bookmarkEnd w:id="148"/>
    </w:p>
    <w:p>
      <w:pPr>
        <w:pStyle w:val="Compact"/>
        <w:numPr>
          <w:numId w:val="1010"/>
          <w:ilvl w:val="0"/>
        </w:numPr>
      </w:pPr>
      <w:r>
        <w:t xml:space="preserve">DOCX：按正文 XML 顺序标注 P（段落）和 T（表格），表格展开至行；不依赖自动目录的旧页码。</w:t>
      </w:r>
    </w:p>
    <w:p>
      <w:pPr>
        <w:pStyle w:val="Compact"/>
        <w:numPr>
          <w:numId w:val="1010"/>
          <w:ilvl w:val="0"/>
        </w:numPr>
      </w:pPr>
      <w:r>
        <w:t xml:space="preserve">论文多数公式是 MathType 图形，纯文本存在缺失；另以本地转换 PDF 物理页 75—76 目视核对了第 4.2 节的核心公式。转换页码不是原 Word 排版的固定页码。</w:t>
      </w:r>
    </w:p>
    <w:p>
      <w:pPr>
        <w:pStyle w:val="Compact"/>
        <w:numPr>
          <w:numId w:val="1010"/>
          <w:ilvl w:val="0"/>
        </w:numPr>
      </w:pPr>
      <w:r>
        <w:t xml:space="preserve">XLSX：直接读取共享字符串和工作表 XML，保留原始单元格定位；资源表统计包含序号 1—561，数据区没有需要继承的合并单元格。</w:t>
      </w:r>
    </w:p>
    <w:p>
      <w:pPr>
        <w:pStyle w:val="Compact"/>
        <w:numPr>
          <w:numId w:val="1010"/>
          <w:ilvl w:val="0"/>
        </w:numPr>
      </w:pPr>
      <w:r>
        <w:t xml:space="preserve">PDF：按物理页提取，引用以细则条号优先。</w:t>
      </w:r>
    </w:p>
    <w:p>
      <w:pPr>
        <w:pStyle w:val="Compact"/>
        <w:numPr>
          <w:numId w:val="1010"/>
          <w:ilvl w:val="0"/>
        </w:numPr>
      </w:pPr>
      <w:r>
        <w:t xml:space="preserve">原始文件 SHA-256 和大小见工作底稿中的来源清单 JSON；目录统计及全部 561 项记录均保存。</w:t>
      </w:r>
    </w:p>
    <w:p>
      <w:pPr>
        <w:pStyle w:val="Compact"/>
        <w:numPr>
          <w:numId w:val="1010"/>
          <w:ilvl w:val="0"/>
        </w:numPr>
      </w:pPr>
      <w:r>
        <w:t xml:space="preserve">本次没有对师兄论文、近期论文的实验或南网实际业务数据重新训练、复测。材料中实验数据统一按原文自报结果处理。</w:t>
      </w:r>
    </w:p>
    <w:p>
      <w:pPr>
        <w:pStyle w:val="Heading2"/>
      </w:pPr>
      <w:bookmarkStart w:id="149" w:name="复现本次整理"/>
      <w:r>
        <w:t xml:space="preserve">5. 复现本次整理</w:t>
      </w:r>
      <w:bookmarkEnd w:id="149"/>
    </w:p>
    <w:p>
      <w:pPr>
        <w:pStyle w:val="FirstParagraph"/>
      </w:pPr>
      <w:r>
        <w:t xml:space="preserve">在本目录运行以下脚本可重建提取文本、目录统计和报告。脚本只对本目录生成物和相邻解压目录写入；解压遇到同名但内容不同的文件时会停止。</w:t>
      </w:r>
    </w:p>
    <w:p>
      <w:pPr>
        <w:pStyle w:val="SourceCode"/>
      </w:pPr>
      <w:r>
        <w:rPr>
          <w:rStyle w:val="ExtensionTok"/>
        </w:rPr>
        <w:t xml:space="preserve">python</w:t>
      </w:r>
      <w:r>
        <w:rPr>
          <w:rStyle w:val="NormalTok"/>
        </w:rPr>
        <w:t xml:space="preserve"> 工作底稿/extract_sources.py</w:t>
      </w:r>
      <w:r>
        <w:br w:type="textWrapping"/>
      </w:r>
      <w:r>
        <w:rPr>
          <w:rStyle w:val="ExtensionTok"/>
        </w:rPr>
        <w:t xml:space="preserve">python</w:t>
      </w:r>
      <w:r>
        <w:rPr>
          <w:rStyle w:val="NormalTok"/>
        </w:rPr>
        <w:t xml:space="preserve"> 工作底稿/analyze_catalog.py</w:t>
      </w:r>
      <w:r>
        <w:br w:type="textWrapping"/>
      </w:r>
      <w:r>
        <w:rPr>
          <w:rStyle w:val="ExtensionTok"/>
        </w:rPr>
        <w:t xml:space="preserve">python</w:t>
      </w:r>
      <w:r>
        <w:rPr>
          <w:rStyle w:val="NormalTok"/>
        </w:rPr>
        <w:t xml:space="preserve"> 工作底稿/build_report.py</w:t>
      </w:r>
    </w:p>
    <w:p>
      <w:pPr>
        <w:pStyle w:val="FirstParagraph"/>
      </w:pPr>
      <w:r>
        <w:t xml:space="preserve">PDF 阅读版由生成的 Word 本地转换，保留在报告目录中。提取文本不替代原始文件。</w:t>
      </w:r>
    </w:p>
    <w:sectPr>
      <w:footerReference w:type="default" r:id="rId9"/>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南网分类分级体系梳理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88" w:lineRule="auto" w:after="100"/>
    </w:pPr>
    <w:rPr>
      <w:rFonts w:ascii="Noto Sans CJK SC" w:hAnsi="Noto Sans CJK SC" w:eastAsia="Noto Sans CJK SC"/>
      <w:sz w:val="21"/>
    </w:rPr>
  </w:style>
  <w:style w:type="paragraph" w:styleId="BodyText">
    <w:name w:val="Body Text"/>
    <w:basedOn w:val="Normal"/>
    <w:link w:val="BodyTextChar"/>
    <w:pPr>
      <w:spacing w:before="180" w:after="180"/>
      <w:ind w:firstLine="0"/>
    </w:pPr>
    <w:qFormat/>
    <w:rPr>
      <w:rFonts w:ascii="Noto Sans CJK SC" w:hAnsi="Noto Sans CJK SC" w:eastAsia="Noto Sans CJK SC"/>
    </w:rPr>
  </w:style>
  <w:style w:type="paragraph" w:customStyle="1" w:styleId="FirstParagraph">
    <w:name w:val="First Paragraph"/>
    <w:basedOn w:val="BodyText"/>
    <w:next w:val="BodyText"/>
    <w:qFormat/>
    <w:pPr>
      <w:ind w:firstLine="0"/>
    </w:pPr>
    <w:rPr>
      <w:rFonts w:ascii="Noto Sans CJK SC" w:hAnsi="Noto Sans CJK SC" w:eastAsia="Noto Sans CJK SC"/>
    </w:rPr>
  </w:style>
  <w:style w:type="paragraph" w:customStyle="1" w:styleId="Compact">
    <w:name w:val="Compact"/>
    <w:basedOn w:val="BodyText"/>
    <w:qFormat/>
    <w:pPr>
      <w:spacing w:before="36" w:after="36"/>
    </w:pPr>
    <w:rPr>
      <w:rFonts w:ascii="Noto Sans CJK SC" w:hAnsi="Noto Sans CJK SC" w:eastAsia="Noto Sans CJK SC"/>
    </w:rPr>
  </w:style>
  <w:style w:type="paragraph" w:styleId="Title">
    <w:name w:val="Title"/>
    <w:basedOn w:val="Normal"/>
    <w:next w:val="BodyText"/>
    <w:qFormat/>
    <w:pPr>
      <w:keepNext/>
      <w:keepLines/>
      <w:spacing w:before="280" w:after="140"/>
      <w:jc w:val="center"/>
    </w:pPr>
    <w:rPr>
      <w:rFonts w:asciiTheme="majorHAnsi" w:eastAsiaTheme="majorEastAsia" w:hAnsiTheme="majorHAnsi" w:cstheme="majorBidi" w:ascii="Noto Sans CJK SC" w:hAnsi="Noto Sans CJK SC" w:eastAsia="Noto Sans CJK SC"/>
      <w:b/>
      <w:bCs/>
      <w:color w:val="183D5A"/>
      <w:sz w:val="52"/>
      <w:szCs w:val="36"/>
    </w:rPr>
  </w:style>
  <w:style w:type="paragraph" w:styleId="Subtitle">
    <w:name w:val="Subtitle"/>
    <w:basedOn w:val="Title"/>
    <w:next w:val="BodyText"/>
    <w:qFormat/>
    <w:pPr>
      <w:keepNext/>
      <w:keepLines/>
      <w:spacing w:before="280" w:after="140"/>
      <w:jc w:val="center"/>
    </w:pPr>
    <w:rPr>
      <w:rFonts w:ascii="Noto Sans CJK SC" w:hAnsi="Noto Sans CJK SC" w:eastAsia="Noto Sans CJK SC"/>
      <w:color w:val="183D5A"/>
      <w:sz w:val="24"/>
      <w:szCs w:val="30"/>
    </w:rPr>
  </w:style>
  <w:style w:type="paragraph" w:customStyle="1" w:styleId="Author">
    <w:name w:val="Author"/>
    <w:next w:val="BodyText"/>
    <w:qFormat/>
    <w:pPr>
      <w:keepNext/>
      <w:keepLines/>
      <w:jc w:val="center"/>
    </w:pPr>
    <w:rPr>
      <w:rFonts w:ascii="Noto Sans CJK SC" w:hAnsi="Noto Sans CJK SC" w:eastAsia="Noto Sans CJK SC"/>
    </w:rPr>
  </w:style>
  <w:style w:type="paragraph" w:styleId="Date">
    <w:name w:val="Date"/>
    <w:next w:val="BodyText"/>
    <w:qFormat/>
    <w:pPr>
      <w:keepNext/>
      <w:keepLines/>
      <w:jc w:val="center"/>
    </w:pPr>
    <w:rPr>
      <w:rFonts w:ascii="Noto Sans CJK SC" w:hAnsi="Noto Sans CJK SC" w:eastAsia="Noto Sans CJK SC"/>
    </w:rPr>
  </w:style>
  <w:style w:type="paragraph" w:customStyle="1" w:styleId="Abstract">
    <w:name w:val="Abstract"/>
    <w:basedOn w:val="Normal"/>
    <w:next w:val="BodyText"/>
    <w:qFormat/>
    <w:pPr>
      <w:keepNext/>
      <w:keepLines/>
      <w:spacing w:before="300" w:after="300"/>
    </w:pPr>
    <w:rPr>
      <w:rFonts w:ascii="Noto Sans CJK SC" w:hAnsi="Noto Sans CJK SC" w:eastAsia="Noto Sans CJK SC"/>
      <w:sz w:val="20"/>
      <w:szCs w:val="20"/>
    </w:rPr>
  </w:style>
  <w:style w:type="paragraph" w:styleId="Bibliography">
    <w:name w:val="Bibliography"/>
    <w:basedOn w:val="Normal"/>
    <w:next w:val="Bibliography"/>
    <w:qFormat/>
    <w:pPr/>
    <w:rPr>
      <w:rFonts w:ascii="Noto Sans CJK SC" w:hAnsi="Noto Sans CJK SC" w:eastAsia="Noto Sans CJK SC"/>
    </w:rPr>
  </w:style>
  <w:style w:type="paragraph" w:styleId="Heading1">
    <w:name w:val="Heading 1"/>
    <w:basedOn w:val="Normal"/>
    <w:next w:val="BodyText"/>
    <w:uiPriority w:val="9"/>
    <w:qFormat/>
    <w:pPr>
      <w:keepNext/>
      <w:keepLines/>
      <w:spacing w:before="280" w:after="140"/>
      <w:outlineLvl w:val="0"/>
    </w:pPr>
    <w:rPr>
      <w:rFonts w:asciiTheme="majorHAnsi" w:eastAsiaTheme="majorEastAsia" w:hAnsiTheme="majorHAnsi" w:cstheme="majorBidi" w:ascii="Noto Sans CJK SC" w:hAnsi="Noto Sans CJK SC" w:eastAsia="Noto Sans CJK SC"/>
      <w:b/>
      <w:bCs/>
      <w:color w:val="183D5A"/>
      <w:sz w:val="38"/>
      <w:szCs w:val="32"/>
    </w:rPr>
  </w:style>
  <w:style w:type="paragraph" w:styleId="Heading2">
    <w:name w:val="Heading 2"/>
    <w:basedOn w:val="Normal"/>
    <w:next w:val="BodyText"/>
    <w:uiPriority w:val="9"/>
    <w:unhideWhenUsed/>
    <w:qFormat/>
    <w:pPr>
      <w:keepNext/>
      <w:keepLines/>
      <w:spacing w:before="280" w:after="140"/>
      <w:outlineLvl w:val="1"/>
    </w:pPr>
    <w:rPr>
      <w:rFonts w:asciiTheme="majorHAnsi" w:eastAsiaTheme="majorEastAsia" w:hAnsiTheme="majorHAnsi" w:cstheme="majorBidi" w:ascii="Noto Sans CJK SC" w:hAnsi="Noto Sans CJK SC" w:eastAsia="Noto Sans CJK SC"/>
      <w:b/>
      <w:bCs/>
      <w:color w:val="183D5A"/>
      <w:sz w:val="30"/>
      <w:szCs w:val="32"/>
    </w:rPr>
  </w:style>
  <w:style w:type="paragraph" w:styleId="Heading3">
    <w:name w:val="Heading 3"/>
    <w:basedOn w:val="Normal"/>
    <w:next w:val="BodyText"/>
    <w:uiPriority w:val="9"/>
    <w:unhideWhenUsed/>
    <w:qFormat/>
    <w:pPr>
      <w:keepNext/>
      <w:keepLines/>
      <w:spacing w:before="280" w:after="140"/>
      <w:outlineLvl w:val="2"/>
    </w:pPr>
    <w:rPr>
      <w:rFonts w:asciiTheme="majorHAnsi" w:eastAsiaTheme="majorEastAsia" w:hAnsiTheme="majorHAnsi" w:cstheme="majorBidi" w:ascii="Noto Sans CJK SC" w:hAnsi="Noto Sans CJK SC" w:eastAsia="Noto Sans CJK SC"/>
      <w:b/>
      <w:bCs/>
      <w:color w:val="183D5A"/>
      <w:sz w:val="24"/>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Noto Sans CJK SC" w:hAnsi="Noto Sans CJK SC" w:eastAsia="Noto Sans CJK SC"/>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Noto Sans CJK SC" w:hAnsi="Noto Sans CJK SC" w:eastAsia="Noto Sans CJK SC"/>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Noto Sans CJK SC" w:hAnsi="Noto Sans CJK SC" w:eastAsia="Noto Sans CJK SC"/>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Noto Sans CJK SC" w:hAnsi="Noto Sans CJK SC" w:eastAsia="Noto Sans CJK SC"/>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Noto Sans CJK SC" w:hAnsi="Noto Sans CJK SC" w:eastAsia="Noto Sans CJK SC"/>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Noto Sans CJK SC" w:hAnsi="Noto Sans CJK SC" w:eastAsia="Noto Sans CJK SC"/>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ascii="Noto Sans CJK SC" w:hAnsi="Noto Sans CJK SC" w:eastAsia="Noto Sans CJK SC"/>
      <w:bCs/>
      <w:sz w:val="20"/>
      <w:szCs w:val="20"/>
    </w:rPr>
  </w:style>
  <w:style w:type="paragraph" w:styleId="FootnoteText">
    <w:name w:val="Footnote Text"/>
    <w:basedOn w:val="Normal"/>
    <w:next w:val="FootnoteText"/>
    <w:uiPriority w:val="9"/>
    <w:unhideWhenUsed/>
    <w:qFormat/>
    <w:rPr>
      <w:rFonts w:ascii="Noto Sans CJK SC" w:hAnsi="Noto Sans CJK SC" w:eastAsia="Noto Sans CJK SC"/>
    </w:rPr>
  </w:style>
  <w:style w:type="character" w:default="1" w:styleId="DefaultParagraphFont">
    <w:name w:val="Default Paragraph Font"/>
    <w:semiHidden/>
    <w:unhideWhenUsed/>
    <w:rPr>
      <w:rFonts w:ascii="Noto Sans CJK SC" w:hAnsi="Noto Sans CJK SC" w:eastAsia="Noto Sans CJK SC"/>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Noto Sans CJK SC" w:hAnsi="Noto Sans CJK SC" w:eastAsia="Noto Sans CJK SC"/>
      <w:b/>
    </w:rPr>
  </w:style>
  <w:style w:type="paragraph" w:customStyle="1" w:styleId="Definition">
    <w:name w:val="Definition"/>
    <w:basedOn w:val="Normal"/>
    <w:rPr>
      <w:rFonts w:ascii="Noto Sans CJK SC" w:hAnsi="Noto Sans CJK SC" w:eastAsia="Noto Sans CJK SC"/>
    </w:rPr>
  </w:style>
  <w:style w:type="paragraph" w:styleId="Caption">
    <w:name w:val="Caption"/>
    <w:basedOn w:val="Normal"/>
    <w:link w:val="BodyTextChar"/>
    <w:pPr>
      <w:spacing w:before="0" w:after="120"/>
    </w:pPr>
    <w:rPr>
      <w:rFonts w:ascii="Noto Sans CJK SC" w:hAnsi="Noto Sans CJK SC" w:eastAsia="Noto Sans CJK SC"/>
      <w:i/>
    </w:rPr>
  </w:style>
  <w:style w:type="paragraph" w:customStyle="1" w:styleId="TableCaption">
    <w:name w:val="Table Caption"/>
    <w:basedOn w:val="Caption"/>
    <w:pPr>
      <w:keepNext/>
    </w:pPr>
    <w:rPr>
      <w:rFonts w:ascii="Noto Sans CJK SC" w:hAnsi="Noto Sans CJK SC" w:eastAsia="Noto Sans CJK SC"/>
    </w:rPr>
  </w:style>
  <w:style w:type="paragraph" w:customStyle="1" w:styleId="ImageCaption">
    <w:name w:val="Image Caption"/>
    <w:basedOn w:val="Caption"/>
    <w:rPr>
      <w:rFonts w:ascii="Noto Sans CJK SC" w:hAnsi="Noto Sans CJK SC" w:eastAsia="Noto Sans CJK SC"/>
    </w:rPr>
  </w:style>
  <w:style w:type="paragraph" w:customStyle="1" w:styleId="Figure">
    <w:name w:val="Figure"/>
    <w:basedOn w:val="Normal"/>
    <w:rPr>
      <w:rFonts w:ascii="Noto Sans CJK SC" w:hAnsi="Noto Sans CJK SC" w:eastAsia="Noto Sans CJK SC"/>
    </w:rPr>
  </w:style>
  <w:style w:type="paragraph" w:customStyle="1" w:styleId="CaptionedFigure">
    <w:name w:val="Captioned Figure"/>
    <w:basedOn w:val="Figure"/>
    <w:pPr>
      <w:keepNext/>
    </w:pPr>
    <w:rPr>
      <w:rFonts w:ascii="Noto Sans CJK SC" w:hAnsi="Noto Sans CJK SC" w:eastAsia="Noto Sans CJK SC"/>
    </w:rPr>
  </w:style>
  <w:style w:type="character" w:customStyle="1" w:styleId="BodyTextChar">
    <w:name w:val="Body Text Char"/>
    <w:basedOn w:val="DefaultParagraphFont"/>
    <w:link w:val="BodyText"/>
    <w:rPr>
      <w:rFonts w:ascii="Noto Sans CJK SC" w:hAnsi="Noto Sans CJK SC" w:eastAsia="Noto Sans CJK SC"/>
    </w:rPr>
  </w:style>
  <w:style w:type="character" w:customStyle="1" w:styleId="VerbatimChar">
    <w:name w:val="Verbatim Char"/>
    <w:basedOn w:val="BodyTextChar"/>
    <w:rPr>
      <w:rFonts w:ascii="Noto Sans CJK SC" w:hAnsi="Noto Sans CJK SC" w:eastAsia="Noto Sans CJK SC"/>
      <w:sz w:val="22"/>
    </w:rPr>
  </w:style>
  <w:style w:type="character" w:styleId="FootnoteReference">
    <w:name w:val="Footnote Reference"/>
    <w:basedOn w:val="BodyTextChar"/>
    <w:rPr>
      <w:rFonts w:ascii="Noto Sans CJK SC" w:hAnsi="Noto Sans CJK SC" w:eastAsia="Noto Sans CJK SC"/>
      <w:vertAlign w:val="superscript"/>
    </w:rPr>
  </w:style>
  <w:style w:type="character" w:styleId="Hyperlink">
    <w:name w:val="Hyperlink"/>
    <w:basedOn w:val="BodyTextChar"/>
    <w:rPr>
      <w:rFonts w:ascii="Noto Sans CJK SC" w:hAnsi="Noto Sans CJK SC" w:eastAsia="Noto Sans CJK SC"/>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Noto Sans CJK SC" w:hAnsi="Noto Sans CJK SC" w:eastAsia="Noto Sans CJK SC"/>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4" Type="http://schemas.openxmlformats.org/officeDocument/2006/relationships/image" Target="media/rId24.png"/><Relationship Id="rId76" Type="http://schemas.openxmlformats.org/officeDocument/2006/relationships/image" Target="media/rId76.png"/><Relationship Id="rId122" Type="http://schemas.openxmlformats.org/officeDocument/2006/relationships/hyperlink" Target="%E5%B7%A5%E4%BD%9C%E5%BA%95%E7%A8%BF/%E6%8F%90%E5%8F%96%E6%96%87%E6%9C%AC/S01_%E9%82%A2%E4%B9%8B%E7%86%A0_%E6%AF%95%E4%B8%9A%E8%AE%BA%E6%96%87.md" TargetMode="External"/><Relationship Id="rId124" Type="http://schemas.openxmlformats.org/officeDocument/2006/relationships/hyperlink" Target="%E5%B7%A5%E4%BD%9C%E5%BA%95%E7%A8%BF/%E6%8F%90%E5%8F%96%E6%96%87%E6%9C%AC/S02_%E3%80%90%E9%99%84%E4%BB%B61%E3%80%91%20%E6%95%B0%E6%8D%AE%E5%88%86%E7%B1%BB%E5%88%86%E7%BA%A7%E5%B7%A5%E4%BD%9C%E6%89%8B%E5%86%8C%EF%BC%88%E5%BE%81%E6%B1%82%E6%84%8F%E8%A7%81%E7%89%88%EF%BC%89-2026-07-27.md" TargetMode="External"/><Relationship Id="rId126" Type="http://schemas.openxmlformats.org/officeDocument/2006/relationships/hyperlink" Target="%E5%B7%A5%E4%BD%9C%E5%BA%95%E7%A8%BF/%E6%8F%90%E5%8F%96%E6%96%87%E6%9C%AC/S03_%E3%80%90%E9%99%84%E4%BB%B62%E3%80%91%20%E6%95%B0%E6%8D%AE%E5%AE%89%E5%85%A8%E9%A3%8E%E9%99%A9%E8%AF%84%E4%BC%B0%E5%B7%A5%E4%BD%9C%E6%89%8B%E5%86%8C%EF%BC%882026%E5%B9%B4%E4%BF%AE%E8%AE%A2%E7%89%88%EF%BC%89-2026-07-27.md" TargetMode="External"/><Relationship Id="rId128" Type="http://schemas.openxmlformats.org/officeDocument/2006/relationships/hyperlink" Target="%E5%B7%A5%E4%BD%9C%E5%BA%95%E7%A8%BF/%E6%8F%90%E5%8F%96%E6%96%87%E6%9C%AC/S04_%E3%80%90%E6%94%B6%E6%96%87%E5%A4%84%E7%90%86%E5%8D%95%E3%80%91S%E3%80%942025%E3%80%951919%E5%8F%B7%20%E5%85%B3%E4%BA%8E%E5%BE%81%E6%B1%82%E3%80%8A%E5%8D%97%E6%96%B9%E7%94%B5%E7%BD%91%E5%85%AC%E5%8F%B8%E6%95%B0%E6%8D%AE%E5%BC%80%E6%94%BE%E7%9B%AE%E5%BD%95%EF%BC%88%E7%AC%AC%E4%BA%8C%E6%89%B9%EF%BC%89%EF%BC%88%E5%BE%81%E6%B1%82%E6%84%8F%E8%A7%81%E7%A8%BF%EF%BC%89%E3%80%8B%E6%84%8F%E8%A7%81%E7%9A%84%E9%80%9A%E7%9F%A5-2026-01-07.md" TargetMode="External"/><Relationship Id="rId130" Type="http://schemas.openxmlformats.org/officeDocument/2006/relationships/hyperlink" Target="%E5%B7%A5%E4%BD%9C%E5%BA%95%E7%A8%BF/%E6%8F%90%E5%8F%96%E6%96%87%E6%9C%AC/S05_%E3%80%90%E6%AD%A3%E6%96%87%E3%80%91S%E3%80%942025%E3%80%951919%E5%8F%B7%20%E5%85%B3%E4%BA%8E%E5%BE%81%E6%B1%82%E3%80%8A%E5%8D%97%E6%96%B9%E7%94%B5%E7%BD%91%E5%85%AC%E5%8F%B8%E6%95%B0%E6%8D%AE%E5%BC%80%E6%94%BE%E7%9B%AE%E5%BD%95%EF%BC%88%E7%AC%AC%E4%BA%8C%E6%89%B9%EF%BC%89%EF%BC%88%E5%BE%81%E6%B1%82%E6%84%8F%E8%A7%81%E7%A8%BF%EF%BC%89%E3%80%8B%E6%84%8F%E8%A7%81%E7%9A%84%E9%80%9A%E7%9F%A5-2025-11-26.md" TargetMode="External"/><Relationship Id="rId132" Type="http://schemas.openxmlformats.org/officeDocument/2006/relationships/hyperlink" Target="%E5%B7%A5%E4%BD%9C%E5%BA%95%E7%A8%BF/%E6%8F%90%E5%8F%96%E6%96%87%E6%9C%AC/S06_%E3%80%90%E9%99%84%E4%BB%B61%E3%80%91S%E3%80%942025%E3%80%951919%E5%8F%B7%20%E9%99%84%E4%BB%B61%EF%BC%9A%E5%8D%97%E6%96%B9%E7%94%B5%E7%BD%91%E5%85%AC%E5%8F%B8%E6%95%B0%E6%8D%AE%E5%BC%80%E6%94%BE%E7%9B%AE%E5%BD%95%EF%BC%88%E7%AC%AC%E4%BA%8C%E6%89%B9%EF%BC%89%EF%BC%88%E5%BE%81%E6%B1%82%E6%84%8F%E8%A7%81%E7%A8%BF%EF%BC%89-2025-11-26.md" TargetMode="External"/><Relationship Id="rId134" Type="http://schemas.openxmlformats.org/officeDocument/2006/relationships/hyperlink" Target="%E5%B7%A5%E4%BD%9C%E5%BA%95%E7%A8%BF/%E6%8F%90%E5%8F%96%E6%96%87%E6%9C%AC/S07_%E3%80%90%E9%99%84%E4%BB%B62%E3%80%91S%E3%80%942025%E3%80%951919%E5%8F%B7%20%E9%99%84%E4%BB%B62%EF%BC%9A%E5%8D%97%E6%96%B9%E7%94%B5%E7%BD%91%E5%85%AC%E5%8F%B8%E6%95%B0%E6%8D%AE%E5%BC%80%E6%94%BE%E7%9B%AE%E5%BD%95%E8%AF%B4%E6%98%8E-2025-11-26.md" TargetMode="External"/><Relationship Id="rId136" Type="http://schemas.openxmlformats.org/officeDocument/2006/relationships/hyperlink" Target="%E5%B7%A5%E4%BD%9C%E5%BA%95%E7%A8%BF/%E6%8F%90%E5%8F%96%E6%96%87%E6%9C%AC/S08_%E3%80%90%E9%99%84%E4%BB%B63%E3%80%91S%E3%80%942025%E3%80%951919%E5%8F%B7%20%E9%99%84%E4%BB%B63%EF%BC%9A%E5%8D%97%E6%96%B9%E7%94%B5%E7%BD%91%E5%85%AC%E5%8F%B8%E6%95%B0%E6%8D%AE%E5%BC%80%E6%94%BE%E7%9B%AE%E5%BD%95%EF%BC%88%E7%AC%AC%E4%BA%8C%E6%89%B9%EF%BC%89%E6%84%8F%E8%A7%81%E5%8F%8D%E9%A6%88%E8%A1%A8-2025-11-26.md" TargetMode="External"/><Relationship Id="rId138" Type="http://schemas.openxmlformats.org/officeDocument/2006/relationships/hyperlink" Target="%E5%B7%A5%E4%BD%9C%E5%BA%95%E7%A8%BF/%E6%8F%90%E5%8F%96%E6%96%87%E6%9C%AC/S09_%E9%99%84%E4%BB%B61-5%EF%BC%9A%E5%8D%97%E6%96%B9%E5%8C%BA%E5%9F%9F%E7%94%B5%E5%8A%9B%E5%B8%82%E5%9C%BA%E6%B3%A8%E5%86%8C%E5%AE%9E%E6%96%BD%E7%BB%86%E5%88%99%EF%BC%882026%E5%B9%B4V1.0%E7%89%88%EF%BC%89%EF%BC%88%E5%AE%A1%E8%AE%AE%E7%A8%BF%EF%BC%89.md" TargetMode="External"/><Relationship Id="rId140" Type="http://schemas.openxmlformats.org/officeDocument/2006/relationships/hyperlink" Target="%E5%B7%A5%E4%BD%9C%E5%BA%95%E7%A8%BF/%E6%8F%90%E5%8F%96%E6%96%87%E6%9C%AC/S10_%E9%99%84%E4%BB%B61-6%EF%BC%9A%E5%8D%97%E6%96%B9%E5%8C%BA%E5%9F%9F%E7%94%B5%E5%8A%9B%E5%B8%82%E5%9C%BA%E4%BF%A1%E6%81%AF%E6%8A%AB%E9%9C%B2%E5%AE%9E%E6%96%BD%E7%BB%86%E5%88%99%EF%BC%882026%E5%B9%B4V1.0%E7%89%88%EF%BC%89%28%E5%AE%A1%E8%AE%AE%E7%A8%BF%29.md" TargetMode="External"/><Relationship Id="rId123" Type="http://schemas.openxmlformats.org/officeDocument/2006/relationships/hyperlink" Target="../%E5%8D%97%E7%BD%91%E6%96%87%E4%BB%B6_%E8%A7%A3%E5%8E%8B/%E3%80%90%E9%99%84%E4%BB%B61%E3%80%91%20%E6%95%B0%E6%8D%AE%E5%88%86%E7%B1%BB%E5%88%86%E7%BA%A7%E5%B7%A5%E4%BD%9C%E6%89%8B%E5%86%8C%EF%BC%88%E5%BE%81%E6%B1%82%E6%84%8F%E8%A7%81%E7%89%88%EF%BC%89-2026-07-27.docx" TargetMode="External"/><Relationship Id="rId125" Type="http://schemas.openxmlformats.org/officeDocument/2006/relationships/hyperlink" Target="../%E5%8D%97%E7%BD%91%E6%96%87%E4%BB%B6_%E8%A7%A3%E5%8E%8B/%E3%80%90%E9%99%84%E4%BB%B62%E3%80%91%20%E6%95%B0%E6%8D%AE%E5%AE%89%E5%85%A8%E9%A3%8E%E9%99%A9%E8%AF%84%E4%BC%B0%E5%B7%A5%E4%BD%9C%E6%89%8B%E5%86%8C%EF%BC%882026%E5%B9%B4%E4%BF%AE%E8%AE%A2%E7%89%88%EF%BC%89-2026-07-27.docx" TargetMode="External"/><Relationship Id="rId127"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6%94%B6%E6%96%87%E5%A4%84%E7%90%86%E5%8D%95%E3%80%91S%E3%80%942025%E3%80%951919%E5%8F%B7%20%E5%85%B3%E4%BA%8E%E5%BE%81%E6%B1%82%E3%80%8A%E5%8D%97%E6%96%B9%E7%94%B5%E7%BD%91%E5%85%AC%E5%8F%B8%E6%95%B0%E6%8D%AE%E5%BC%80%E6%94%BE%E7%9B%AE%E5%BD%95%EF%BC%88%E7%AC%AC%E4%BA%8C%E6%89%B9%EF%BC%89%EF%BC%88%E5%BE%81%E6%B1%82%E6%84%8F%E8%A7%81%E7%A8%BF%EF%BC%89%E3%80%8B%E6%84%8F%E8%A7%81%E7%9A%84%E9%80%9A%E7%9F%A5-2026-01-07.docx" TargetMode="External"/><Relationship Id="rId129"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6%AD%A3%E6%96%87%E3%80%91S%E3%80%942025%E3%80%951919%E5%8F%B7%20%E5%85%B3%E4%BA%8E%E5%BE%81%E6%B1%82%E3%80%8A%E5%8D%97%E6%96%B9%E7%94%B5%E7%BD%91%E5%85%AC%E5%8F%B8%E6%95%B0%E6%8D%AE%E5%BC%80%E6%94%BE%E7%9B%AE%E5%BD%95%EF%BC%88%E7%AC%AC%E4%BA%8C%E6%89%B9%EF%BC%89%EF%BC%88%E5%BE%81%E6%B1%82%E6%84%8F%E8%A7%81%E7%A8%BF%EF%BC%89%E3%80%8B%E6%84%8F%E8%A7%81%E7%9A%84%E9%80%9A%E7%9F%A5-2025-11-26.pdf" TargetMode="External"/><Relationship Id="rId131"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1%E3%80%91S%E3%80%942025%E3%80%951919%E5%8F%B7%20%E9%99%84%E4%BB%B61%EF%BC%9A%E5%8D%97%E6%96%B9%E7%94%B5%E7%BD%91%E5%85%AC%E5%8F%B8%E6%95%B0%E6%8D%AE%E5%BC%80%E6%94%BE%E7%9B%AE%E5%BD%95%EF%BC%88%E7%AC%AC%E4%BA%8C%E6%89%B9%EF%BC%89%EF%BC%88%E5%BE%81%E6%B1%82%E6%84%8F%E8%A7%81%E7%A8%BF%EF%BC%89-2025-11-26.xlsx" TargetMode="External"/><Relationship Id="rId133"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2%E3%80%91S%E3%80%942025%E3%80%951919%E5%8F%B7%20%E9%99%84%E4%BB%B62%EF%BC%9A%E5%8D%97%E6%96%B9%E7%94%B5%E7%BD%91%E5%85%AC%E5%8F%B8%E6%95%B0%E6%8D%AE%E5%BC%80%E6%94%BE%E7%9B%AE%E5%BD%95%E8%AF%B4%E6%98%8E-2025-11-26.docx" TargetMode="External"/><Relationship Id="rId135"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3%E3%80%91S%E3%80%942025%E3%80%951919%E5%8F%B7%20%E9%99%84%E4%BB%B63%EF%BC%9A%E5%8D%97%E6%96%B9%E7%94%B5%E7%BD%91%E5%85%AC%E5%8F%B8%E6%95%B0%E6%8D%AE%E5%BC%80%E6%94%BE%E7%9B%AE%E5%BD%95%EF%BC%88%E7%AC%AC%E4%BA%8C%E6%89%B9%EF%BC%89%E6%84%8F%E8%A7%81%E5%8F%8D%E9%A6%88%E8%A1%A8-2025-11-26.xlsx" TargetMode="External"/><Relationship Id="rId137" Type="http://schemas.openxmlformats.org/officeDocument/2006/relationships/hyperlink" Target="../%E5%8D%97%E7%BD%91%E6%96%87%E4%BB%B6_%E8%A7%A3%E5%8E%8B/%E9%99%84%E4%BB%B61-5%EF%BC%9A%E5%8D%97%E6%96%B9%E5%8C%BA%E5%9F%9F%E7%94%B5%E5%8A%9B%E5%B8%82%E5%9C%BA%E6%B3%A8%E5%86%8C%E5%AE%9E%E6%96%BD%E7%BB%86%E5%88%99%EF%BC%882026%E5%B9%B4V1.0%E7%89%88%EF%BC%89%EF%BC%88%E5%AE%A1%E8%AE%AE%E7%A8%BF%EF%BC%89.pdf" TargetMode="External"/><Relationship Id="rId139" Type="http://schemas.openxmlformats.org/officeDocument/2006/relationships/hyperlink" Target="../%E5%8D%97%E7%BD%91%E6%96%87%E4%BB%B6_%E8%A7%A3%E5%8E%8B/%E9%99%84%E4%BB%B61-6%EF%BC%9A%E5%8D%97%E6%96%B9%E5%8C%BA%E5%9F%9F%E7%94%B5%E5%8A%9B%E5%B8%82%E5%9C%BA%E4%BF%A1%E6%81%AF%E6%8A%AB%E9%9C%B2%E5%AE%9E%E6%96%BD%E7%BB%86%E5%88%99%EF%BC%882026%E5%B9%B4V1.0%E7%89%88%EF%BC%89%28%E5%AE%A1%E8%AE%AE%E7%A8%BF%29.pdf" TargetMode="External"/><Relationship Id="rId121" Type="http://schemas.openxmlformats.org/officeDocument/2006/relationships/hyperlink" Target="../%E9%82%A2%E4%B9%8B%E7%86%A0_%E6%AF%95%E4%B8%9A%E8%AE%BA%E6%96%87.docx" TargetMode="External"/><Relationship Id="rId145" Type="http://schemas.openxmlformats.org/officeDocument/2006/relationships/hyperlink" Target="../../../paper/FINAL_PROTOCOL.md" TargetMode="External"/><Relationship Id="rId143" Type="http://schemas.openxmlformats.org/officeDocument/2006/relationships/hyperlink" Target="../../../paper/claude/V6_ieee/README.md" TargetMode="External"/><Relationship Id="rId142" Type="http://schemas.openxmlformats.org/officeDocument/2006/relationships/hyperlink" Target="../../../paper/claude/V6_ieee/main.tex" TargetMode="External"/><Relationship Id="rId144" Type="http://schemas.openxmlformats.org/officeDocument/2006/relationships/hyperlink" Target="../../20260925_V4%E8%AE%BA%E6%96%87%E4%B8%BB%E7%BA%BF%E9%87%8D%E6%9E%84%E4%B8%8E%E5%AE%8C%E5%96%84%E8%AE%A1%E5%88%92.md" TargetMode="External"/><Relationship Id="rId147" Type="http://schemas.openxmlformats.org/officeDocument/2006/relationships/hyperlink" Target="https://henb.nea.gov.cn/xxgk/zcfg/202402/t20240226_257102.html" TargetMode="External"/><Relationship Id="rId106" Type="http://schemas.openxmlformats.org/officeDocument/2006/relationships/hyperlink" Target="https://openstd.samr.gov.cn/bzgk/std/newGbInfo?hcno=F0C385EDC38CBF277AEC021F23126ADE" TargetMode="External"/><Relationship Id="rId105" Type="http://schemas.openxmlformats.org/officeDocument/2006/relationships/hyperlink" Target="https://www.nea.gov.cn/20260630/2873fa450d2e4317b33d40285b5ed576/c.html" TargetMode="External"/><Relationship Id="rId29" Type="http://schemas.openxmlformats.org/officeDocument/2006/relationships/hyperlink" Target="https://www.nea.gov.cn/20260630/3b456b6f83144abcb989110dcfba4d7d/c.html" TargetMode="External"/></Relationships>
</file>

<file path=word/_rels/footnotes.xml.rels><?xml version='1.0' encoding='UTF-8' standalone='yes'?>
<Relationships xmlns="http://schemas.openxmlformats.org/package/2006/relationships"><Relationship Id="rId122" Type="http://schemas.openxmlformats.org/officeDocument/2006/relationships/hyperlink" Target="%E5%B7%A5%E4%BD%9C%E5%BA%95%E7%A8%BF/%E6%8F%90%E5%8F%96%E6%96%87%E6%9C%AC/S01_%E9%82%A2%E4%B9%8B%E7%86%A0_%E6%AF%95%E4%B8%9A%E8%AE%BA%E6%96%87.md" TargetMode="External"/><Relationship Id="rId124" Type="http://schemas.openxmlformats.org/officeDocument/2006/relationships/hyperlink" Target="%E5%B7%A5%E4%BD%9C%E5%BA%95%E7%A8%BF/%E6%8F%90%E5%8F%96%E6%96%87%E6%9C%AC/S02_%E3%80%90%E9%99%84%E4%BB%B61%E3%80%91%20%E6%95%B0%E6%8D%AE%E5%88%86%E7%B1%BB%E5%88%86%E7%BA%A7%E5%B7%A5%E4%BD%9C%E6%89%8B%E5%86%8C%EF%BC%88%E5%BE%81%E6%B1%82%E6%84%8F%E8%A7%81%E7%89%88%EF%BC%89-2026-07-27.md" TargetMode="External"/><Relationship Id="rId126" Type="http://schemas.openxmlformats.org/officeDocument/2006/relationships/hyperlink" Target="%E5%B7%A5%E4%BD%9C%E5%BA%95%E7%A8%BF/%E6%8F%90%E5%8F%96%E6%96%87%E6%9C%AC/S03_%E3%80%90%E9%99%84%E4%BB%B62%E3%80%91%20%E6%95%B0%E6%8D%AE%E5%AE%89%E5%85%A8%E9%A3%8E%E9%99%A9%E8%AF%84%E4%BC%B0%E5%B7%A5%E4%BD%9C%E6%89%8B%E5%86%8C%EF%BC%882026%E5%B9%B4%E4%BF%AE%E8%AE%A2%E7%89%88%EF%BC%89-2026-07-27.md" TargetMode="External"/><Relationship Id="rId128" Type="http://schemas.openxmlformats.org/officeDocument/2006/relationships/hyperlink" Target="%E5%B7%A5%E4%BD%9C%E5%BA%95%E7%A8%BF/%E6%8F%90%E5%8F%96%E6%96%87%E6%9C%AC/S04_%E3%80%90%E6%94%B6%E6%96%87%E5%A4%84%E7%90%86%E5%8D%95%E3%80%91S%E3%80%942025%E3%80%951919%E5%8F%B7%20%E5%85%B3%E4%BA%8E%E5%BE%81%E6%B1%82%E3%80%8A%E5%8D%97%E6%96%B9%E7%94%B5%E7%BD%91%E5%85%AC%E5%8F%B8%E6%95%B0%E6%8D%AE%E5%BC%80%E6%94%BE%E7%9B%AE%E5%BD%95%EF%BC%88%E7%AC%AC%E4%BA%8C%E6%89%B9%EF%BC%89%EF%BC%88%E5%BE%81%E6%B1%82%E6%84%8F%E8%A7%81%E7%A8%BF%EF%BC%89%E3%80%8B%E6%84%8F%E8%A7%81%E7%9A%84%E9%80%9A%E7%9F%A5-2026-01-07.md" TargetMode="External"/><Relationship Id="rId130" Type="http://schemas.openxmlformats.org/officeDocument/2006/relationships/hyperlink" Target="%E5%B7%A5%E4%BD%9C%E5%BA%95%E7%A8%BF/%E6%8F%90%E5%8F%96%E6%96%87%E6%9C%AC/S05_%E3%80%90%E6%AD%A3%E6%96%87%E3%80%91S%E3%80%942025%E3%80%951919%E5%8F%B7%20%E5%85%B3%E4%BA%8E%E5%BE%81%E6%B1%82%E3%80%8A%E5%8D%97%E6%96%B9%E7%94%B5%E7%BD%91%E5%85%AC%E5%8F%B8%E6%95%B0%E6%8D%AE%E5%BC%80%E6%94%BE%E7%9B%AE%E5%BD%95%EF%BC%88%E7%AC%AC%E4%BA%8C%E6%89%B9%EF%BC%89%EF%BC%88%E5%BE%81%E6%B1%82%E6%84%8F%E8%A7%81%E7%A8%BF%EF%BC%89%E3%80%8B%E6%84%8F%E8%A7%81%E7%9A%84%E9%80%9A%E7%9F%A5-2025-11-26.md" TargetMode="External"/><Relationship Id="rId132" Type="http://schemas.openxmlformats.org/officeDocument/2006/relationships/hyperlink" Target="%E5%B7%A5%E4%BD%9C%E5%BA%95%E7%A8%BF/%E6%8F%90%E5%8F%96%E6%96%87%E6%9C%AC/S06_%E3%80%90%E9%99%84%E4%BB%B61%E3%80%91S%E3%80%942025%E3%80%951919%E5%8F%B7%20%E9%99%84%E4%BB%B61%EF%BC%9A%E5%8D%97%E6%96%B9%E7%94%B5%E7%BD%91%E5%85%AC%E5%8F%B8%E6%95%B0%E6%8D%AE%E5%BC%80%E6%94%BE%E7%9B%AE%E5%BD%95%EF%BC%88%E7%AC%AC%E4%BA%8C%E6%89%B9%EF%BC%89%EF%BC%88%E5%BE%81%E6%B1%82%E6%84%8F%E8%A7%81%E7%A8%BF%EF%BC%89-2025-11-26.md" TargetMode="External"/><Relationship Id="rId134" Type="http://schemas.openxmlformats.org/officeDocument/2006/relationships/hyperlink" Target="%E5%B7%A5%E4%BD%9C%E5%BA%95%E7%A8%BF/%E6%8F%90%E5%8F%96%E6%96%87%E6%9C%AC/S07_%E3%80%90%E9%99%84%E4%BB%B62%E3%80%91S%E3%80%942025%E3%80%951919%E5%8F%B7%20%E9%99%84%E4%BB%B62%EF%BC%9A%E5%8D%97%E6%96%B9%E7%94%B5%E7%BD%91%E5%85%AC%E5%8F%B8%E6%95%B0%E6%8D%AE%E5%BC%80%E6%94%BE%E7%9B%AE%E5%BD%95%E8%AF%B4%E6%98%8E-2025-11-26.md" TargetMode="External"/><Relationship Id="rId136" Type="http://schemas.openxmlformats.org/officeDocument/2006/relationships/hyperlink" Target="%E5%B7%A5%E4%BD%9C%E5%BA%95%E7%A8%BF/%E6%8F%90%E5%8F%96%E6%96%87%E6%9C%AC/S08_%E3%80%90%E9%99%84%E4%BB%B63%E3%80%91S%E3%80%942025%E3%80%951919%E5%8F%B7%20%E9%99%84%E4%BB%B63%EF%BC%9A%E5%8D%97%E6%96%B9%E7%94%B5%E7%BD%91%E5%85%AC%E5%8F%B8%E6%95%B0%E6%8D%AE%E5%BC%80%E6%94%BE%E7%9B%AE%E5%BD%95%EF%BC%88%E7%AC%AC%E4%BA%8C%E6%89%B9%EF%BC%89%E6%84%8F%E8%A7%81%E5%8F%8D%E9%A6%88%E8%A1%A8-2025-11-26.md" TargetMode="External"/><Relationship Id="rId138" Type="http://schemas.openxmlformats.org/officeDocument/2006/relationships/hyperlink" Target="%E5%B7%A5%E4%BD%9C%E5%BA%95%E7%A8%BF/%E6%8F%90%E5%8F%96%E6%96%87%E6%9C%AC/S09_%E9%99%84%E4%BB%B61-5%EF%BC%9A%E5%8D%97%E6%96%B9%E5%8C%BA%E5%9F%9F%E7%94%B5%E5%8A%9B%E5%B8%82%E5%9C%BA%E6%B3%A8%E5%86%8C%E5%AE%9E%E6%96%BD%E7%BB%86%E5%88%99%EF%BC%882026%E5%B9%B4V1.0%E7%89%88%EF%BC%89%EF%BC%88%E5%AE%A1%E8%AE%AE%E7%A8%BF%EF%BC%89.md" TargetMode="External"/><Relationship Id="rId140" Type="http://schemas.openxmlformats.org/officeDocument/2006/relationships/hyperlink" Target="%E5%B7%A5%E4%BD%9C%E5%BA%95%E7%A8%BF/%E6%8F%90%E5%8F%96%E6%96%87%E6%9C%AC/S10_%E9%99%84%E4%BB%B61-6%EF%BC%9A%E5%8D%97%E6%96%B9%E5%8C%BA%E5%9F%9F%E7%94%B5%E5%8A%9B%E5%B8%82%E5%9C%BA%E4%BF%A1%E6%81%AF%E6%8A%AB%E9%9C%B2%E5%AE%9E%E6%96%BD%E7%BB%86%E5%88%99%EF%BC%882026%E5%B9%B4V1.0%E7%89%88%EF%BC%89%28%E5%AE%A1%E8%AE%AE%E7%A8%BF%29.md" TargetMode="External"/><Relationship Id="rId123" Type="http://schemas.openxmlformats.org/officeDocument/2006/relationships/hyperlink" Target="../%E5%8D%97%E7%BD%91%E6%96%87%E4%BB%B6_%E8%A7%A3%E5%8E%8B/%E3%80%90%E9%99%84%E4%BB%B61%E3%80%91%20%E6%95%B0%E6%8D%AE%E5%88%86%E7%B1%BB%E5%88%86%E7%BA%A7%E5%B7%A5%E4%BD%9C%E6%89%8B%E5%86%8C%EF%BC%88%E5%BE%81%E6%B1%82%E6%84%8F%E8%A7%81%E7%89%88%EF%BC%89-2026-07-27.docx" TargetMode="External"/><Relationship Id="rId125" Type="http://schemas.openxmlformats.org/officeDocument/2006/relationships/hyperlink" Target="../%E5%8D%97%E7%BD%91%E6%96%87%E4%BB%B6_%E8%A7%A3%E5%8E%8B/%E3%80%90%E9%99%84%E4%BB%B62%E3%80%91%20%E6%95%B0%E6%8D%AE%E5%AE%89%E5%85%A8%E9%A3%8E%E9%99%A9%E8%AF%84%E4%BC%B0%E5%B7%A5%E4%BD%9C%E6%89%8B%E5%86%8C%EF%BC%882026%E5%B9%B4%E4%BF%AE%E8%AE%A2%E7%89%88%EF%BC%89-2026-07-27.docx" TargetMode="External"/><Relationship Id="rId127"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6%94%B6%E6%96%87%E5%A4%84%E7%90%86%E5%8D%95%E3%80%91S%E3%80%942025%E3%80%951919%E5%8F%B7%20%E5%85%B3%E4%BA%8E%E5%BE%81%E6%B1%82%E3%80%8A%E5%8D%97%E6%96%B9%E7%94%B5%E7%BD%91%E5%85%AC%E5%8F%B8%E6%95%B0%E6%8D%AE%E5%BC%80%E6%94%BE%E7%9B%AE%E5%BD%95%EF%BC%88%E7%AC%AC%E4%BA%8C%E6%89%B9%EF%BC%89%EF%BC%88%E5%BE%81%E6%B1%82%E6%84%8F%E8%A7%81%E7%A8%BF%EF%BC%89%E3%80%8B%E6%84%8F%E8%A7%81%E7%9A%84%E9%80%9A%E7%9F%A5-2026-01-07.docx" TargetMode="External"/><Relationship Id="rId129"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6%AD%A3%E6%96%87%E3%80%91S%E3%80%942025%E3%80%951919%E5%8F%B7%20%E5%85%B3%E4%BA%8E%E5%BE%81%E6%B1%82%E3%80%8A%E5%8D%97%E6%96%B9%E7%94%B5%E7%BD%91%E5%85%AC%E5%8F%B8%E6%95%B0%E6%8D%AE%E5%BC%80%E6%94%BE%E7%9B%AE%E5%BD%95%EF%BC%88%E7%AC%AC%E4%BA%8C%E6%89%B9%EF%BC%89%EF%BC%88%E5%BE%81%E6%B1%82%E6%84%8F%E8%A7%81%E7%A8%BF%EF%BC%89%E3%80%8B%E6%84%8F%E8%A7%81%E7%9A%84%E9%80%9A%E7%9F%A5-2025-11-26.pdf" TargetMode="External"/><Relationship Id="rId131"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1%E3%80%91S%E3%80%942025%E3%80%951919%E5%8F%B7%20%E9%99%84%E4%BB%B61%EF%BC%9A%E5%8D%97%E6%96%B9%E7%94%B5%E7%BD%91%E5%85%AC%E5%8F%B8%E6%95%B0%E6%8D%AE%E5%BC%80%E6%94%BE%E7%9B%AE%E5%BD%95%EF%BC%88%E7%AC%AC%E4%BA%8C%E6%89%B9%EF%BC%89%EF%BC%88%E5%BE%81%E6%B1%82%E6%84%8F%E8%A7%81%E7%A8%BF%EF%BC%89-2025-11-26.xlsx" TargetMode="External"/><Relationship Id="rId133"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2%E3%80%91S%E3%80%942025%E3%80%951919%E5%8F%B7%20%E9%99%84%E4%BB%B62%EF%BC%9A%E5%8D%97%E6%96%B9%E7%94%B5%E7%BD%91%E5%85%AC%E5%8F%B8%E6%95%B0%E6%8D%AE%E5%BC%80%E6%94%BE%E7%9B%AE%E5%BD%95%E8%AF%B4%E6%98%8E-2025-11-26.docx" TargetMode="External"/><Relationship Id="rId135" Type="http://schemas.openxmlformats.org/officeDocument/2006/relationships/hyperlink" Target="../%E5%8D%97%E7%BD%91%E6%96%87%E4%BB%B6_%E8%A7%A3%E5%8E%8B/%E5%85%B3%E4%BA%8E%E5%BE%81%E6%B1%82%E3%80%8A%E5%8D%97%E6%96%B9%E7%94%B5%E7%BD%91%E5%85%AC%E5%8F%B8%E6%95%B0%E6%8D%AE%E5%BC%80%E6%94%BE%E7%9B%AE%E5%BD%95%EF%BC%88%E7%AC%AC%E4%BA%8C%E6%89%B9%EF%BC%89%EF%BC%88%E5%BE%81%E6%B1%82%E6%84%8F%E8%A7%81%E7%A8%BF%EF%BC%89%E3%80%8B%E6%84%8F%E8%A7%81%E7%9A%84%E9%80%9A%E7%9F%A5/%E3%80%90%E9%99%84%E4%BB%B63%E3%80%91S%E3%80%942025%E3%80%951919%E5%8F%B7%20%E9%99%84%E4%BB%B63%EF%BC%9A%E5%8D%97%E6%96%B9%E7%94%B5%E7%BD%91%E5%85%AC%E5%8F%B8%E6%95%B0%E6%8D%AE%E5%BC%80%E6%94%BE%E7%9B%AE%E5%BD%95%EF%BC%88%E7%AC%AC%E4%BA%8C%E6%89%B9%EF%BC%89%E6%84%8F%E8%A7%81%E5%8F%8D%E9%A6%88%E8%A1%A8-2025-11-26.xlsx" TargetMode="External"/><Relationship Id="rId137" Type="http://schemas.openxmlformats.org/officeDocument/2006/relationships/hyperlink" Target="../%E5%8D%97%E7%BD%91%E6%96%87%E4%BB%B6_%E8%A7%A3%E5%8E%8B/%E9%99%84%E4%BB%B61-5%EF%BC%9A%E5%8D%97%E6%96%B9%E5%8C%BA%E5%9F%9F%E7%94%B5%E5%8A%9B%E5%B8%82%E5%9C%BA%E6%B3%A8%E5%86%8C%E5%AE%9E%E6%96%BD%E7%BB%86%E5%88%99%EF%BC%882026%E5%B9%B4V1.0%E7%89%88%EF%BC%89%EF%BC%88%E5%AE%A1%E8%AE%AE%E7%A8%BF%EF%BC%89.pdf" TargetMode="External"/><Relationship Id="rId139" Type="http://schemas.openxmlformats.org/officeDocument/2006/relationships/hyperlink" Target="../%E5%8D%97%E7%BD%91%E6%96%87%E4%BB%B6_%E8%A7%A3%E5%8E%8B/%E9%99%84%E4%BB%B61-6%EF%BC%9A%E5%8D%97%E6%96%B9%E5%8C%BA%E5%9F%9F%E7%94%B5%E5%8A%9B%E5%B8%82%E5%9C%BA%E4%BF%A1%E6%81%AF%E6%8A%AB%E9%9C%B2%E5%AE%9E%E6%96%BD%E7%BB%86%E5%88%99%EF%BC%882026%E5%B9%B4V1.0%E7%89%88%EF%BC%89%28%E5%AE%A1%E8%AE%AE%E7%A8%BF%29.pdf" TargetMode="External"/><Relationship Id="rId121" Type="http://schemas.openxmlformats.org/officeDocument/2006/relationships/hyperlink" Target="../%E9%82%A2%E4%B9%8B%E7%86%A0_%E6%AF%95%E4%B8%9A%E8%AE%BA%E6%96%87.docx" TargetMode="External"/><Relationship Id="rId145" Type="http://schemas.openxmlformats.org/officeDocument/2006/relationships/hyperlink" Target="../../../paper/FINAL_PROTOCOL.md" TargetMode="External"/><Relationship Id="rId143" Type="http://schemas.openxmlformats.org/officeDocument/2006/relationships/hyperlink" Target="../../../paper/claude/V6_ieee/README.md" TargetMode="External"/><Relationship Id="rId142" Type="http://schemas.openxmlformats.org/officeDocument/2006/relationships/hyperlink" Target="../../../paper/claude/V6_ieee/main.tex" TargetMode="External"/><Relationship Id="rId144" Type="http://schemas.openxmlformats.org/officeDocument/2006/relationships/hyperlink" Target="../../20260925_V4%E8%AE%BA%E6%96%87%E4%B8%BB%E7%BA%BF%E9%87%8D%E6%9E%84%E4%B8%8E%E5%AE%8C%E5%96%84%E8%AE%A1%E5%88%92.md" TargetMode="External"/><Relationship Id="rId147" Type="http://schemas.openxmlformats.org/officeDocument/2006/relationships/hyperlink" Target="https://henb.nea.gov.cn/xxgk/zcfg/202402/t20240226_257102.html" TargetMode="External"/><Relationship Id="rId106" Type="http://schemas.openxmlformats.org/officeDocument/2006/relationships/hyperlink" Target="https://openstd.samr.gov.cn/bzgk/std/newGbInfo?hcno=F0C385EDC38CBF277AEC021F23126ADE" TargetMode="External"/><Relationship Id="rId105" Type="http://schemas.openxmlformats.org/officeDocument/2006/relationships/hyperlink" Target="https://www.nea.gov.cn/20260630/2873fa450d2e4317b33d40285b5ed576/c.html" TargetMode="External"/><Relationship Id="rId29" Type="http://schemas.openxmlformats.org/officeDocument/2006/relationships/hyperlink" Target="https://www.nea.gov.cn/20260630/3b456b6f83144abcb989110dcfba4d7d/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南网数据分类分级体系梳理与整合方案</dc:title>
  <dc:creator>项目讨论稿</dc:creator>
  <cp:keywords/>
  <dcterms:created xsi:type="dcterms:W3CDTF">2026-09-29T11:25:05Z</dcterms:created>
  <dcterms:modified xsi:type="dcterms:W3CDTF">2026-09-29T11:25:05Z</dcterms:modified>
</cp:coreProperties>
</file>

<file path=docProps/custom.xml><?xml version="1.0" encoding="utf-8"?>
<Properties xmlns="http://schemas.openxmlformats.org/officeDocument/2006/custom-properties" xmlns:vt="http://schemas.openxmlformats.org/officeDocument/2006/docPropsVTypes"/>
</file>