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一级标题"/>
        <w:spacing w:after="100"/>
      </w:pPr>
      <w:r>
        <w:rPr>
          <w:rFonts w:ascii="Times New Roman" w:hAnsi="Times New Roman" w:eastAsia="方正黑体_GBK"/>
          <w:b/>
          <w:sz w:val="24"/>
        </w:rPr>
        <w:t>2  问题描述</w:t>
      </w:r>
    </w:p>
    <w:p>
      <w:pPr>
        <w:pStyle w:val="二级标题"/>
        <w:spacing w:before="60" w:after="40"/>
      </w:pPr>
      <w:r>
        <w:rPr>
          <w:rFonts w:ascii="Times New Roman" w:hAnsi="Times New Roman" w:eastAsia="方正黑体_GBK"/>
          <w:b/>
          <w:sz w:val="22"/>
        </w:rPr>
        <w:t>2.1  发布审查中的推断关系与隐性推断源</w:t>
      </w:r>
    </w:p>
    <w:p>
      <w:pPr>
        <w:pStyle w:val="正文"/>
        <w:spacing w:line="300" w:lineRule="auto" w:before="0" w:after="0"/>
        <w:ind w:firstLine="420"/>
        <w:jc w:val="both"/>
      </w:pPr>
      <w:r>
        <w:rPr>
          <w:rFonts w:ascii="Times New Roman" w:hAnsi="Times New Roman" w:eastAsia="方正书宋_GBK"/>
          <w:sz w:val="21"/>
        </w:rPr>
        <w:t>在电力数据发布审查中，设经过常规敏感性与合规性审查后形成的候选发布字段集合为F，本次不予公开的敏感信息集合为S。本文进一步关注候选发布字段之间的关联关系是否能够形成对敏感信息的有效推断。根据推断关系的表现形式，可将其分为显式推断关系和隐性推断关系两类。</w:t>
      </w:r>
    </w:p>
    <w:p>
      <w:pPr>
        <w:pStyle w:val="正文"/>
        <w:spacing w:line="300" w:lineRule="auto" w:before="0" w:after="0"/>
        <w:ind w:firstLine="420"/>
        <w:jc w:val="both"/>
      </w:pPr>
      <w:r>
        <w:rPr>
          <w:rFonts w:ascii="Times New Roman" w:hAnsi="Times New Roman" w:eastAsia="方正书宋_GBK"/>
          <w:sz w:val="21"/>
        </w:rPr>
        <w:t>显式推断关系包括公式关系和近似关系。公式关系具有明确的业务定义或物理规律，例如数据字典中的汇总口径、功率守恒关系以及市场结算中的会计恒等式等，可依据数据定义和业务规则直接识别。近似关系虽未在业务规则或数据文档中明确给出，但在实际数据中表现为稳定且具有较高拟合精度的函数关系，例如敏感信息可由若干候选字段的线性组合、乘积或比值关系近似表示。两者虽然来源不同，但均具有关系形式可表达、可复核的特点，可通过规则核查或数据拟合进行识别和剥离。</w:t>
      </w:r>
    </w:p>
    <w:p>
      <w:pPr>
        <w:pStyle w:val="正文"/>
        <w:spacing w:line="300" w:lineRule="auto" w:before="0" w:after="0"/>
        <w:ind w:firstLine="420"/>
        <w:jc w:val="both"/>
      </w:pPr>
      <w:r>
        <w:rPr>
          <w:rFonts w:ascii="Times New Roman" w:hAnsi="Times New Roman" w:eastAsia="方正书宋_GBK"/>
          <w:sz w:val="21"/>
        </w:rPr>
        <w:t>隐性推断关系则难以由明确的公式或简单函数关系表示。在公式关系和近似关系被剥离后，剩余候选字段仍可能通过多字段联合统计依赖对敏感信息保持较强的推断能力。这类统计依赖可能由潮流约束、机组组合、市场出清和调度行为等多种因素共同作用形成，并随系统运行方式和市场规则的变化而改变。本文将此类在显式关系剥离后仍由多字段联合统计依赖形成的推断称为隐性推断，并将其中对敏感信息推断起主要作用、承载主要推断能力的字段集合定义为隐性推断源。</w:t>
      </w:r>
    </w:p>
    <w:p>
      <w:pPr>
        <w:pStyle w:val="正文"/>
        <w:spacing w:line="300" w:lineRule="auto" w:before="0" w:after="0"/>
        <w:ind w:firstLine="420"/>
        <w:jc w:val="both"/>
      </w:pPr>
      <w:r>
        <w:rPr>
          <w:rFonts w:ascii="Times New Roman" w:hAnsi="Times New Roman" w:eastAsia="方正书宋_GBK"/>
          <w:sz w:val="21"/>
        </w:rPr>
        <w:t>两类推断关系对应不同的审查方式。显式推断关系具有较明确的业务或数学表达，可通过规则维护、数据核查和拟合分析进行识别；隐性推断关系难以预先枚举，需要依据实际数据评估其推断能力并进一步定位主要承载字段。因此，本文首先识别并剥离公式关系和近似关系，在排除显式推断路径影响的基础上，再对剩余候选字段中的隐性推断风险及其推断源进行分析。</w:t>
      </w:r>
    </w:p>
    <w:p>
      <w:pPr>
        <w:pStyle w:val="二级标题"/>
        <w:spacing w:before="100" w:after="40"/>
      </w:pPr>
      <w:r>
        <w:rPr>
          <w:rFonts w:ascii="Times New Roman" w:hAnsi="Times New Roman" w:eastAsia="方正黑体_GBK"/>
          <w:b/>
          <w:sz w:val="22"/>
        </w:rPr>
        <w:t>2.2  推断型数据泄露风险的形式化</w:t>
      </w:r>
    </w:p>
    <w:p>
      <w:pPr>
        <w:pStyle w:val="正文"/>
        <w:spacing w:line="300" w:lineRule="auto" w:before="0" w:after="0"/>
        <w:ind w:firstLine="420"/>
        <w:jc w:val="both"/>
      </w:pPr>
      <w:r>
        <w:rPr>
          <w:rFonts w:ascii="Times New Roman" w:hAnsi="Times New Roman" w:eastAsia="方正书宋_GBK"/>
          <w:sz w:val="21"/>
        </w:rPr>
        <w:t>为定量描述拟发布字段集合对敏感信息的推断能力，记候选发布字段集合为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20"/>
        <w:gridCol w:w="850"/>
      </w:tblGrid>
      <w:tr>
        <w:tc>
          <w:tcPr>
            <w:tcW w:type="dxa" w:w="4847"/>
            <w:tcMar>
              <w:top w:w="0" w:type="dxa"/>
              <w:start w:w="0" w:type="dxa"/>
              <w:bottom w:w="0" w:type="dxa"/>
              <w:end w:w="0" w:type="dxa"/>
            </w:tcMar>
            <w:vAlign w:val="center"/>
          </w:tcPr>
          <w:p>
            <w:pPr>
              <w:spacing w:before="40" w:after="40" w:line="240" w:lineRule="auto"/>
              <w:jc w:val="center"/>
            </w:pPr>
            <w:r>
              <w:rPr>
                <w:rFonts w:ascii="Cambria Math" w:hAnsi="Cambria Math"/>
                <w:i/>
                <w:sz w:val="22"/>
              </w:rPr>
              <w:t>F = {f</w:t>
            </w:r>
            <w:r>
              <w:rPr>
                <w:rFonts w:ascii="Cambria Math" w:hAnsi="Cambria Math"/>
                <w:sz w:val="22"/>
                <w:vertAlign w:val="subscript"/>
              </w:rPr>
              <w:t>1</w:t>
            </w:r>
            <w:r>
              <w:rPr>
                <w:rFonts w:ascii="Cambria Math" w:hAnsi="Cambria Math"/>
                <w:i/>
                <w:sz w:val="22"/>
              </w:rPr>
              <w:t>, …, f</w:t>
            </w:r>
            <w:r>
              <w:rPr>
                <w:rFonts w:ascii="Cambria Math" w:hAnsi="Cambria Math"/>
                <w:sz w:val="22"/>
                <w:vertAlign w:val="subscript"/>
              </w:rPr>
              <w:t>n</w:t>
            </w:r>
            <w:r>
              <w:rPr>
                <w:rFonts w:ascii="Cambria Math" w:hAnsi="Cambria Math"/>
                <w:sz w:val="22"/>
              </w:rPr>
              <w:t>}</w:t>
            </w:r>
          </w:p>
        </w:tc>
        <w:tc>
          <w:tcPr>
            <w:tcW w:type="dxa" w:w="4847"/>
            <w:tcMar>
              <w:top w:w="0" w:type="dxa"/>
              <w:start w:w="0" w:type="dxa"/>
              <w:bottom w:w="0" w:type="dxa"/>
              <w:end w:w="0" w:type="dxa"/>
            </w:tcMar>
            <w:vAlign w:val="center"/>
          </w:tcPr>
          <w:p/>
        </w:tc>
      </w:tr>
    </w:tbl>
    <w:p>
      <w:pPr>
        <w:pStyle w:val="正文"/>
        <w:spacing w:line="300" w:lineRule="auto" w:before="0" w:after="0"/>
        <w:ind w:firstLine="420"/>
        <w:jc w:val="both"/>
      </w:pPr>
      <w:r>
        <w:rPr>
          <w:rFonts w:ascii="Times New Roman" w:hAnsi="Times New Roman" w:eastAsia="方正书宋_GBK"/>
          <w:sz w:val="21"/>
        </w:rPr>
        <w:t>不公开的敏感信息集合为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20"/>
        <w:gridCol w:w="850"/>
      </w:tblGrid>
      <w:tr>
        <w:tc>
          <w:tcPr>
            <w:tcW w:type="dxa" w:w="4847"/>
            <w:tcMar>
              <w:top w:w="0" w:type="dxa"/>
              <w:start w:w="0" w:type="dxa"/>
              <w:bottom w:w="0" w:type="dxa"/>
              <w:end w:w="0" w:type="dxa"/>
            </w:tcMar>
            <w:vAlign w:val="center"/>
          </w:tcPr>
          <w:p>
            <w:pPr>
              <w:spacing w:before="40" w:after="40" w:line="240" w:lineRule="auto"/>
              <w:jc w:val="center"/>
            </w:pPr>
            <w:r>
              <w:rPr>
                <w:rFonts w:ascii="Cambria Math" w:hAnsi="Cambria Math"/>
                <w:i/>
                <w:sz w:val="22"/>
              </w:rPr>
              <w:t>S = {s</w:t>
            </w:r>
            <w:r>
              <w:rPr>
                <w:rFonts w:ascii="Cambria Math" w:hAnsi="Cambria Math"/>
                <w:sz w:val="22"/>
                <w:vertAlign w:val="subscript"/>
              </w:rPr>
              <w:t>1</w:t>
            </w:r>
            <w:r>
              <w:rPr>
                <w:rFonts w:ascii="Cambria Math" w:hAnsi="Cambria Math"/>
                <w:i/>
                <w:sz w:val="22"/>
              </w:rPr>
              <w:t>, …, s</w:t>
            </w:r>
            <w:r>
              <w:rPr>
                <w:rFonts w:ascii="Cambria Math" w:hAnsi="Cambria Math"/>
                <w:sz w:val="22"/>
                <w:vertAlign w:val="subscript"/>
              </w:rPr>
              <w:t>m</w:t>
            </w:r>
            <w:r>
              <w:rPr>
                <w:rFonts w:ascii="Cambria Math" w:hAnsi="Cambria Math"/>
                <w:sz w:val="22"/>
              </w:rPr>
              <w:t>}</w:t>
            </w:r>
          </w:p>
        </w:tc>
        <w:tc>
          <w:tcPr>
            <w:tcW w:type="dxa" w:w="4847"/>
            <w:tcMar>
              <w:top w:w="0" w:type="dxa"/>
              <w:start w:w="0" w:type="dxa"/>
              <w:bottom w:w="0" w:type="dxa"/>
              <w:end w:w="0" w:type="dxa"/>
            </w:tcMar>
            <w:vAlign w:val="center"/>
          </w:tcPr>
          <w:p/>
        </w:tc>
      </w:tr>
    </w:tbl>
    <w:p>
      <w:pPr>
        <w:pStyle w:val="正文"/>
        <w:spacing w:line="300" w:lineRule="auto" w:before="0" w:after="0"/>
        <w:ind w:firstLine="420"/>
        <w:jc w:val="both"/>
      </w:pPr>
      <w:r>
        <w:rPr>
          <w:rFonts w:ascii="Times New Roman" w:hAnsi="Times New Roman" w:eastAsia="方正书宋_GBK"/>
          <w:sz w:val="21"/>
        </w:rPr>
        <w:t>对于任意候选字段子集A⊆F，定义敏感信息s关于字段集合A的可推断性为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20"/>
        <w:gridCol w:w="850"/>
      </w:tblGrid>
      <w:tr>
        <w:tc>
          <w:tcPr>
            <w:tcW w:type="dxa" w:w="4847"/>
            <w:tcMar>
              <w:top w:w="0" w:type="dxa"/>
              <w:start w:w="0" w:type="dxa"/>
              <w:bottom w:w="0" w:type="dxa"/>
              <w:end w:w="0" w:type="dxa"/>
            </w:tcMar>
            <w:vAlign w:val="center"/>
          </w:tcPr>
          <w:p>
            <w:pPr>
              <w:spacing w:before="40" w:after="40" w:line="240" w:lineRule="auto"/>
              <w:jc w:val="center"/>
            </w:pPr>
            <w:r>
              <w:rPr>
                <w:rFonts w:ascii="Cambria Math" w:hAnsi="Cambria Math"/>
                <w:sz w:val="22"/>
              </w:rPr>
              <w:t>ρ(s | A) = sup</w:t>
            </w:r>
            <w:r>
              <w:rPr>
                <w:rFonts w:ascii="Cambria Math" w:hAnsi="Cambria Math"/>
                <w:sz w:val="22"/>
                <w:vertAlign w:val="subscript"/>
              </w:rPr>
              <w:t>g∈G</w:t>
            </w:r>
            <w:r>
              <w:rPr>
                <w:rFonts w:ascii="Cambria Math" w:hAnsi="Cambria Math"/>
                <w:sz w:val="22"/>
              </w:rPr>
              <w:t xml:space="preserve"> R</w:t>
            </w:r>
            <w:r>
              <w:rPr>
                <w:rFonts w:ascii="Cambria Math" w:hAnsi="Cambria Math"/>
                <w:sz w:val="22"/>
                <w:vertAlign w:val="superscript"/>
              </w:rPr>
              <w:t>2</w:t>
            </w:r>
            <w:r>
              <w:rPr>
                <w:rFonts w:ascii="Cambria Math" w:hAnsi="Cambria Math"/>
                <w:sz w:val="22"/>
              </w:rPr>
              <w:t>(s, g(A))</w:t>
            </w:r>
          </w:p>
        </w:tc>
        <w:tc>
          <w:tcPr>
            <w:tcW w:type="dxa" w:w="4847"/>
            <w:tcMar>
              <w:top w:w="0" w:type="dxa"/>
              <w:start w:w="0" w:type="dxa"/>
              <w:bottom w:w="0" w:type="dxa"/>
              <w:end w:w="0" w:type="dxa"/>
            </w:tcMar>
            <w:vAlign w:val="center"/>
          </w:tcPr>
          <w:p>
            <w:pPr>
              <w:spacing w:before="40" w:after="40"/>
              <w:jc w:val="right"/>
            </w:pPr>
            <w:r>
              <w:rPr>
                <w:rFonts w:ascii="Times New Roman" w:hAnsi="Times New Roman" w:eastAsia="方正书宋_GBK"/>
                <w:sz w:val="21"/>
              </w:rPr>
              <w:t>（1）</w:t>
            </w:r>
          </w:p>
        </w:tc>
      </w:tr>
    </w:tbl>
    <w:p>
      <w:pPr>
        <w:pStyle w:val="正文"/>
        <w:spacing w:line="300" w:lineRule="auto" w:before="0" w:after="0"/>
        <w:ind w:firstLine="420"/>
        <w:jc w:val="both"/>
      </w:pPr>
      <w:r>
        <w:rPr>
          <w:rFonts w:ascii="Times New Roman" w:hAnsi="Times New Roman" w:eastAsia="方正书宋_GBK"/>
          <w:sz w:val="21"/>
        </w:rPr>
        <w:t>式中：G为具有足够表达能力的推断函数类；g(A)表示以字段集合A为输入得到的敏感信息预测结果；R²为模型在独立测试集上的决定系数，用于衡量候选字段对敏感信息的推断精度，其定义为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20"/>
        <w:gridCol w:w="850"/>
      </w:tblGrid>
      <w:tr>
        <w:tc>
          <w:tcPr>
            <w:tcW w:type="dxa" w:w="4847"/>
            <w:tcMar>
              <w:top w:w="0" w:type="dxa"/>
              <w:start w:w="0" w:type="dxa"/>
              <w:bottom w:w="0" w:type="dxa"/>
              <w:end w:w="0" w:type="dxa"/>
            </w:tcMar>
            <w:vAlign w:val="center"/>
          </w:tcPr>
          <w:p>
            <w:pPr>
              <w:spacing w:before="40" w:after="40" w:line="240" w:lineRule="auto"/>
              <w:jc w:val="center"/>
            </w:pPr>
            <w:r>
              <w:rPr>
                <w:rFonts w:ascii="Cambria Math" w:hAnsi="Cambria Math"/>
                <w:sz w:val="22"/>
              </w:rPr>
              <w:t>R</w:t>
            </w:r>
            <w:r>
              <w:rPr>
                <w:rFonts w:ascii="Cambria Math" w:hAnsi="Cambria Math"/>
                <w:sz w:val="22"/>
                <w:vertAlign w:val="superscript"/>
              </w:rPr>
              <w:t>2</w:t>
            </w:r>
            <w:r>
              <w:rPr>
                <w:rFonts w:ascii="Cambria Math" w:hAnsi="Cambria Math"/>
                <w:sz w:val="22"/>
              </w:rPr>
              <w:t xml:space="preserve"> = 1 − [Σ</w:t>
            </w:r>
            <w:r>
              <w:rPr>
                <w:rFonts w:ascii="Cambria Math" w:hAnsi="Cambria Math"/>
                <w:sz w:val="22"/>
                <w:vertAlign w:val="subscript"/>
              </w:rPr>
              <w:t>k=1</w:t>
            </w:r>
            <w:r>
              <w:rPr>
                <w:rFonts w:ascii="Cambria Math" w:hAnsi="Cambria Math"/>
                <w:sz w:val="22"/>
                <w:vertAlign w:val="superscript"/>
              </w:rPr>
              <w:t>N</w:t>
            </w:r>
            <w:r>
              <w:rPr>
                <w:rFonts w:ascii="Cambria Math" w:hAnsi="Cambria Math"/>
                <w:sz w:val="22"/>
              </w:rPr>
              <w:t>(y</w:t>
            </w:r>
            <w:r>
              <w:rPr>
                <w:rFonts w:ascii="Cambria Math" w:hAnsi="Cambria Math"/>
                <w:sz w:val="22"/>
                <w:vertAlign w:val="subscript"/>
              </w:rPr>
              <w:t>k</w:t>
            </w:r>
            <w:r>
              <w:rPr>
                <w:rFonts w:ascii="Cambria Math" w:hAnsi="Cambria Math"/>
                <w:sz w:val="22"/>
              </w:rPr>
              <w:t xml:space="preserve"> − ŷ</w:t>
            </w:r>
            <w:r>
              <w:rPr>
                <w:rFonts w:ascii="Cambria Math" w:hAnsi="Cambria Math"/>
                <w:sz w:val="22"/>
                <w:vertAlign w:val="subscript"/>
              </w:rPr>
              <w:t>k</w:t>
            </w:r>
            <w:r>
              <w:rPr>
                <w:rFonts w:ascii="Cambria Math" w:hAnsi="Cambria Math"/>
                <w:sz w:val="22"/>
              </w:rPr>
              <w:t>)</w:t>
            </w:r>
            <w:r>
              <w:rPr>
                <w:rFonts w:ascii="Cambria Math" w:hAnsi="Cambria Math"/>
                <w:sz w:val="22"/>
                <w:vertAlign w:val="superscript"/>
              </w:rPr>
              <w:t>2</w:t>
            </w:r>
            <w:r>
              <w:rPr>
                <w:rFonts w:ascii="Cambria Math" w:hAnsi="Cambria Math"/>
                <w:sz w:val="22"/>
              </w:rPr>
              <w:t>] / [Σ</w:t>
            </w:r>
            <w:r>
              <w:rPr>
                <w:rFonts w:ascii="Cambria Math" w:hAnsi="Cambria Math"/>
                <w:sz w:val="22"/>
                <w:vertAlign w:val="subscript"/>
              </w:rPr>
              <w:t>k=1</w:t>
            </w:r>
            <w:r>
              <w:rPr>
                <w:rFonts w:ascii="Cambria Math" w:hAnsi="Cambria Math"/>
                <w:sz w:val="22"/>
                <w:vertAlign w:val="superscript"/>
              </w:rPr>
              <w:t>N</w:t>
            </w:r>
            <w:r>
              <w:rPr>
                <w:rFonts w:ascii="Cambria Math" w:hAnsi="Cambria Math"/>
                <w:sz w:val="22"/>
              </w:rPr>
              <w:t>(y</w:t>
            </w:r>
            <w:r>
              <w:rPr>
                <w:rFonts w:ascii="Cambria Math" w:hAnsi="Cambria Math"/>
                <w:sz w:val="22"/>
                <w:vertAlign w:val="subscript"/>
              </w:rPr>
              <w:t>k</w:t>
            </w:r>
            <w:r>
              <w:rPr>
                <w:rFonts w:ascii="Cambria Math" w:hAnsi="Cambria Math"/>
                <w:sz w:val="22"/>
              </w:rPr>
              <w:t xml:space="preserve"> − ȳ)</w:t>
            </w:r>
            <w:r>
              <w:rPr>
                <w:rFonts w:ascii="Cambria Math" w:hAnsi="Cambria Math"/>
                <w:sz w:val="22"/>
                <w:vertAlign w:val="superscript"/>
              </w:rPr>
              <w:t>2</w:t>
            </w:r>
            <w:r>
              <w:rPr>
                <w:rFonts w:ascii="Cambria Math" w:hAnsi="Cambria Math"/>
                <w:sz w:val="22"/>
              </w:rPr>
              <w:t>]</w:t>
            </w:r>
          </w:p>
        </w:tc>
        <w:tc>
          <w:tcPr>
            <w:tcW w:type="dxa" w:w="4847"/>
            <w:tcMar>
              <w:top w:w="0" w:type="dxa"/>
              <w:start w:w="0" w:type="dxa"/>
              <w:bottom w:w="0" w:type="dxa"/>
              <w:end w:w="0" w:type="dxa"/>
            </w:tcMar>
            <w:vAlign w:val="center"/>
          </w:tcPr>
          <w:p>
            <w:pPr>
              <w:spacing w:before="40" w:after="40"/>
              <w:jc w:val="right"/>
            </w:pPr>
            <w:r>
              <w:rPr>
                <w:rFonts w:ascii="Times New Roman" w:hAnsi="Times New Roman" w:eastAsia="方正书宋_GBK"/>
                <w:sz w:val="21"/>
              </w:rPr>
              <w:t>（2）</w:t>
            </w:r>
          </w:p>
        </w:tc>
      </w:tr>
    </w:tbl>
    <w:p>
      <w:pPr>
        <w:pStyle w:val="正文"/>
        <w:spacing w:line="300" w:lineRule="auto" w:before="0" w:after="0"/>
        <w:ind w:firstLine="420"/>
        <w:jc w:val="both"/>
      </w:pPr>
      <w:r>
        <w:rPr>
          <w:rFonts w:ascii="Times New Roman" w:hAnsi="Times New Roman" w:eastAsia="方正书宋_GBK"/>
          <w:sz w:val="21"/>
        </w:rPr>
        <w:t>式中：yₖ为第k个测试样本的真实值；ŷₖ为模型预测值；ȳ为测试样本真实值的均值；N为测试样本数。R²越大，表明字段集合A对敏感信息s的推断能力越强。实际审查中，式（1）中的最优推断能力由具有较强拟合能力的模型在独立测试集上的结果近似估计。</w:t>
      </w:r>
    </w:p>
    <w:p>
      <w:pPr>
        <w:pStyle w:val="正文"/>
        <w:pageBreakBefore/>
        <w:spacing w:line="300" w:lineRule="auto" w:before="0" w:after="0"/>
        <w:ind w:firstLine="420"/>
        <w:jc w:val="both"/>
      </w:pPr>
      <w:r>
        <w:rPr>
          <w:rFonts w:ascii="Times New Roman" w:hAnsi="Times New Roman" w:eastAsia="方正书宋_GBK"/>
          <w:sz w:val="21"/>
        </w:rPr>
        <w:t>对于给定的拟发布字段集合A，以其对所有敏感信息的最大可推断性作为推断型数据泄露风险的判定依据，即要求</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20"/>
        <w:gridCol w:w="850"/>
      </w:tblGrid>
      <w:tr>
        <w:tc>
          <w:tcPr>
            <w:tcW w:type="dxa" w:w="4847"/>
            <w:tcMar>
              <w:top w:w="0" w:type="dxa"/>
              <w:start w:w="0" w:type="dxa"/>
              <w:bottom w:w="0" w:type="dxa"/>
              <w:end w:w="0" w:type="dxa"/>
            </w:tcMar>
            <w:vAlign w:val="center"/>
          </w:tcPr>
          <w:p>
            <w:pPr>
              <w:spacing w:before="40" w:after="40" w:line="240" w:lineRule="auto"/>
              <w:jc w:val="center"/>
            </w:pPr>
            <w:r>
              <w:rPr>
                <w:rFonts w:ascii="Cambria Math" w:hAnsi="Cambria Math"/>
                <w:sz w:val="22"/>
              </w:rPr>
              <w:t>max</w:t>
            </w:r>
            <w:r>
              <w:rPr>
                <w:rFonts w:ascii="Cambria Math" w:hAnsi="Cambria Math"/>
                <w:sz w:val="22"/>
                <w:vertAlign w:val="subscript"/>
              </w:rPr>
              <w:t>s∈S</w:t>
            </w:r>
            <w:r>
              <w:rPr>
                <w:rFonts w:ascii="Cambria Math" w:hAnsi="Cambria Math"/>
                <w:sz w:val="22"/>
              </w:rPr>
              <w:t xml:space="preserve"> ρ(s | A) ≤ ρ*</w:t>
            </w:r>
          </w:p>
        </w:tc>
        <w:tc>
          <w:tcPr>
            <w:tcW w:type="dxa" w:w="4847"/>
            <w:tcMar>
              <w:top w:w="0" w:type="dxa"/>
              <w:start w:w="0" w:type="dxa"/>
              <w:bottom w:w="0" w:type="dxa"/>
              <w:end w:w="0" w:type="dxa"/>
            </w:tcMar>
            <w:vAlign w:val="center"/>
          </w:tcPr>
          <w:p>
            <w:pPr>
              <w:spacing w:before="40" w:after="40"/>
              <w:jc w:val="right"/>
            </w:pPr>
            <w:r>
              <w:rPr>
                <w:rFonts w:ascii="Times New Roman" w:hAnsi="Times New Roman" w:eastAsia="方正书宋_GBK"/>
                <w:sz w:val="21"/>
              </w:rPr>
              <w:t>（3）</w:t>
            </w:r>
          </w:p>
        </w:tc>
      </w:tr>
    </w:tbl>
    <w:p>
      <w:pPr>
        <w:pStyle w:val="正文"/>
        <w:spacing w:line="300" w:lineRule="auto" w:before="0" w:after="0"/>
        <w:ind w:firstLine="420"/>
        <w:jc w:val="both"/>
      </w:pPr>
      <w:r>
        <w:rPr>
          <w:rFonts w:ascii="Times New Roman" w:hAnsi="Times New Roman" w:eastAsia="方正书宋_GBK"/>
          <w:sz w:val="21"/>
        </w:rPr>
        <w:t>式中：ρ*为根据数据安全管理要求设定的可接受可推断性上限。当式（3）不满足时，表明当前拟发布字段集合中至少存在一个敏感信息能够被以超过管理要求的精度推断，需要进一步识别主要风险来源并采取相应处置；处置后重新计算可推断性，以评估残余推断风险是否满足发布要求。</w:t>
      </w:r>
    </w:p>
    <w:p>
      <w:pPr>
        <w:pStyle w:val="正文"/>
        <w:spacing w:line="300" w:lineRule="auto" w:before="0" w:after="0"/>
        <w:ind w:firstLine="420"/>
        <w:jc w:val="both"/>
      </w:pPr>
      <w:r>
        <w:rPr>
          <w:rFonts w:ascii="Times New Roman" w:hAnsi="Times New Roman" w:eastAsia="方正书宋_GBK"/>
          <w:sz w:val="21"/>
        </w:rPr>
        <w:t>式（1）—（3）给出了拟发布字段集合整体推断风险的度量方式，但仅判断风险是否存在并不能直接确定处置对象。对于包含n个候选字段的数据集，共存在2ⁿ种字段组合，逐一评估所有字段子集的可推断性在实际应用中难以实现。同时，全量字段具有较高可推断性只能说明推断风险存在，无法确定该推断能力主要由哪些字段承载。因此，发布审查还需要在可接受的计算复杂度下，从候选字段中识别能够保持主要推断能力的少量字段，即定位隐性推断源，并以其对应的可推断性衡量风险强度，为后续针对性处置提供依据。</w:t>
      </w:r>
    </w:p>
    <w:p>
      <w:pPr>
        <w:pStyle w:val="正文"/>
        <w:spacing w:line="300" w:lineRule="auto" w:before="0" w:after="0"/>
        <w:ind w:firstLine="420"/>
        <w:jc w:val="both"/>
      </w:pPr>
      <w:r>
        <w:rPr>
          <w:rFonts w:ascii="Times New Roman" w:hAnsi="Times New Roman" w:eastAsia="方正书宋_GBK"/>
          <w:sz w:val="21"/>
        </w:rPr>
        <w:t>由此，本文所研究的推断型数据泄露风险审查问题可归纳为三个相互衔接的环节：首先评估拟发布字段集合对敏感信息的可推断性；其次在剥离显式推断关系后定位承载主要隐性推断能力的字段；最后对定位字段实施处置并重新评估残余可推断性。上述问题定义为后续“显式关系剥离—隐性推断源定位—字段处置与再评估”的方法设计提供基础。</w:t>
      </w:r>
    </w:p>
    <w:sectPr w:rsidR="00FC693F" w:rsidRPr="0006063C" w:rsidSect="00034616">
      <w:pgSz w:w="11906" w:h="16838"/>
      <w:pgMar w:top="1701" w:right="1106" w:bottom="1106" w:left="11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方正书宋_GBK"/>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pPr>
      <w:spacing w:line="300" w:lineRule="auto"/>
    </w:pPr>
    <w:rPr>
      <w:rFonts w:ascii="Times New Roman" w:hAnsi="Times New Roman" w:eastAsia="方正书宋_GBK"/>
      <w:sz w:val="21"/>
    </w:rPr>
  </w:style>
  <w:style w:type="paragraph" w:customStyle="1" w:styleId="一级标题">
    <w:name w:val="一级标题"/>
    <w:pPr>
      <w:keepNext/>
    </w:pPr>
    <w:rPr>
      <w:rFonts w:ascii="Arial" w:hAnsi="Arial" w:eastAsia="方正黑体_GBK"/>
      <w:b/>
      <w:sz w:val="24"/>
    </w:rPr>
  </w:style>
  <w:style w:type="paragraph" w:customStyle="1" w:styleId="二级标题">
    <w:name w:val="二级标题"/>
    <w:pPr>
      <w:keepNext/>
    </w:pPr>
    <w:rPr>
      <w:rFonts w:ascii="Arial" w:hAnsi="Arial" w:eastAsia="方正黑体_GBK"/>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第2章 问题描述</dc:title>
  <dc:subject>面向推断型数据泄露风险的电力数据发布审查方法</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