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5CDF2" w14:textId="07014BF1" w:rsidR="001021E2" w:rsidRDefault="001021E2" w:rsidP="001021E2">
      <w:r w:rsidRPr="001021E2">
        <w:rPr>
          <w:b/>
          <w:bCs/>
        </w:rPr>
        <w:t>Part 2: DDoS Discovery: Industry and Academic perspective</w:t>
      </w:r>
    </w:p>
    <w:p w14:paraId="40C5BDF7" w14:textId="21ED1AB1" w:rsidR="00E635F8" w:rsidRDefault="00E635F8" w:rsidP="00E635F8">
      <w:r>
        <w:t xml:space="preserve">The monitoring technologies mentioned in the papers </w:t>
      </w:r>
      <w:proofErr w:type="gramStart"/>
      <w:r>
        <w:t>are:</w:t>
      </w:r>
      <w:proofErr w:type="gramEnd"/>
      <w:r>
        <w:t xml:space="preserve"> Network telescopes, Flow monitoring, Honey pots and hybrid approaches combining them together.</w:t>
      </w:r>
    </w:p>
    <w:p w14:paraId="6099308A" w14:textId="5EC82F26" w:rsidR="00E635F8" w:rsidRPr="00E635F8" w:rsidRDefault="00E635F8" w:rsidP="00E635F8">
      <w:r w:rsidRPr="00E635F8">
        <w:t>Differences in monitoring DDoS attacks across technologies arise from:</w:t>
      </w:r>
    </w:p>
    <w:p w14:paraId="6DD4B653" w14:textId="77777777" w:rsidR="00E635F8" w:rsidRPr="006372A3" w:rsidRDefault="00E635F8" w:rsidP="00E635F8">
      <w:pPr>
        <w:numPr>
          <w:ilvl w:val="0"/>
          <w:numId w:val="3"/>
        </w:numPr>
      </w:pPr>
      <w:r w:rsidRPr="006372A3">
        <w:rPr>
          <w:b/>
          <w:bCs/>
        </w:rPr>
        <w:t>Vantage Point</w:t>
      </w:r>
      <w:r w:rsidRPr="006372A3">
        <w:t xml:space="preserve">: The position of a technology within the network influences what portions of traffic it can observe. </w:t>
      </w:r>
    </w:p>
    <w:p w14:paraId="30B3A20B" w14:textId="7742D6A6" w:rsidR="00E635F8" w:rsidRPr="00E635F8" w:rsidRDefault="00E635F8" w:rsidP="00E635F8">
      <w:pPr>
        <w:numPr>
          <w:ilvl w:val="0"/>
          <w:numId w:val="3"/>
        </w:numPr>
      </w:pPr>
      <w:r w:rsidRPr="00E635F8">
        <w:rPr>
          <w:b/>
          <w:bCs/>
        </w:rPr>
        <w:t>Detection</w:t>
      </w:r>
      <w:r w:rsidRPr="00E635F8">
        <w:t xml:space="preserve">: Distinguishing legitimate traffic peaks from attack traffic is challenging, as each technology highlights unique traffic or attack attributes using varied feature sets. </w:t>
      </w:r>
    </w:p>
    <w:p w14:paraId="765C5C88" w14:textId="3750B011" w:rsidR="00E635F8" w:rsidRPr="00E635F8" w:rsidRDefault="00E635F8" w:rsidP="00E635F8">
      <w:pPr>
        <w:numPr>
          <w:ilvl w:val="0"/>
          <w:numId w:val="3"/>
        </w:numPr>
      </w:pPr>
      <w:r w:rsidRPr="00E635F8">
        <w:rPr>
          <w:b/>
          <w:bCs/>
        </w:rPr>
        <w:t>Scope</w:t>
      </w:r>
      <w:r w:rsidRPr="00E635F8">
        <w:t xml:space="preserve">: A </w:t>
      </w:r>
      <w:r w:rsidRPr="00E635F8">
        <w:t>technology</w:t>
      </w:r>
      <w:r w:rsidRPr="00E635F8">
        <w:t xml:space="preserve"> monitoring range</w:t>
      </w:r>
      <w:r>
        <w:t xml:space="preserve"> </w:t>
      </w:r>
      <w:r w:rsidRPr="00E635F8">
        <w:t>defines its capabilities. Monitoring range shapes capabilities. Telescopes target spoofed direct-path attacks, missing reflection attacks, while flow monitoring at IXPs broadly captures attacks but is path-limited</w:t>
      </w:r>
      <w:r>
        <w:t xml:space="preserve"> (as it captures only specific ones)</w:t>
      </w:r>
    </w:p>
    <w:p w14:paraId="7087BDAB" w14:textId="05B3D392" w:rsidR="00E635F8" w:rsidRPr="00E635F8" w:rsidRDefault="00E635F8" w:rsidP="00E635F8">
      <w:pPr>
        <w:numPr>
          <w:ilvl w:val="0"/>
          <w:numId w:val="3"/>
        </w:numPr>
      </w:pPr>
      <w:r w:rsidRPr="00E635F8">
        <w:rPr>
          <w:b/>
          <w:bCs/>
        </w:rPr>
        <w:t>Data Access</w:t>
      </w:r>
      <w:r w:rsidRPr="00E635F8">
        <w:t xml:space="preserve">: Data sharing impacts attack visibility. </w:t>
      </w:r>
      <w:r>
        <w:t xml:space="preserve">For </w:t>
      </w:r>
      <w:proofErr w:type="gramStart"/>
      <w:r>
        <w:t>example</w:t>
      </w:r>
      <w:proofErr w:type="gramEnd"/>
      <w:r>
        <w:t xml:space="preserve"> the authors of the paper mentioned </w:t>
      </w:r>
      <w:r w:rsidRPr="00E635F8">
        <w:t xml:space="preserve">Flow monitoring by </w:t>
      </w:r>
      <w:proofErr w:type="spellStart"/>
      <w:r w:rsidRPr="00E635F8">
        <w:t>Netscout</w:t>
      </w:r>
      <w:proofErr w:type="spellEnd"/>
      <w:r w:rsidRPr="00E635F8">
        <w:t xml:space="preserve"> integrates ISP data for broader insights, but proprietary limits restrict sharing, unlike shareable but narrower telescope data</w:t>
      </w:r>
    </w:p>
    <w:p w14:paraId="5056B3C2" w14:textId="2284370B" w:rsidR="00E635F8" w:rsidRPr="00E635F8" w:rsidRDefault="00E635F8" w:rsidP="00E635F8">
      <w:pPr>
        <w:ind w:left="720"/>
      </w:pPr>
    </w:p>
    <w:p w14:paraId="55933E41" w14:textId="77777777" w:rsidR="006372A3" w:rsidRDefault="006372A3"/>
    <w:sectPr w:rsidR="0063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D3284"/>
    <w:multiLevelType w:val="multilevel"/>
    <w:tmpl w:val="3F04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A441E"/>
    <w:multiLevelType w:val="multilevel"/>
    <w:tmpl w:val="D94E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868C5"/>
    <w:multiLevelType w:val="multilevel"/>
    <w:tmpl w:val="13D8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577562">
    <w:abstractNumId w:val="2"/>
  </w:num>
  <w:num w:numId="2" w16cid:durableId="1760716998">
    <w:abstractNumId w:val="1"/>
  </w:num>
  <w:num w:numId="3" w16cid:durableId="1569069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A3"/>
    <w:rsid w:val="001021E2"/>
    <w:rsid w:val="006372A3"/>
    <w:rsid w:val="00A77F1E"/>
    <w:rsid w:val="00E6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503B"/>
  <w15:chartTrackingRefBased/>
  <w15:docId w15:val="{8B59CA5B-1F86-47C0-A8BC-5D9875E2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2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2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2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2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2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 Badichi</dc:creator>
  <cp:keywords/>
  <dc:description/>
  <cp:lastModifiedBy>Hod Badichi</cp:lastModifiedBy>
  <cp:revision>1</cp:revision>
  <dcterms:created xsi:type="dcterms:W3CDTF">2025-04-21T11:12:00Z</dcterms:created>
  <dcterms:modified xsi:type="dcterms:W3CDTF">2025-04-21T11:33:00Z</dcterms:modified>
</cp:coreProperties>
</file>