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ShieldPay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Confidential Payment Rails on Fhenix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Technical Architecture &amp; Developer Documentation  |  v1.0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Network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Fhenix L2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C3489"/>
                <w:sz w:val="18"/>
                <w:szCs w:val="18"/>
              </w:rPr>
              <w:t xml:space="preserve">Cryptography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FHE + ZK Proofs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Settlement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USDC / EURC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Language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Solidity + FHE SDK</w:t>
            </w:r>
          </w:p>
        </w:tc>
      </w:tr>
    </w:tbl>
    <w:p>
      <w:pPr>
        <w:spacing w:before="600" w:after="0"/>
      </w:pPr>
    </w:p>
    <w:p>
      <w:pPr>
        <w:pageBreakBefore/>
        <w:spacing w:before="0" w:after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 w:after="0"/>
      </w:pPr>
    </w:p>
    <w:p>
      <w:pPr>
        <w:pageBreakBefore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Overview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ShieldPay is a privacy-first payment protocol built natively on the Fhenix encrypted EVM. It enables confidential payroll, contractor payments, treasury movements, and cross-border settlements — with amounts, identities, and transaction metadata fully encrypted on-chain using Fully Homomorphic Encryption (FHE).</w:t>
      </w:r>
    </w:p>
    <w:p>
      <w:pPr>
        <w:spacing w:before="80" w:after="0"/>
      </w:pP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Unlike privacy solutions that rely on off-chain mixing or transparent-then-shielded architectures, ShieldPay keeps all computation encrypted end-to-end. The Fhenix network's FHE capabilities allow the smart contract itself to process encrypted values — no trusted intermediary, no data ever leaves the encrypted domain.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Why Fhenix?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Fhenix is the first EVM-compatible blockchain with native FHE support via the TFHE (Threshold Fully Homomorphic Encryption) library. Smart contracts on Fhenix can perform arithmetic operations — addition, comparison, conditional logic — directly on encrypted values using the euint32/euint64 types. This is fundamentally different from ZK-only approaches: FHE enables confidential state transitions without a proving step.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Problem Statement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Blockchain-based payments today face a fundamental privacy paradox. Every payroll transaction, contractor payment, and treasury transfer is fully visible to anyone scanning the chain. This creates three critical failure modes: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Salary exposure: employees can see each other's compensation; competitors can analyze headcount and burn rate from on-chain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Front-running: large treasury movements are visible before settlement, enabling adversarial positioning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Regulatory conflict: many jurisdictions require financial data confidentiality (GDPR, CCPA, local banking regulations), making transparent-chain payroll legally problematic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Solution Architecture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ShieldPay solves this with three layered primitives, all native to Fhenix: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Encrypted balances: user balances stored as FHE-encrypted euint64 values; no observer can determine account balances without the decryption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Confidential transfers: amount arithmetic performed in the FHE domain; the contract verifies sender has sufficient balance without ever decrypting the value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Selective disclosure: viewing keys allow users to grant read-only access to auditors or tax authorities for specific time ranges, without exposing spending keys</w:t>
      </w:r>
    </w:p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Fhenix FHE Primitives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diving into ShieldPay's architecture, developers must understand the core FHE types and operations available on Fhenix. These are the building blocks of every encrypted operation in the protocol.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Encrypted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euint8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8-bit encrypted unsigned integer. Used for counters, small flags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euint16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16-bit encrypted integer. Intermediate precision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euint32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32-bit encrypted integer. Suitable for token amounts up to ~4B units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euint64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64-bit encrypted integer. Primary type for USDC amounts (6 decimals)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ebool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Encrypted boolean. Result of FHE comparisons; used in conditional logic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eaddress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Encrypted Ethereum address. Used for private recipient routing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Core FHE Operations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Fhenix FHE SDK exposes operations via the TFHE library, imported into Solidity contracts:</w:t>
      </w:r>
    </w:p>
    <w:p>
      <w:pPr>
        <w:spacing w:before="80" w:after="0"/>
      </w:pP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Import the Fhenix FHE library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import { TFHE } from '@fhenixprotocol/contracts/FHE.sol';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Encrypt a plaintext value (from a user-provided ciphertext)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euint64 encrypted = TFHE.asEuint64(userProvidedCiphertext);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Arithmetic on encrypted values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euint64 newBalance = TFHE.add(senderBalance, amount);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euint64 difference = TFHE.sub(senderBalance, amount);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Encrypted comparison — returns ebool (not plain bool)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ebool hasSufficientFunds = TFHE.gte(senderBalance, amount);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Conditional select: if (condition) return a else return b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euint64 result = TFHE.select(condition, valueIfTrue, valueIfFalse);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Request decryption (async — emits event, resolved by Fhenix gateway)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TFHE.decrypt(encryptedValue); // only for authorized parties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Important: FHE Operations Are Computationally Expensive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FHE arithmetic on Fhenix is significantly more expensive than plaintext EVM operations. A euint64 addition costs approximately 50,000–80,000 additional gas compared to a plaintext uint64 add. ShieldPay is optimized to minimize FHE operations per transaction — typically 2–3 FHE ops per transfer (subtract sender, add receiver, comparison gate).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Permission System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Fhenix implements a cryptographic permission system to control who can decrypt encrypted state variables. ShieldPay uses this to implement viewing keys:</w:t>
      </w:r>
    </w:p>
    <w:p>
      <w:pPr>
        <w:spacing w:before="80" w:after="0"/>
      </w:pP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Grant decryption permission to a specific address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TFHE.allow(encryptedBalance, ownerAddress);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Grant permission to the contract itself (for internal operations)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TFHE.allowThis(encryptedBalance);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Grant temporary viewing permission (for auditor access)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TFHE.allow(encryptedBalance, auditorAddress);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Seal a value for transmission to a specific recipient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Returns an encrypted blob only the recipient can decrypt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bytes memory sealed = TFHE.sealOutput(encryptedBalance, recipientPublicKey);</w:t>
      </w:r>
    </w:p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Smart Contract Architecture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ShieldPay consists of four contracts deployed on Fhenix L2. Each contract has a distinct responsibility and minimal surface area to reduce attack vectors.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Contract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ShieldPayVault.sol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Core: stores encrypted balances, executes transfers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ShieldPayCompliance.sol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Manages viewing key grants and audit attestations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ShieldPayPayroll.sol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 payment logic — schedules recurring payroll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ShieldPayRegistry.sol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 registry mapping ENS / company IDs to eaddress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ShieldPayVault — Core Contract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vault contract is the heart of ShieldPay. It stores encrypted user balances as a mapping of address to euint64, and exposes deposit, withdraw, and transfer functions.</w:t>
      </w:r>
    </w:p>
    <w:p>
      <w:pPr>
        <w:spacing w:before="80" w:after="0"/>
      </w:pP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SPDX-License-Identifier: MIT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pragma solidity ^0.8.20;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import { TFHE, euint64, ebool } from '@fhenixprotocol/contracts/FHE.sol';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import { Permissioned, Permission } from '@fhenixprotocol/contracts/access/Permissioned.sol';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contract ShieldPayVault is Permissioned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Encrypted balance store — no observer can read values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mapping(address =&gt; euint64) private _encryptedBalances;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Track which addresses have active balances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mapping(address =&gt; bool) public hasBalance;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event Transfer(address indexed from, address indexed to, uint256 timestamp);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event Deposit(address indexed account, uint256 timestamp);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event Withdraw(address indexed account, uint256 timestamp);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─── Deposit ─────────────────────────────────────────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User deposits USDC and receives encrypted balance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function deposit(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uint256 amount,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address token  // USDC or EURC address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) external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IERC20(token).transferFrom(msg.sender, address(this), amount);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euint64 encAmount = TFHE.asEuint64(uint64(amount));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_encryptedBalances[msg.sender] =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TFHE.add(_encryptedBalances[msg.sender], encAmount);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TFHE.allowThis(_encryptedBalances[msg.sender]);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TFHE.allow(_encryptedBalances[msg.sender], msg.sender);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hasBalance[msg.sender] = true;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emit Deposit(msg.sender, block.timestamp);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─── Transfer ────────────────────────────────────────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Core encrypted transfer — no amount visible on-chain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function transfer(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address to,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inEuint64 calldata encryptedAmount,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bytes32 transferRef  // optional off-chain reference hash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) external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euint64 amount = TFHE.asEuint64(encryptedAmount);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    // FHE comparison: sender must have sufficient funds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ebool canTransfer = TFHE.gte(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_encryptedBalances[msg.sender], amount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    // Conditional update — no branch on encrypted value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_encryptedBalances[msg.sender] = TFHE.select(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canTransfer,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TFHE.sub(_encryptedBalances[msg.sender], amount),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_encryptedBalances[msg.sender]  // no-op if insufficient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_encryptedBalances[to] = TFHE.select(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canTransfer,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TFHE.add(_encryptedBalances[to], amount),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_encryptedBalances[to]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    // Grant permissions to new balance owners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TFHE.allowThis(_encryptedBalances[msg.sender]);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TFHE.allow(_encryptedBalances[msg.sender], msg.sender);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TFHE.allowThis(_encryptedBalances[to]);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TFHE.allow(_encryptedBalances[to], to);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emit Transfer(msg.sender, to, block.timestamp);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─── View Balance (sealed for requester) ─────────────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function getBalance(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Permission calldata permission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) external view onlySender(permission) returns (bytes memory)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return TFHE.sealOutput(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_encryptedBalances[msg.sender],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permission.publicKey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}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ShieldPayCompliance — Viewing Keys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compliance contract manages the delegation of decryption permissions to auditors, accountants, or regulatory bodies. It implements time-bounded, scope-limited viewing access.</w:t>
      </w:r>
    </w:p>
    <w:p>
      <w:pPr>
        <w:spacing w:before="80" w:after="0"/>
      </w:pP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contract ShieldPayCompliance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struct ViewingGrant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address grantee;      // Auditor or tax authority address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uint256 validFrom;    // Unix timestamp — start of visible period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uint256 validUntil;   // Unix timestamp — end of visible period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bool active;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grantor =&gt; grantee =&gt; ViewingGrant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mapping(address =&gt; mapping(address =&gt; ViewingGrant)) public grants;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event ViewingKeyGranted(address indexed grantor, address indexed grantee,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                uint256 validFrom, uint256 validUntil);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event ViewingKeyRevoked(address indexed grantor, address indexed grantee);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function grantViewingKey(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address grantee,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uint256 validFrom,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uint256 validUntil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) external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require(validUntil &gt; validFrom, 'Invalid range');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require(validUntil &gt; block.timestamp, 'Grant already expired');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grants[msg.sender][grantee] = ViewingGrant({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grantee: grantee,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validFrom: validFrom,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validUntil: validUntil,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active: true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});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    // Grant FHE decryption permission in vault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ShieldPayVault(vaultAddress).grantAuditorAccess(msg.sender, grantee);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emit ViewingKeyGranted(msg.sender, grantee, validFrom, validUntil);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function revokeViewingKey(address grantee) external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grants[msg.sender][grantee].active = false;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ShieldPayVault(vaultAddress).revokeAuditorAccess(msg.sender, grantee);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emit ViewingKeyRevoked(msg.sender, grantee);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}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ShieldPayPayroll — Batch Payroll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payroll contract enables organizations to schedule recurring encrypted payments to multiple recipients. Amounts remain encrypted throughout — even the contract operator cannot observe individual salaries.</w:t>
      </w:r>
    </w:p>
    <w:p>
      <w:pPr>
        <w:spacing w:before="80" w:after="0"/>
      </w:pP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contract ShieldPayPayroll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struct PayrollEntry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address recipient;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inEuint64 encryptedAmount;  // Encrypted at submission time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uint256 intervalSeconds;     // e.g., 2592000 for monthly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uint256 lastPaid;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bool active;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mapping(address =&gt; PayrollEntry[]) public payrollSchedules;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Add a new payroll recipient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function addPayrollEntry(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address recipient,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inEuint64 calldata encryptedAmount,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uint256 intervalSeconds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) external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payrollSchedules[msg.sender].push(PayrollEntry({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recipient: recipient,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encryptedAmount: encryptedAmount,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intervalSeconds: intervalSeconds,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lastPaid: block.timestamp,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active: true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}));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Execute due payroll — callable by Gelato/Chainlink automation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function executePayroll(address employer) external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PayrollEntry[] storage schedule = payrollSchedules[employer];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for (uint256 i = 0; i &lt; schedule.length; i++)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PayrollEntry storage entry = schedule[i];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if (!entry.active) continue;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if (block.timestamp &gt;= entry.lastPaid + entry.intervalSeconds)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    vault.transferFrom(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        employer,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        entry.recipient,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        entry.encryptedAmount,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        keccak256(abi.encodePacked(employer, i, block.timestamp))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    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    entry.lastPaid = block.timestamp;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}</w:t>
      </w:r>
    </w:p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Developer Setup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covers environment setup, Fhenix testnet configuration, and deploying ShieldPay contracts locally.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18+ and npm or yarn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Hardhat 2.19+ with Fhenix plugin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(for local Fhenix node)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FhenixJS SDK — client-side FHE encryption library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Installation</w:t>
      </w: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Clone the ShieldPay repository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git clone https://github.com/shieldpay/core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cd core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Install dependencies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npm install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Install Fhenix Hardhat plugin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npm install @fhenixprotocol/hardhat-fhenix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Install FhenixJS (client SDK for encrypting inputs)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npm install fhenixjs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Hardhat Configuration</w:t>
      </w: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hardhat.config.ts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import '@fhenixprotocol/hardhat-fhenix';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import { HardhatUserConfig } from 'hardhat/config';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const config: HardhatUserConfig =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solidity: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version: '0.8.20',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settings: { optimizer: { enabled: true, runs: 200 }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networks: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    // Local Fhenix node (Docker)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localfhenix: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url: 'http://127.0.0.1:42069',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accounts: [process.env.PRIVATE_KEY!]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},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    // Fhenix Helios testnet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helios: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url: 'https://api.helios.fhenix.zone',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chainId: 8008135,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accounts: [process.env.PRIVATE_KEY!]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},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    // Fhenix mainnet (when available)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fhenix: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url: 'https://api.fhenix.zone',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chainId: 505,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    accounts: [process.env.PRIVATE_KEY!]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}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};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export default config;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Local Development Node</w:t>
      </w: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Start local Fhenix node via Docker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npx hardhat localfhenix:start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In a separate terminal — deploy contracts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npx hardhat deploy --network localfhenix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Run test suite against local node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npx hardhat test --network localfhenix</w:t>
      </w:r>
    </w:p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Client SDK Integration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FhenixJS library handles client-side encryption before values are sent to the contract. This is a critical step — inputs must be encrypted using the network's public key before submission, otherwise amounts would be visible in the transaction calldata.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Initialize FhenixJS</w:t>
      </w: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import { FhenixClient, getPermit } from 'fhenixjs';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import { BrowserProvider } from 'ethers';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Initialize with the Fhenix network provider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const provider = new BrowserProvider(window.ethereum);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const client = new FhenixClient({ provider });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FhenixClient fetches the network FHE public key automatically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All encrypt() calls below use this key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Encrypt and Send a Transfer</w:t>
      </w: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import { ethers } from 'ethers';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import { FhenixClient } from 'fhenixjs';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import ShieldPayVaultABI from './abi/ShieldPayVault.json';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const VAULT_ADDRESS = '0x...';  // Deployed vault address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async function sendConfidentialTransfer(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recipient: string,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amountUSDC: number,  // In USDC base units (6 decimals)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transferRef?: string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)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signer = await provider.getSigner();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vault = new ethers.Contract(VAULT_ADDRESS, ShieldPayVaultABI, signer);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Step 1: Encrypt the amount client-side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Amount never appears in plaintext in the transaction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encryptedAmount = await client.encrypt_uint64(BigInt(amountUSDC));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Step 2: Create an optional reference hash (for payroll records)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ref = transferRef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? ethers.keccak256(ethers.toUtf8Bytes(transferRef))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    : ethers.ZeroHash;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Step 3: Send transaction — amount is encrypted in calldata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tx = await vault.transfer(recipient, encryptedAmount, ref);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await tx.wait();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console.log('Confidential transfer complete:', tx.hash);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return tx.hash;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}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Read Encrypted Balance</w:t>
      </w: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async function getMyBalance(): Promise&lt;bigint&gt; {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signer = await provider.getSigner();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address = await signer.getAddress();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Step 1: Generate a viewing permit (signs a message to prove ownership)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permit = await getPermit(VAULT_ADDRESS, provider);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permission = client.extractPermitPermission(permit);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Step 2: Call the vault with permission — returns sealed (encrypted) output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vault = new ethers.Contract(VAULT_ADDRESS, ShieldPayVaultABI, signer);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sealedBalance = await vault.getBalance(permission);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    // Step 3: Unseal with client's private key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const balance = client.unseal(VAULT_ADDRESS, sealedBalance);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return balance;  // Returns plaintext balance only to the key holder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}</w:t>
      </w:r>
    </w:p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Compliance Integration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ShieldPay's compliance layer allows organizations to maintain regulatory compliance without sacrificing on-chain privacy. The key insight: compliance proofs can be generated and verified without exposing the underlying data to the public chain.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Viewing Key Workflow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viewing key system allows a user (employer or individual) to delegate read-only access to an auditor, tax authority, or accountant for a specific time window. This access is: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Time-bounded: access expires at a set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Revocable: the grantor can revoke at any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Scoped to their own account: a grant does not expose counterparty balances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On-chain verifiable: the grant itself is a public transaction</w:t>
      </w:r>
    </w:p>
    <w:p>
      <w:pPr>
        <w:spacing w:before="120" w:after="0"/>
      </w:pP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Grant quarterly audit access to an accounting firm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const Q1_START = Math.floor(new Date('2025-01-01').getTime() / 1000);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const Q1_END   = Math.floor(new Date('2025-03-31').getTime() / 1000);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const compliance = new ethers.Contract(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COMPLIANCE_ADDRESS, ComplianceABI, signer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const tx = await compliance.grantViewingKey(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'0xAuditorAddress...',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Q1_START,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    Q1_END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await tx.wait();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The auditor can now decrypt and read this account's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transactions from Q1 2025 using their private key.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// All other accounts remain fully private.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Selective Disclosure for Tax Reporting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specific regulatory requirements (e.g., total annual payments to a contractor), ShieldPay can generate a selective disclosure proof using a ZK circuit layered on top of the FHE state. This reveals only the aggregate without individual transaction detail: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is revealed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amount paid to a specific address within a date range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remains hidden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transaction amounts, other counterparties, balance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Verification method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ZK proof verified against encrypted Merkle state root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Proof size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~500 bytes (PLONK), verifiable in &lt; 1ms off-chain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On-chain footprint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Attestation hash stored; no raw data published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AML / Sanctions Screening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ShieldPay integrates a non-interactive sanctions screening mechanism. Rather than checking identity (which would break privacy), the protocol verifies that a sending address is NOT in a Merkle tree of sanctioned addresses maintained by a trusted oracle (e.g., Chainalysis, TRM Labs). The proof demonstrates non-membership without revealing the sender's address to any third party: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Sanctions list published as a Merkle tree root on-chain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Sender locally generates a non-membership proof against the root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ShieldPayVault verifies the proof as part of the transfer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identity or address is sent to any oracle or off-chain system</w:t>
      </w:r>
    </w:p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Deployment Guide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Testnet Deployment (Helios)</w:t>
      </w:r>
    </w:p>
    <w:p>
      <w:pPr>
        <w:shd w:fill="2C2C2A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Set environment variables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export PRIVATE_KEY=0x...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export FHENIX_RPC=https://api.helios.fhenix.zone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Deploy all contracts in order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npx hardhat run scripts/deploy.ts --network helios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Expected output: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ShieldPayVault deployed: 0x...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ShieldPayCompliance deployed: 0x...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ShieldPayPayroll deployed: 0x...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ShieldPayRegistry deployed: 0x...</w:t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/>
      </w:r>
    </w:p>
    <w:p>
      <w:pPr>
        <w:shd w:fill="2C2C2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888780"/>
          <w:sz w:val="20"/>
          <w:szCs w:val="20"/>
        </w:rPr>
        <w:t xml:space="preserve"># Verify on Fhenix explorer</w:t>
      </w:r>
    </w:p>
    <w:p>
      <w:pPr>
        <w:shd w:fill="2C2C2A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9FE1CB"/>
          <w:sz w:val="20"/>
          <w:szCs w:val="20"/>
        </w:rPr>
        <w:t xml:space="preserve">npx hardhat verify --network helios &lt;VAULT_ADDRESS&gt;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Gas Estimates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FHE operations are computationally intensive. The following gas benchmarks were measured on Fhenix Helios testnet (block gas limit: 30M):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Gas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FHE Operations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deposit()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~85,000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TFHE.add + 2 TFHE.allow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transfer()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~320,000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TFHE.gte + 2 TFHE.select + 2 TFHE.add/sub + 4 TFHE.allow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addPayrollEntry()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~95,000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write + 1 encrypt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executePayroll() (10 entries)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~2,100,000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10x transfer FHE ops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grantViewingKey()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~48,000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write + emit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getBalance() (view)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— sealed output is read-only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Security Considerations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Audit Status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ShieldPay v1.0 contracts are pending audit by Trail of Bits and Zellic. Do not deploy to mainnet without completed audit reports. This documentation describes the intended architecture.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8.1 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On-chain data exposure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balances and amounts stored as FHE ciphertext. A fully compromised node cannot read values without the decryption key.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Transaction calldata leak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Amounts encrypted client-side before submission. Calldata contains only FHE ciphertext, not plaintext values.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Viewing key misuse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Grants are time-bounded and revocable on-chain. An auditor who loses a key cannot extend access.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Front-running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FHE comparison (TFHE.gte) prevents conditional branches visible to validators. No exploitable information in encrypted calldata.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Smart contract bugs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risk. All arithmetic is FHE-native. Standard overflow/underflow risks are removed, but FHE permission errors (forgetting TFHE.allow) can lock funds permanently.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8.2 Known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FHE is not quantum-secure: TFHE (based on LWE) has post-quantum security assumptions, but Fhenix's current implementation is not formally quantum-resistant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Viewing key grants are all-or-nothing for the granted period: granular per-transaction disclosure requires additional ZK circuitry not yet in v1.0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Gas costs make micro-payments impractical: transfers below ~$5 equivalent are economically unviable given ~320,000 gas per transfer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FHE computation time: proof generation by the Fhenix coprocessor adds ~2–4 seconds of latency per FHE-heavy transaction</w:t>
      </w:r>
    </w:p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 — Q3 2025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Helios testnet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vault, compliance module, USDC support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 — Q4 2025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Helios testnet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Payroll contract, Gelato automation, EURC support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v1.2 — Q1 2026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Fhenix mainnet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ZK selective disclosure proofs, AML integration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 — Q2 2026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Fhenix mainnet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Cross-chain private bridge (FHE + IBC), mobile SDK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 — Q3 2026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Mainnet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DAO treasury module, multi-sig FHE accounts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Resources &amp; Links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Fhenix Documentation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https://docs.fhenix.zone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FhenixJS SDK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https://github.com/fhenixprotocol/fhenixjs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Hardhat Fhenix Plugin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https://github.com/fhenixprotocol/hardhat-fhenix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Fhenix Helios Testnet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https://api.helios.fhenix.zone (Chain ID: 8008135)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Fhenix Block Explorer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https://explorer.helios.fhenix.zone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TFHE-rs Reference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https://docs.zama.ai/tfhe-rs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ShieldPay GitHub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https://github.com/shieldpay/core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ShieldPay Discord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https://discord.gg/shieldpay</w:t>
            </w:r>
          </w:p>
        </w:tc>
      </w:tr>
    </w:tbl>
    <w:p>
      <w:pPr>
        <w:spacing w:before="200" w:after="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ShieldPay — Built on Fhenix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Confidential by default. Compliant by design.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1"/>
      </w:pBdr>
      <w:tabs>
        <w:tab w:val="right" w:pos="9026"/>
      </w:tabs>
    </w:pPr>
    <w:r>
      <w:rPr>
        <w:rFonts w:ascii="Arial" w:cs="Arial" w:eastAsia="Arial" w:hAnsi="Arial"/>
        <w:color w:val="888780"/>
        <w:sz w:val="18"/>
        <w:szCs w:val="18"/>
      </w:rPr>
      <w:t xml:space="preserve">Confidential — Internal Build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t xml:space="preserve">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ShieldPay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t xml:space="preserve">Technical Documentation — Fhenix Ecosystem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C34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2026-03-29T06:43:24.495Z</dcterms:created>
  <dcterms:modified xsi:type="dcterms:W3CDTF">2026-03-29T06:43:24.496Z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