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los procesos de negocio TO-BE de la solución propuesta.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8"/>
          <w:szCs w:val="28"/>
        </w:rPr>
      </w:pPr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Macroproceso General.drawio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3162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sz w:val="28"/>
          <w:szCs w:val="28"/>
        </w:rPr>
      </w:pPr>
      <w:hyperlink r:id="rId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subproceso de Registro y Autenticación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506278" cy="354472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278" cy="3544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sz w:val="28"/>
          <w:szCs w:val="28"/>
        </w:rPr>
      </w:pPr>
      <w:hyperlink r:id="rId1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subproceso TO-BE: Gestión de Wishlist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3949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sz w:val="28"/>
          <w:szCs w:val="28"/>
        </w:rPr>
      </w:pPr>
      <w:hyperlink r:id="rId13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Administrador / Sistema Gifter’s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99730" cy="3517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YeY7LF3d5lsKwf7KkTyTUe9JvpMhJtmn/view?usp=drive_link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drive.google.com/file/d/1qhflGZwOWw1eYSxib94ieUA9701xO8_d/view?usp=drive_link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vuCUuqw7c5J_t81HRWkrTyz6-Abe_RPB/view?usp=drive_link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11BcxzUajQmIKRI-805NCmDBDMR5L0C6V&amp;usp=drive_copy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ho4Zc5UoVGGbg/EW1DmnbUnOGA==">CgMxLjA4AHIhMUhsZnVHeEwzTUpEN0J1RFN2cDZBdndRQUNhdFNkcy1f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