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56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Informe Final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56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2865"/>
        </w:tabs>
        <w:spacing w:after="200" w:before="1280" w:line="30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b3g2txuij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5">
      <w:pPr>
        <w:ind w:firstLine="720"/>
        <w:rPr/>
        <w:sectPr>
          <w:headerReference r:id="rId11" w:type="default"/>
          <w:headerReference r:id="rId12" w:type="first"/>
          <w:footerReference r:id="rId13" w:type="default"/>
          <w:footerReference r:id="rId14" w:type="first"/>
          <w:pgSz w:h="15840" w:w="12240" w:orient="portrait"/>
          <w:pgMar w:bottom="1800" w:top="216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00" w:lineRule="auto"/>
        <w:ind w:firstLine="720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sz w:val="32"/>
          <w:szCs w:val="32"/>
          <w:rtl w:val="0"/>
        </w:rPr>
        <w:t xml:space="preserve">Tabla de Contenidos</w:t>
      </w:r>
    </w:p>
    <w:sdt>
      <w:sdtPr>
        <w:id w:val="17572327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dc973t3jcb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i6gx5bl4mg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del Informe de Cierre de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o0ib38ctk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1</w:t>
            </w:r>
          </w:hyperlink>
          <w:hyperlink w:anchor="_heading=h.2o0ib38ctk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_heading=h.2o0ib38ctka5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Información General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mf4jge5uk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2</w:t>
            </w:r>
          </w:hyperlink>
          <w:hyperlink w:anchor="_heading=h.umf4jge5uk0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_heading=h.umf4jge5uk0k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Lista de Verificación de Aceptación Final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2le5mkx2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3</w:t>
            </w:r>
          </w:hyperlink>
          <w:hyperlink w:anchor="_heading=h.bg2le5mkx22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_heading=h.bg2le5mkx22w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Lista de Verificación de los Artefactos del Proyecto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mvexcavof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4</w:t>
            </w:r>
          </w:hyperlink>
          <w:hyperlink w:anchor="_heading=h.brmvexcavof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_heading=h.brmvexcavofw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1ufytyv61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5</w:t>
            </w:r>
          </w:hyperlink>
          <w:hyperlink w:anchor="_heading=h.b1ufytyv61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_heading=h.b1ufytyv61vu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Lecciones Aprendidas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dq7pyqoto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6</w:t>
            </w:r>
          </w:hyperlink>
          <w:hyperlink w:anchor="_heading=h.8rdq7pyqoto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_heading=h.8rdq7pyqotoy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Planes Post-Implantación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n8neseowr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7</w:t>
            </w:r>
          </w:hyperlink>
          <w:hyperlink w:anchor="_heading=h.lhn8neseowr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_heading=h.lhn8neseowri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 Conformidades Abiertas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ind w:firstLine="72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ind w:firstLine="720"/>
        <w:rPr>
          <w:b w:val="1"/>
          <w:bCs w:val="1"/>
          <w:i w:val="1"/>
          <w:iCs w:val="1"/>
        </w:rPr>
        <w:sectPr>
          <w:headerReference r:id="rId15" w:type="default"/>
          <w:headerReference r:id="rId16" w:type="first"/>
          <w:footerReference r:id="rId17" w:type="default"/>
          <w:footerReference r:id="rId18" w:type="first"/>
          <w:type w:val="nextPage"/>
          <w:pgSz w:h="15840" w:w="12240" w:orient="portrait"/>
          <w:pgMar w:bottom="1440" w:top="1440" w:left="1440" w:right="1440" w:header="547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dc973t3jcb51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proyecto Gifter’s tuvo como propósito desarrollar una plataforma web moderna que permitiera a las personas crear listas de deseos, compartirlas con amigos, administrar regalos recibidos, descubrir nuevos productos y participar en funciones sociales tales como publicaciones, eventos e interacción entre usuarios. El proyecto aspiró a crear un ecosistema digital sólido, escalable y socialmente orientado, apoyado en tecnologías actuales como Django, MySQL, Docker, Redis, Meilisearch e integraciones de scraping e inteligencia artificial.</w:t>
      </w:r>
    </w:p>
    <w:p w:rsidR="00000000" w:rsidDel="00000000" w:rsidP="00000000" w:rsidRDefault="00000000" w:rsidRPr="00000000" w14:paraId="00000014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Durante el ciclo de vida del desarrollo se implementaron múltiples módulos: gestión de usuarios, wishlist interna y externa, motor de recomendaciones, buscador avanzado, feed social, sistema de seguidores, chat, eventos, notificaciones básicas y scraping automatizado desde plataformas externas. Este informe formaliza el cierre del proyecto, documentando la aceptación de las funcionalidades, los artefactos generados, las lecciones aprendidas y la planificación posterior a la implantación.</w:t>
      </w:r>
    </w:p>
    <w:p w:rsidR="00000000" w:rsidDel="00000000" w:rsidP="00000000" w:rsidRDefault="00000000" w:rsidRPr="00000000" w14:paraId="00000015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2i6gx5bl4mgd" w:id="2"/>
      <w:bookmarkEnd w:id="2"/>
      <w:r w:rsidDel="00000000" w:rsidR="00000000" w:rsidRPr="00000000">
        <w:rPr>
          <w:rtl w:val="0"/>
        </w:rPr>
        <w:t xml:space="preserve">Uso del Informe de Cierre de Proyecto</w:t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1980"/>
        </w:tabs>
        <w:rPr/>
      </w:pPr>
      <w:r w:rsidDel="00000000" w:rsidR="00000000" w:rsidRPr="00000000">
        <w:rPr>
          <w:rtl w:val="0"/>
        </w:rPr>
        <w:tab/>
        <w:t xml:space="preserve">Este informe consolida la información final del proyecto Gifter’s una vez concluidas las pruebas y validaciones internas. Su propósito es dejar constancia del estado final del sistema, registrar los entregables completados, detallar las no conformidades pendientes y establecer la planificación para la mantención futura. Su contenido servirá como referencia para cualquier mejora, ampliación o soporte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2o0ib38ctka5" w:id="3"/>
      <w:bookmarkEnd w:id="3"/>
      <w:r w:rsidDel="00000000" w:rsidR="00000000" w:rsidRPr="00000000">
        <w:rPr>
          <w:rtl w:val="0"/>
        </w:rPr>
        <w:t xml:space="preserve">Sección 1</w:t>
        <w:tab/>
        <w:t xml:space="preserve">Información General</w:t>
      </w:r>
    </w:p>
    <w:p w:rsidR="00000000" w:rsidDel="00000000" w:rsidP="00000000" w:rsidRDefault="00000000" w:rsidRPr="00000000" w14:paraId="00000018">
      <w:pPr>
        <w:tabs>
          <w:tab w:val="left" w:leader="none" w:pos="1276"/>
        </w:tabs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Nombre del proyecto: Gifter’s – Plataforma Social de Regalos y Wishlist</w:t>
        <w:br w:type="textWrapping"/>
        <w:t xml:space="preserve">Equipo de trabajo: Matías Quezada, Matías Domínguez, Javier Valenzuela, Lukas Acuña, Elías Alcaide.</w:t>
      </w:r>
    </w:p>
    <w:p w:rsidR="00000000" w:rsidDel="00000000" w:rsidP="00000000" w:rsidRDefault="00000000" w:rsidRPr="00000000" w14:paraId="00000019">
      <w:pPr>
        <w:tabs>
          <w:tab w:val="left" w:leader="none" w:pos="1276"/>
        </w:tabs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proyecto consistió en la creación de una plataforma social en la cual los usuarios pueden administrar listas de deseos, agregar productos desde el propio sistema o mediante scraping externo, compartir perfiles públicos, interactuar mediante seguimientos, publicaciones y comentarios, crear y gestionar eventos y visualizar recomendaciones basadas en inteligencia artificial.</w:t>
      </w:r>
    </w:p>
    <w:p w:rsidR="00000000" w:rsidDel="00000000" w:rsidP="00000000" w:rsidRDefault="00000000" w:rsidRPr="00000000" w14:paraId="0000001A">
      <w:pPr>
        <w:tabs>
          <w:tab w:val="left" w:leader="none" w:pos="1276"/>
        </w:tabs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objetivos centrales del proyecto fueron desarrollar un ecosistema web que conecte a las personas con sus intereses y sus redes, permitir la administración de regalos y eventos importantes, integrar un motor de búsqueda eficiente, proporcionar recomendaciones personalizadas y ofrecer una infraestructura robusta, segura y escalable para su despliegue y mantención a largo plazo.</w:t>
      </w:r>
    </w:p>
    <w:p w:rsidR="00000000" w:rsidDel="00000000" w:rsidP="00000000" w:rsidRDefault="00000000" w:rsidRPr="00000000" w14:paraId="0000001B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umf4jge5uk0k" w:id="4"/>
      <w:bookmarkEnd w:id="4"/>
      <w:r w:rsidDel="00000000" w:rsidR="00000000" w:rsidRPr="00000000">
        <w:rPr>
          <w:rtl w:val="0"/>
        </w:rPr>
        <w:t xml:space="preserve">Sección 2</w:t>
        <w:tab/>
        <w:t xml:space="preserve">Lista de Verificación de Aceptación Final</w:t>
      </w:r>
    </w:p>
    <w:p w:rsidR="00000000" w:rsidDel="00000000" w:rsidP="00000000" w:rsidRDefault="00000000" w:rsidRPr="00000000" w14:paraId="0000001E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A continuación se detallan las funcionalidades que, tras pruebas y validaciones, fueron consideradas completas y acordes al alcance del proyecto: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• Registro, autenticación segura y gestión completa de usuarios.</w:t>
        <w:br w:type="textWrapping"/>
        <w:t xml:space="preserve"> • Perfiles privados y públicos con edición de información e imágenes.</w:t>
        <w:br w:type="textWrapping"/>
        <w:t xml:space="preserve"> • Wishlist interna con creación, edición y eliminación de productos.</w:t>
        <w:br w:type="textWrapping"/>
        <w:t xml:space="preserve"> • Wishlist externa mediante scraping.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 • Marcado de productos como recibidos y visualización organizada en el perfil.</w:t>
        <w:br w:type="textWrapping"/>
        <w:t xml:space="preserve"> • Feed social con publicaciones, imágenes, likes y comentarios.</w:t>
        <w:br w:type="textWrapping"/>
        <w:t xml:space="preserve"> • Sistema de seguidores y sugerencias de “Personas que quizá conozcas”.</w:t>
        <w:br w:type="textWrapping"/>
        <w:t xml:space="preserve"> • Buscador avanzado alimentado por Meilisearch para usuarios, productos, eventos y publicaciones.</w:t>
        <w:br w:type="textWrapping"/>
        <w:t xml:space="preserve"> • Motor de recomendaciones basado en inteligencia artificial (Ollama).</w:t>
        <w:br w:type="textWrapping"/>
        <w:t xml:space="preserve"> • Sistema de eventos, invitaciones y administración de regalos asociados.</w:t>
        <w:br w:type="textWrapping"/>
        <w:t xml:space="preserve"> • Chat funcional entre usuarios con registro, lectura y envío seguro.</w:t>
        <w:br w:type="textWrapping"/>
        <w:t xml:space="preserve"> • Proyecto completamente dockerizado, con servicios independientes para web, base de datos, Redis, Meilisearch e IA.</w:t>
        <w:br w:type="textWrapping"/>
        <w:t xml:space="preserve"> • Gestión de imágenes, archivos, logs y respaldos del sistema.</w:t>
      </w:r>
    </w:p>
    <w:p w:rsidR="00000000" w:rsidDel="00000000" w:rsidP="00000000" w:rsidRDefault="00000000" w:rsidRPr="00000000" w14:paraId="00000021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Todas estas funcionalidades fueron revisadas y cumplen con los criterios establecidos para la entrega final.</w:t>
      </w:r>
    </w:p>
    <w:p w:rsidR="00000000" w:rsidDel="00000000" w:rsidP="00000000" w:rsidRDefault="00000000" w:rsidRPr="00000000" w14:paraId="0000002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pbc6os4g90u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bg2le5mkx22w" w:id="6"/>
      <w:bookmarkEnd w:id="6"/>
      <w:r w:rsidDel="00000000" w:rsidR="00000000" w:rsidRPr="00000000">
        <w:rPr>
          <w:rtl w:val="0"/>
        </w:rPr>
        <w:t xml:space="preserve">Sección 3</w:t>
        <w:tab/>
        <w:t xml:space="preserve">Lista de Verificación de los Artefactos del Proyecto</w:t>
      </w:r>
    </w:p>
    <w:p w:rsidR="00000000" w:rsidDel="00000000" w:rsidP="00000000" w:rsidRDefault="00000000" w:rsidRPr="00000000" w14:paraId="00000025">
      <w:pPr>
        <w:ind w:firstLine="720"/>
        <w:jc w:val="both"/>
        <w:rPr/>
      </w:pPr>
      <w:bookmarkStart w:colFirst="0" w:colLast="0" w:name="_heading=h.snsu9v3weaxo" w:id="7"/>
      <w:bookmarkEnd w:id="7"/>
      <w:r w:rsidDel="00000000" w:rsidR="00000000" w:rsidRPr="00000000">
        <w:rPr>
          <w:rtl w:val="0"/>
        </w:rPr>
        <w:t xml:space="preserve">La lista de verificación de los artefactos, incluye todos los documentos entregables al cliente y su estado, en este caso nuestros artefactos requeridos son los siguientes:</w:t>
      </w:r>
    </w:p>
    <w:p w:rsidR="00000000" w:rsidDel="00000000" w:rsidP="00000000" w:rsidRDefault="00000000" w:rsidRPr="00000000" w14:paraId="0000002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24.0" w:type="dxa"/>
        <w:jc w:val="center"/>
        <w:tblLayout w:type="fixed"/>
        <w:tblLook w:val="0400"/>
      </w:tblPr>
      <w:tblGrid>
        <w:gridCol w:w="4248"/>
        <w:gridCol w:w="1276"/>
        <w:tblGridChange w:id="0">
          <w:tblGrid>
            <w:gridCol w:w="4248"/>
            <w:gridCol w:w="127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Iteración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ERS-Especificación de Requisitos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Modelo de Datos E-R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Modelo de Datos 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Diagrama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Documento de caso de uso extendido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Mockups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Matriz EDT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Matriz RACI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Planilla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DAS (Documento de arquitectura sistema)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Matriz de pruebas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Plan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Verificación de alcances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Informe de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</w:tbl>
    <w:p w:rsidR="00000000" w:rsidDel="00000000" w:rsidP="00000000" w:rsidRDefault="00000000" w:rsidRPr="00000000" w14:paraId="0000004F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ind w:left="0" w:firstLine="0"/>
        <w:rPr>
          <w:rFonts w:ascii="Arial Black" w:cs="Arial Black" w:eastAsia="Arial Black" w:hAnsi="Arial Black"/>
          <w:sz w:val="32"/>
          <w:szCs w:val="32"/>
        </w:rPr>
      </w:pPr>
      <w:bookmarkStart w:colFirst="0" w:colLast="0" w:name="_heading=h.brmvexcavof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r w:rsidDel="00000000" w:rsidR="00000000" w:rsidRPr="00000000">
        <w:rPr>
          <w:rtl w:val="0"/>
        </w:rPr>
        <w:t xml:space="preserve">Sección 4</w:t>
        <w:tab/>
        <w:t xml:space="preserve">Recursos</w:t>
      </w:r>
    </w:p>
    <w:p w:rsidR="00000000" w:rsidDel="00000000" w:rsidP="00000000" w:rsidRDefault="00000000" w:rsidRPr="00000000" w14:paraId="00000052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Recursos humanos:</w:t>
        <w:br w:type="textWrapping"/>
        <w:t xml:space="preserve"> • Un desarrollador backend para atender mantención, scraping, integraciones y soporte general.</w:t>
        <w:br w:type="textWrapping"/>
        <w:t xml:space="preserve"> • Un desarrollador frontend para mejoras de interfaz y experiencia de usuario.</w:t>
        <w:br w:type="textWrapping"/>
        <w:t xml:space="preserve"> • Un analista funcional encargado de la recolección y priorización de nuevos requerimientos.</w:t>
        <w:br w:type="textWrapping"/>
        <w:t xml:space="preserve"> • Un responsable de infraestructura/DevOps encargado del soporte de Docker, actualizaciones y despliegues.</w:t>
      </w:r>
    </w:p>
    <w:p w:rsidR="00000000" w:rsidDel="00000000" w:rsidP="00000000" w:rsidRDefault="00000000" w:rsidRPr="00000000" w14:paraId="00000053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Recursos tecnológicos:</w:t>
        <w:br w:type="textWrapping"/>
        <w:t xml:space="preserve"> • Servidor con soporte para Docker Compose.</w:t>
        <w:br w:type="textWrapping"/>
        <w:t xml:space="preserve"> • Contenedores para web, base de datos, redis, meilisearch y motor IA.</w:t>
        <w:br w:type="textWrapping"/>
        <w:t xml:space="preserve"> • Sistema de logs, backups y monitoreo.</w:t>
        <w:br w:type="textWrapping"/>
        <w:t xml:space="preserve"> • Claves de API para servicios externos (Giphy, Calendarific u Ollama).</w:t>
        <w:br w:type="textWrapping"/>
        <w:t xml:space="preserve"> • Certificados de seguridad y manejo correcto de variables de entorno.</w:t>
      </w:r>
    </w:p>
    <w:p w:rsidR="00000000" w:rsidDel="00000000" w:rsidP="00000000" w:rsidRDefault="00000000" w:rsidRPr="00000000" w14:paraId="0000005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b1ufytyv61vu" w:id="9"/>
      <w:bookmarkEnd w:id="9"/>
      <w:r w:rsidDel="00000000" w:rsidR="00000000" w:rsidRPr="00000000">
        <w:rPr>
          <w:rtl w:val="0"/>
        </w:rPr>
        <w:t xml:space="preserve">Sección 5</w:t>
        <w:tab/>
        <w:t xml:space="preserve">Lecciones Aprendidas</w:t>
      </w:r>
    </w:p>
    <w:p w:rsidR="00000000" w:rsidDel="00000000" w:rsidP="00000000" w:rsidRDefault="00000000" w:rsidRPr="00000000" w14:paraId="00000056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A lo largo del proyecto se obtuvieron aprendizajes significativos que fortalecieron el desarrollo:</w:t>
      </w:r>
    </w:p>
    <w:p w:rsidR="00000000" w:rsidDel="00000000" w:rsidP="00000000" w:rsidRDefault="00000000" w:rsidRPr="00000000" w14:paraId="00000057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• La integración de múltiples servicios externos y tecnologías modernas exigió coordinación y pruebas constantes.</w:t>
        <w:br w:type="textWrapping"/>
        <w:t xml:space="preserve"> • El uso de Docker permitió asegurar entornos coherentes entre los integrantes del equipo y facilitó la portabilidad del sistema.</w:t>
        <w:br w:type="textWrapping"/>
        <w:t xml:space="preserve"> • El scraping con Playwright demostró ser robusto, pero requirió estrategias de manejo de cambios en estructuras HTML externas.</w:t>
        <w:br w:type="textWrapping"/>
        <w:t xml:space="preserve"> • Se comprendió la importancia de estandarizar datos entre productos internos y externos para evitar inconsistencias o duplicados.</w:t>
        <w:br w:type="textWrapping"/>
        <w:t xml:space="preserve"> • El uso de Meilisearch mejoró notablemente la experiencia en búsqueda y demostró la relevancia de sistemas de indexación modernos.</w:t>
        <w:br w:type="textWrapping"/>
        <w:t xml:space="preserve"> • Trabajar con IA evidenció que la calidad de las recomendaciones depende directamente de la calidad de datos ingresados al sistema.</w:t>
        <w:br w:type="textWrapping"/>
        <w:t xml:space="preserve"> • La comunicación interna fue clave para resolver dificultades técnicas en funcionalidades complejas como cache, subida de imágenes, rutas y compatibilidad entre servicios.</w:t>
      </w:r>
    </w:p>
    <w:p w:rsidR="00000000" w:rsidDel="00000000" w:rsidP="00000000" w:rsidRDefault="00000000" w:rsidRPr="00000000" w14:paraId="00000058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8rdq7pyqotoy" w:id="10"/>
      <w:bookmarkEnd w:id="10"/>
      <w:r w:rsidDel="00000000" w:rsidR="00000000" w:rsidRPr="00000000">
        <w:rPr>
          <w:rtl w:val="0"/>
        </w:rPr>
        <w:t xml:space="preserve">Sección 6</w:t>
        <w:tab/>
        <w:t xml:space="preserve">Planes Post-Implantación</w:t>
      </w:r>
    </w:p>
    <w:p w:rsidR="00000000" w:rsidDel="00000000" w:rsidP="00000000" w:rsidRDefault="00000000" w:rsidRPr="00000000" w14:paraId="0000005C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Durante los primeros 30 días posteriores a la entrega se ejecutarán acciones destinadas a asegurar un funcionamiento estable:</w:t>
      </w:r>
    </w:p>
    <w:p w:rsidR="00000000" w:rsidDel="00000000" w:rsidP="00000000" w:rsidRDefault="00000000" w:rsidRPr="00000000" w14:paraId="0000005D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• Revisión de rendimiento general del sistema, consultas, indexación y caching.</w:t>
        <w:br w:type="textWrapping"/>
        <w:t xml:space="preserve"> • Ajustes al scraping en caso de cambios en los portales externos utilizados.</w:t>
        <w:br w:type="textWrapping"/>
        <w:t xml:space="preserve"> • Evaluación del uso real por parte de los usuarios para identificar mejoras prioritarias.</w:t>
        <w:br w:type="textWrapping"/>
        <w:t xml:space="preserve"> • Optimización de interfaces móviles y flujos de interacción.</w:t>
        <w:br w:type="textWrapping"/>
        <w:t xml:space="preserve"> • Análisis de nuevas funcionalidades para futuras versiones, como notificaciones push completas, mejoras en chat, panel administrativo avanzado o un sistema de marketplace más robusto.</w:t>
      </w:r>
    </w:p>
    <w:p w:rsidR="00000000" w:rsidDel="00000000" w:rsidP="00000000" w:rsidRDefault="00000000" w:rsidRPr="00000000" w14:paraId="0000005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lhn8neseowri" w:id="11"/>
      <w:bookmarkEnd w:id="11"/>
      <w:r w:rsidDel="00000000" w:rsidR="00000000" w:rsidRPr="00000000">
        <w:rPr>
          <w:rtl w:val="0"/>
        </w:rPr>
        <w:t xml:space="preserve">Sección 7</w:t>
        <w:tab/>
        <w:t xml:space="preserve">No Conformidades Abiertas</w:t>
      </w:r>
    </w:p>
    <w:p w:rsidR="00000000" w:rsidDel="00000000" w:rsidP="00000000" w:rsidRDefault="00000000" w:rsidRPr="00000000" w14:paraId="00000060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Las siguientes funcionalidades fueron identificadas como pendientes o fuera del alcance final, quedando registradas para futuras fases:</w:t>
      </w:r>
    </w:p>
    <w:p w:rsidR="00000000" w:rsidDel="00000000" w:rsidP="00000000" w:rsidRDefault="00000000" w:rsidRPr="00000000" w14:paraId="00000061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br w:type="textWrapping"/>
        <w:t xml:space="preserve"> • Ampliación del sistema de chat (multimedia, estado en línea, edición/borrado).</w:t>
        <w:br w:type="textWrapping"/>
        <w:t xml:space="preserve"> • Organización manual avanzada en la wishlist mediante reordenamiento dinámico.</w:t>
        <w:br w:type="textWrapping"/>
        <w:t xml:space="preserve"> • Comentarios con envío de imágenes.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144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19" w:type="first"/>
      <w:type w:val="nextPage"/>
      <w:pgSz w:h="15840" w:w="12240" w:orient="portrait"/>
      <w:pgMar w:bottom="1440" w:top="1440" w:left="1440" w:right="1440" w:header="547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786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spacing w:after="40" w:before="40" w:lineRule="auto"/>
      <w:ind w:firstLine="720"/>
      <w:jc w:val="center"/>
      <w:rPr/>
    </w:pPr>
    <w:r w:rsidDel="00000000" w:rsidR="00000000" w:rsidRPr="00000000">
      <w:rPr/>
      <w:drawing>
        <wp:inline distB="0" distT="0" distL="0" distR="0">
          <wp:extent cx="1057275" cy="419100"/>
          <wp:effectExtent b="0" l="0" r="0" t="0"/>
          <wp:docPr descr="DIR_logo_grayscale no text" id="34" name="image3.png"/>
          <a:graphic>
            <a:graphicData uri="http://schemas.openxmlformats.org/drawingml/2006/picture">
              <pic:pic>
                <pic:nvPicPr>
                  <pic:cNvPr descr="DIR_logo_grayscale no text"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41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spacing w:after="40" w:before="40" w:lineRule="auto"/>
      <w:ind w:firstLine="720"/>
      <w:jc w:val="center"/>
      <w:rPr/>
    </w:pPr>
    <w:r w:rsidDel="00000000" w:rsidR="00000000" w:rsidRPr="00000000">
      <w:rPr>
        <w:rtl w:val="0"/>
      </w:rPr>
      <w:t xml:space="preserve">Texas Department of Information Resources</w:t>
    </w:r>
  </w:p>
  <w:p w:rsidR="00000000" w:rsidDel="00000000" w:rsidP="00000000" w:rsidRDefault="00000000" w:rsidRPr="00000000" w14:paraId="0000006E">
    <w:pPr>
      <w:spacing w:after="40" w:before="40" w:lineRule="auto"/>
      <w:ind w:firstLine="720"/>
      <w:jc w:val="center"/>
      <w:rPr/>
    </w:pPr>
    <w:r w:rsidDel="00000000" w:rsidR="00000000" w:rsidRPr="00000000">
      <w:rPr>
        <w:rtl w:val="0"/>
      </w:rPr>
      <w:t xml:space="preserve">Austin, TX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Dirección: Av. Américo Vespucio 1501, Maipú, Cerrillos, Región Metropolitana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Based on </w:t>
      <w:br w:type="textWrapping"/>
      <w:t xml:space="preserve">DIR Document 1BC-T1-0</w:t>
      <w:tab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4995545</wp:posOffset>
          </wp:positionH>
          <wp:positionV relativeFrom="paragraph">
            <wp:posOffset>68580</wp:posOffset>
          </wp:positionV>
          <wp:extent cx="948055" cy="276860"/>
          <wp:effectExtent b="0" l="0" r="0" t="0"/>
          <wp:wrapNone/>
          <wp:docPr descr="1-BusJust" id="35" name="image4.png"/>
          <a:graphic>
            <a:graphicData uri="http://schemas.openxmlformats.org/drawingml/2006/picture">
              <pic:pic>
                <pic:nvPicPr>
                  <pic:cNvPr descr="1-BusJust"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8055" cy="2768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_x0000_i1025" style="width:156pt;height:34.5pt" type="#_x0000_t75">
          <v:imagedata r:href="rId2" r:id="rId1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180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DEPARTMENT OF INFORMATION RESOURCES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731203</wp:posOffset>
              </wp:positionH>
              <wp:positionV relativeFrom="paragraph">
                <wp:posOffset>251142</wp:posOffset>
              </wp:positionV>
              <wp:extent cx="3801745" cy="336550"/>
              <wp:effectExtent b="0" l="0" r="0" t="0"/>
              <wp:wrapTopAndBottom distB="0" distT="0"/>
              <wp:docPr id="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49890" y="3616488"/>
                        <a:ext cx="379222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300"/>
                            <w:ind w:left="0" w:right="0" w:firstLine="-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b40000"/>
                              <w:sz w:val="20"/>
                              <w:vertAlign w:val="baseline"/>
                            </w:rPr>
                            <w:t xml:space="preserve"> FILENAME  \* MERGEFORMAT 10bc-t1-3.doc | DRAFT |  TIME \@ "M/d/yyyy h:mm am/pm" 5/16/2022 2:08 PM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731203</wp:posOffset>
              </wp:positionH>
              <wp:positionV relativeFrom="paragraph">
                <wp:posOffset>251142</wp:posOffset>
              </wp:positionV>
              <wp:extent cx="3801745" cy="336550"/>
              <wp:effectExtent b="0" l="0" r="0" t="0"/>
              <wp:wrapTopAndBottom distB="0" distT="0"/>
              <wp:docPr id="3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1745" cy="336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_x0000_i1026" style="width:156pt;height:34.5pt" type="#_x0000_t75">
          <v:imagedata r:href="rId4" r:id="rId3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Project Delivery Framework</w:t>
      <w:tab/>
      <w:tab/>
      <w:t xml:space="preserve">BUSINESS CASE TEMPLATE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Project Delivery Framework</w:t>
      <w:tab/>
      <w:tab/>
      <w:t xml:space="preserve">BUSINESS CASE TEMPLATE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200" w:line="300" w:lineRule="auto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tabs>
        <w:tab w:val="left" w:leader="none" w:pos="0"/>
        <w:tab w:val="left" w:leader="none" w:pos="1980"/>
      </w:tabs>
      <w:spacing w:line="400" w:lineRule="auto"/>
      <w:ind w:left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A92AF4"/>
  </w:style>
  <w:style w:type="paragraph" w:styleId="Piedepgina">
    <w:name w:val="footer"/>
    <w:basedOn w:val="Normal"/>
    <w:link w:val="PiedepginaCar"/>
    <w:uiPriority w:val="99"/>
    <w:unhideWhenUsed w:val="1"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92AF4"/>
  </w:style>
  <w:style w:type="character" w:styleId="Ttulo1Car" w:customStyle="1">
    <w:name w:val="Título 1 Car"/>
    <w:basedOn w:val="Fuentedeprrafopredeter"/>
    <w:link w:val="Ttulo1"/>
    <w:rsid w:val="00A92AF4"/>
    <w:rPr>
      <w:rFonts w:ascii="Arial Black" w:cs="Times New Roman" w:eastAsia="Times New Roman" w:hAnsi="Arial Black"/>
      <w:sz w:val="32"/>
      <w:szCs w:val="32"/>
      <w:lang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A92AF4"/>
    <w:pPr>
      <w:tabs>
        <w:tab w:val="left" w:pos="2160"/>
        <w:tab w:val="right" w:leader="dot" w:pos="8280"/>
      </w:tabs>
      <w:spacing w:after="100" w:before="100"/>
      <w:ind w:left="1080"/>
    </w:pPr>
  </w:style>
  <w:style w:type="character" w:styleId="Hipervnculo">
    <w:name w:val="Hyperlink"/>
    <w:basedOn w:val="Fuentedeprrafopredeter"/>
    <w:uiPriority w:val="99"/>
    <w:rsid w:val="00A92AF4"/>
    <w:rPr>
      <w:color w:val="b40000"/>
      <w:u w:val="none"/>
    </w:rPr>
  </w:style>
  <w:style w:type="paragraph" w:styleId="Z-agcycvr-name" w:customStyle="1">
    <w:name w:val="Z-agcycvr-name"/>
    <w:basedOn w:val="Normal"/>
    <w:rsid w:val="00A92AF4"/>
    <w:pPr>
      <w:tabs>
        <w:tab w:val="center" w:pos="4680"/>
        <w:tab w:val="right" w:pos="9360"/>
      </w:tabs>
      <w:spacing w:after="0" w:before="1440" w:line="240" w:lineRule="auto"/>
      <w:ind w:left="0"/>
      <w:jc w:val="center"/>
    </w:pPr>
    <w:rPr>
      <w:rFonts w:ascii="Arial Bold" w:cs="Arial" w:hAnsi="Arial Bold"/>
      <w:b w:val="1"/>
      <w:sz w:val="30"/>
      <w:szCs w:val="36"/>
    </w:rPr>
  </w:style>
  <w:style w:type="paragraph" w:styleId="Z-cvr-docinfo" w:customStyle="1">
    <w:name w:val="Z-cvr-docinfo"/>
    <w:basedOn w:val="Normal"/>
    <w:rsid w:val="00A92AF4"/>
    <w:pPr>
      <w:tabs>
        <w:tab w:val="center" w:pos="4680"/>
        <w:tab w:val="right" w:pos="9360"/>
      </w:tabs>
      <w:spacing w:after="100" w:afterAutospacing="1" w:before="1280" w:line="240" w:lineRule="auto"/>
      <w:ind w:left="0"/>
      <w:jc w:val="right"/>
    </w:pPr>
    <w:rPr>
      <w:rFonts w:ascii="Arial Narrow" w:cs="Arial" w:hAnsi="Arial Narrow"/>
      <w:bCs w:val="1"/>
      <w:sz w:val="28"/>
    </w:rPr>
  </w:style>
  <w:style w:type="paragraph" w:styleId="Z-cvr-Normal" w:customStyle="1">
    <w:name w:val="Z-cvr-Normal"/>
    <w:basedOn w:val="Normal"/>
    <w:rsid w:val="00A92AF4"/>
    <w:pPr>
      <w:tabs>
        <w:tab w:val="center" w:pos="4680"/>
        <w:tab w:val="right" w:pos="9360"/>
      </w:tabs>
      <w:ind w:left="0"/>
    </w:pPr>
    <w:rPr>
      <w:rFonts w:cs="Arial"/>
      <w:bCs w:val="1"/>
    </w:rPr>
  </w:style>
  <w:style w:type="paragraph" w:styleId="Z-cvr-Title" w:customStyle="1">
    <w:name w:val="Z-cvr-Title"/>
    <w:basedOn w:val="Normal"/>
    <w:rsid w:val="00A92AF4"/>
    <w:pPr>
      <w:tabs>
        <w:tab w:val="center" w:pos="4680"/>
        <w:tab w:val="right" w:pos="9360"/>
      </w:tabs>
      <w:spacing w:after="0" w:before="1560" w:line="240" w:lineRule="auto"/>
      <w:ind w:left="0"/>
      <w:jc w:val="right"/>
    </w:pPr>
    <w:rPr>
      <w:rFonts w:ascii="Arial Black" w:cs="Arial" w:hAnsi="Arial Black"/>
      <w:bCs w:val="1"/>
      <w:sz w:val="68"/>
    </w:rPr>
  </w:style>
  <w:style w:type="paragraph" w:styleId="Z-cvr-SubTitle" w:customStyle="1">
    <w:name w:val="Z-cvr-SubTitle"/>
    <w:basedOn w:val="Z-cvr-Title"/>
    <w:rsid w:val="00A92AF4"/>
    <w:pPr>
      <w:spacing w:before="120"/>
    </w:pPr>
    <w:rPr>
      <w:rFonts w:ascii="Arial" w:hAnsi="Arial"/>
      <w:color w:val="b40000"/>
      <w:sz w:val="56"/>
    </w:rPr>
  </w:style>
  <w:style w:type="paragraph" w:styleId="Z-agcycvr-Doctype" w:customStyle="1">
    <w:name w:val="Z-agcycvr-Doctype"/>
    <w:basedOn w:val="Normal"/>
    <w:rsid w:val="00A92AF4"/>
    <w:pPr>
      <w:keepNext w:val="1"/>
      <w:tabs>
        <w:tab w:val="center" w:pos="4680"/>
        <w:tab w:val="right" w:pos="9360"/>
      </w:tabs>
      <w:spacing w:after="240" w:line="400" w:lineRule="exact"/>
      <w:ind w:left="0"/>
      <w:jc w:val="center"/>
      <w:outlineLvl w:val="3"/>
    </w:pPr>
    <w:rPr>
      <w:rFonts w:ascii="Arial Black" w:cs="Arial" w:hAnsi="Arial Black"/>
      <w:bCs w:val="1"/>
      <w:sz w:val="36"/>
      <w:szCs w:val="36"/>
    </w:rPr>
  </w:style>
  <w:style w:type="paragraph" w:styleId="Z-agcycvr-tpdf" w:customStyle="1">
    <w:name w:val="Z-agcycvr-tpdf"/>
    <w:basedOn w:val="Z-agcycvr-name"/>
    <w:rsid w:val="00A92AF4"/>
    <w:pPr>
      <w:tabs>
        <w:tab w:val="left" w:pos="7985"/>
      </w:tabs>
      <w:spacing w:before="0"/>
    </w:pPr>
    <w:rPr>
      <w:rFonts w:ascii="Arial Narrow" w:hAnsi="Arial Narrow"/>
      <w:b w:val="0"/>
      <w:bCs w:val="1"/>
      <w:spacing w:val="20"/>
      <w:sz w:val="20"/>
    </w:rPr>
  </w:style>
  <w:style w:type="paragraph" w:styleId="Prrafodelista">
    <w:name w:val="List Paragraph"/>
    <w:basedOn w:val="Normal"/>
    <w:uiPriority w:val="34"/>
    <w:qFormat w:val="1"/>
    <w:rsid w:val="00BA7D76"/>
    <w:p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customXml" Target="../customXML/item1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9" Type="http://schemas.openxmlformats.org/officeDocument/2006/relationships/styles" Target="styles.xml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5" Type="http://schemas.openxmlformats.org/officeDocument/2006/relationships/theme" Target="theme/theme1.xml"/><Relationship Id="rId19" Type="http://schemas.openxmlformats.org/officeDocument/2006/relationships/header" Target="header5.xml"/><Relationship Id="rId6" Type="http://schemas.openxmlformats.org/officeDocument/2006/relationships/settings" Target="settings.xml"/><Relationship Id="rId18" Type="http://schemas.openxmlformats.org/officeDocument/2006/relationships/footer" Target="footer4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ArialBlack-regular.ttf"/></Relationships>
</file>

<file path=word/_rels/footer2.xml.rels><?xml version="1.0" encoding="UTF-8" standalone="yes"?><Relationships xmlns="http://schemas.openxmlformats.org/package/2006/relationships"><Relationship Id="rId5" Type="http://schemas.openxmlformats.org/officeDocument/2006/relationships/image" Target="media/image3.png"/></Relationships>
</file>

<file path=word/_rels/footer4.xml.rels><?xml version="1.0" encoding="UTF-8" standalone="yes"?><Relationships xmlns="http://schemas.openxmlformats.org/package/2006/relationships"><Relationship Id="rId5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http://www.duoc.cl/normasgraficas/normasgraficas/marca-duoc/logo-fondo-blanco/OR_Logotipo_DuocUC.jpg" TargetMode="External"/></Relationships>
</file>

<file path=word/_rels/header2.xml.rels><?xml version="1.0" encoding="UTF-8" standalone="yes"?><Relationships xmlns="http://schemas.openxmlformats.org/package/2006/relationships"><Relationship Id="rId5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3" Type="http://schemas.openxmlformats.org/officeDocument/2006/relationships/image" Target="media/image1.jpg"/><Relationship Id="rId4" Type="http://schemas.openxmlformats.org/officeDocument/2006/relationships/image" Target="http://www.duoc.cl/normasgraficas/normasgraficas/marca-duoc/logo-fondo-blanco/OR_Logotipo_DuocUC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wpUZkNvL1FH5LLAi3REA4fQ9w==">CgMxLjAyDWguMmIzZzJ0eHVpamkyDmguZGM5NzN0M2pjYjUxMg5oLjJpNmd4NWJsNG1nZDIOaC4ybzBpYjM4Y3RrYTUyDmgudW1mNGpnZTV1azBrMg5oLnBiYzZvczRnOTB1MDIOaC5iZzJsZTVta3gyMncyDmguc25zdTl2M3dlYXhvMg5oLmJybXZleGNhdm9mdzIOaC5iMXVmeXR5djYxdnUyDmguOHJkcTdweXFvdG95Mg5oLmxobjhuZXNlb3dyaTgAciExTWtHUHdjZ2I0ZFVhME95VGhHcWdmSnI4SnJjeDRne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2016-11-23T23:15:00Z</dcterms:created>
  <dc:creator>Mauricio Villagrán Mora</dc:creator>
</cp:coreProperties>
</file>