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7B00CA" w:rsidRPr="000B4348">
        <w:rPr>
          <w:b/>
          <w:i/>
        </w:rPr>
        <w:t>.0\lib\SL40\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w:t>
        </w:r>
        <w:r w:rsidR="00F65F78" w:rsidRPr="009742FE">
          <w:rPr>
            <w:rStyle w:val="Hyperlink"/>
          </w:rPr>
          <w:t>e</w:t>
        </w:r>
        <w:r w:rsidR="00F65F78" w:rsidRPr="009742FE">
          <w:rPr>
            <w:rStyle w:val="Hyperlink"/>
          </w:rPr>
          <w:t>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proofErr w:type="gramStart"/>
      <w:r w:rsidRPr="00304E34">
        <w:rPr>
          <w:color w:val="0000FF"/>
        </w:rPr>
        <w:t>public</w:t>
      </w:r>
      <w:proofErr w:type="gramEnd"/>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proofErr w:type="gramStart"/>
      <w:r w:rsidRPr="00304E34">
        <w:rPr>
          <w:color w:val="0000FF"/>
        </w:rPr>
        <w:t>get</w:t>
      </w:r>
      <w:proofErr w:type="gramEnd"/>
    </w:p>
    <w:p w:rsidR="00304E34" w:rsidRPr="00304E34" w:rsidRDefault="00304E34" w:rsidP="00304E34">
      <w:pPr>
        <w:pStyle w:val="Code"/>
      </w:pPr>
      <w:r w:rsidRPr="00304E34">
        <w:t>    {</w:t>
      </w:r>
    </w:p>
    <w:p w:rsidR="00304E34" w:rsidRPr="00304E34" w:rsidRDefault="00304E34" w:rsidP="00304E34">
      <w:pPr>
        <w:pStyle w:val="Code"/>
      </w:pPr>
      <w:r w:rsidRPr="00304E34">
        <w:t>        </w:t>
      </w:r>
      <w:proofErr w:type="gramStart"/>
      <w:r w:rsidRPr="00304E34">
        <w:t>Caliburn.Micro.</w:t>
      </w:r>
      <w:r w:rsidRPr="00304E34">
        <w:rPr>
          <w:color w:val="2B91AF"/>
        </w:rPr>
        <w:t>LogManager</w:t>
      </w:r>
      <w:r w:rsidRPr="00304E34">
        <w:t>.GetLog(</w:t>
      </w:r>
      <w:proofErr w:type="gramEnd"/>
      <w:r w:rsidRPr="00304E34">
        <w:t>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proofErr w:type="gramStart"/>
      <w:r w:rsidRPr="00304E34">
        <w:rPr>
          <w:color w:val="0000FF"/>
        </w:rPr>
        <w:t>return</w:t>
      </w:r>
      <w:proofErr w:type="gramEnd"/>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17" w:name="_How_did_it"/>
      <w:bookmarkEnd w:id="17"/>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8" w:name="_What_are_the"/>
      <w:bookmarkEnd w:id="18"/>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5"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6" w:history="1">
        <w:r w:rsidRPr="005035B1">
          <w:rPr>
            <w:rStyle w:val="Hyperlink"/>
          </w:rPr>
          <w:t>Using the NameT</w:t>
        </w:r>
        <w:r w:rsidRPr="005035B1">
          <w:rPr>
            <w:rStyle w:val="Hyperlink"/>
          </w:rPr>
          <w:t>r</w:t>
        </w:r>
        <w:r w:rsidRPr="005035B1">
          <w:rPr>
            <w:rStyle w:val="Hyperlink"/>
          </w:rPr>
          <w:t>an</w:t>
        </w:r>
        <w:r w:rsidRPr="005035B1">
          <w:rPr>
            <w:rStyle w:val="Hyperlink"/>
          </w:rPr>
          <w:t>s</w:t>
        </w:r>
        <w:r w:rsidRPr="005035B1">
          <w:rPr>
            <w:rStyle w:val="Hyperlink"/>
          </w:rPr>
          <w:t>former</w:t>
        </w:r>
      </w:hyperlink>
      <w:r>
        <w:t>”</w:t>
      </w:r>
    </w:p>
    <w:p w:rsidR="00207522" w:rsidRPr="005035B1" w:rsidRDefault="00207522" w:rsidP="003E29DA">
      <w:pPr>
        <w:pStyle w:val="ListParagraph"/>
        <w:keepNext/>
        <w:numPr>
          <w:ilvl w:val="0"/>
          <w:numId w:val="22"/>
        </w:numPr>
      </w:pPr>
      <w:r>
        <w:t>“</w:t>
      </w:r>
      <w:hyperlink r:id="rId17" w:history="1">
        <w:r w:rsidRPr="00207522">
          <w:rPr>
            <w:rStyle w:val="Hyperlink"/>
          </w:rPr>
          <w:t>Handling Custom Conventions</w:t>
        </w:r>
      </w:hyperlink>
      <w:r>
        <w:t xml:space="preserve">” </w:t>
      </w:r>
    </w:p>
    <w:p w:rsidR="003E29DA" w:rsidRPr="00FA186D" w:rsidRDefault="0076019F" w:rsidP="003E29DA">
      <w:pPr>
        <w:pStyle w:val="ListParagraph"/>
        <w:numPr>
          <w:ilvl w:val="0"/>
          <w:numId w:val="22"/>
        </w:numPr>
      </w:pPr>
      <w:hyperlink r:id="rId18"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19" w:name="OLE_LINK1"/>
      <w:bookmarkStart w:id="20"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1"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1"/>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21"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2" w:name="_Why_does_Name"/>
      <w:bookmarkEnd w:id="22"/>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3" w:name="_Why_repeat_HappyHourStyles"/>
      <w:bookmarkStart w:id="24" w:name="_Could_we_define"/>
      <w:bookmarkStart w:id="25" w:name="_Could_we_have"/>
      <w:bookmarkStart w:id="26" w:name="_When_should_I"/>
      <w:bookmarkStart w:id="27" w:name="_Should_a_property"/>
      <w:bookmarkEnd w:id="23"/>
      <w:bookmarkEnd w:id="24"/>
      <w:bookmarkEnd w:id="25"/>
      <w:bookmarkEnd w:id="26"/>
      <w:bookmarkEnd w:id="27"/>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8" w:name="_When_should_I_1"/>
      <w:bookmarkStart w:id="29" w:name="_How_are_Views"/>
      <w:bookmarkEnd w:id="28"/>
      <w:bookmarkEnd w:id="29"/>
      <w:r>
        <w:lastRenderedPageBreak/>
        <w:t xml:space="preserve">Lesson </w:t>
      </w:r>
      <w:r w:rsidR="003608EB">
        <w:t>5</w:t>
      </w:r>
      <w:r>
        <w:t>: Views for Entities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0"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0"/>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optional com</w:t>
        </w:r>
        <w:r w:rsidR="00E918CB" w:rsidRPr="00E918CB">
          <w:rPr>
            <w:rStyle w:val="Hyperlink"/>
          </w:rPr>
          <w:t>m</w:t>
        </w:r>
        <w:r w:rsidR="00E918CB" w:rsidRPr="00E918CB">
          <w:rPr>
            <w:rStyle w:val="Hyperlink"/>
          </w:rPr>
          <w:t>entary below</w:t>
        </w:r>
      </w:hyperlink>
      <w:r w:rsidR="00E918CB">
        <w:t>.</w:t>
      </w:r>
      <w:r>
        <w:t xml:space="preserve">  </w:t>
      </w:r>
    </w:p>
    <w:p w:rsidR="00E918CB" w:rsidRDefault="00E918CB" w:rsidP="00E918CB">
      <w:r>
        <w:t>The short of it is that we’ve added a rule to map entity class names in the “Model” namespace to view class names in the “HappyHour.Views” namespace. We’ve added a twist: we want the particle “Entity” to appear between the basename (“DrinkOrder”) and the suffix, “View”.</w:t>
      </w:r>
    </w:p>
    <w:p w:rsidR="00E918CB" w:rsidRDefault="00E918CB" w:rsidP="00E918CB">
      <w:r>
        <w:lastRenderedPageBreak/>
        <w:t>Thus, an entity class name such as</w:t>
      </w:r>
      <w:r>
        <w:t xml:space="preserve"> “</w:t>
      </w:r>
      <w:r w:rsidRPr="000A2453">
        <w:rPr>
          <w:i/>
        </w:rPr>
        <w:t>Model.DrinkOrder</w:t>
      </w:r>
      <w:r>
        <w:t xml:space="preserve">” </w:t>
      </w:r>
      <w:r>
        <w:t xml:space="preserve">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t xml:space="preserve">that </w:t>
      </w:r>
      <w:r w:rsidR="00C94E5A" w:rsidRPr="00C94E5A">
        <w:rPr>
          <w:i/>
        </w:rPr>
        <w:t>DrinkOrderEntityView</w:t>
      </w:r>
      <w:r w:rsidR="00C94E5A">
        <w:t xml:space="preserve"> </w:t>
      </w:r>
      <w:r>
        <w:t xml:space="preserve">and </w:t>
      </w:r>
      <w:r w:rsidR="00C94E5A">
        <w:t>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4"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9357D4" w:rsidRDefault="009357D4" w:rsidP="009357D4">
      <w:pPr>
        <w:keepNext/>
      </w:pPr>
      <w:r>
        <w:t xml:space="preserve">That generality may not apply to an entity acting as its own </w:t>
      </w:r>
      <w:r w:rsidRPr="00853456">
        <w:rPr>
          <w:i/>
        </w:rPr>
        <w:t>ViewModel</w:t>
      </w:r>
      <w:r>
        <w:t xml:space="preserve">. It’s easy to imagine displaying a </w:t>
      </w:r>
      <w:r w:rsidRPr="00853456">
        <w:rPr>
          <w:i/>
        </w:rPr>
        <w:t>DrinkOrder</w:t>
      </w:r>
      <w:r>
        <w:t xml:space="preserve"> in two different ways in two different contexts:</w:t>
      </w:r>
    </w:p>
    <w:p w:rsidR="009357D4" w:rsidRDefault="009357D4" w:rsidP="009357D4">
      <w:r>
        <w:rPr>
          <w:noProof/>
        </w:rPr>
        <w:drawing>
          <wp:inline distT="0" distB="0" distL="0" distR="0" wp14:anchorId="39FC25C7" wp14:editId="194203F5">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048" cy="742857"/>
                    </a:xfrm>
                    <a:prstGeom prst="rect">
                      <a:avLst/>
                    </a:prstGeom>
                  </pic:spPr>
                </pic:pic>
              </a:graphicData>
            </a:graphic>
          </wp:inline>
        </w:drawing>
      </w:r>
    </w:p>
    <w:p w:rsidR="009357D4" w:rsidRDefault="009357D4" w:rsidP="009357D4">
      <w:r>
        <w:t xml:space="preserve">Fortunately, you can have multiple views per </w:t>
      </w:r>
      <w:r w:rsidRPr="00041897">
        <w:rPr>
          <w:i/>
        </w:rPr>
        <w:t>ViewModel</w:t>
      </w:r>
      <w:r>
        <w:t xml:space="preserve"> and specify which one you want, all through convention. We recognize </w:t>
      </w:r>
      <w:r w:rsidRPr="00853456">
        <w:rPr>
          <w:i/>
        </w:rPr>
        <w:t>DrinkOrderEntityView</w:t>
      </w:r>
      <w:r>
        <w:t xml:space="preserve"> as the view on the left; let’s define</w:t>
      </w:r>
      <w:r w:rsidRPr="00994AB2">
        <w:t xml:space="preserve"> </w:t>
      </w:r>
      <w:r w:rsidRPr="00853456">
        <w:rPr>
          <w:i/>
        </w:rPr>
        <w:t>DrinkOrder</w:t>
      </w:r>
      <w:r>
        <w:rPr>
          <w:i/>
        </w:rPr>
        <w:t>Entity</w:t>
      </w:r>
      <w:r w:rsidRPr="00853456">
        <w:rPr>
          <w:i/>
        </w:rPr>
        <w:t>.MiniView</w:t>
      </w:r>
      <w:r>
        <w:t xml:space="preserve"> as the view on the right.</w:t>
      </w:r>
    </w:p>
    <w:p w:rsidR="009357D4" w:rsidRDefault="009357D4" w:rsidP="009357D4">
      <w:pPr>
        <w:pStyle w:val="Note"/>
      </w:pPr>
      <w:r>
        <w:t>The following example is included in the code accompanying this lesson.</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lastRenderedPageBreak/>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Suit yourself; that’s too prissy for my tastes.</w:t>
      </w:r>
    </w:p>
    <w:p w:rsidR="0042028A" w:rsidRDefault="009357D4" w:rsidP="000E28F2">
      <w:pPr>
        <w:keepNext/>
      </w:pPr>
      <w:r>
        <w:t>The view 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lastRenderedPageBreak/>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r>
        <w:t>This variation is present but commented out in the lesson’s code sample.</w:t>
      </w:r>
    </w:p>
    <w:p w:rsidR="0076019F" w:rsidRDefault="00C94E5A" w:rsidP="0076019F">
      <w:pPr>
        <w:pStyle w:val="Heading2"/>
      </w:pPr>
      <w:bookmarkStart w:id="31" w:name="_Explain_the_rule"/>
      <w:bookmarkEnd w:id="31"/>
      <w:r>
        <w:t xml:space="preserve">Explain </w:t>
      </w:r>
      <w:r w:rsidR="0076019F">
        <w:t xml:space="preserve">the </w:t>
      </w:r>
      <w:r>
        <w:t xml:space="preserve">rule that we added to the </w:t>
      </w:r>
      <w:r w:rsidR="0076019F">
        <w:t xml:space="preserve">NameTransformer </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27" w:history="1">
        <w:r w:rsidRPr="00CE5D93">
          <w:rPr>
            <w:rStyle w:val="Hyperlink"/>
          </w:rPr>
          <w:t>Regular Expression</w:t>
        </w:r>
      </w:hyperlink>
      <w:r>
        <w:t>. Here I try to explain what that expression does.</w:t>
      </w:r>
    </w:p>
    <w:p w:rsidR="00E918CB" w:rsidRDefault="00E918CB" w:rsidP="00E918CB">
      <w:pPr>
        <w:keepNext/>
      </w:pPr>
      <w:r>
        <w:t>Let me refresh your memory about that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AD7B09">
        <w:rPr>
          <w:i/>
        </w:rPr>
        <w:t>"^Model\</w:t>
      </w:r>
      <w:proofErr w:type="gramStart"/>
      <w:r w:rsidRPr="00AD7B09">
        <w:rPr>
          <w:i/>
        </w:rPr>
        <w:t>.(</w:t>
      </w:r>
      <w:proofErr w:type="gramEnd"/>
      <w:r w:rsidRPr="00AD7B09">
        <w:rPr>
          <w:i/>
        </w:rPr>
        <w:t>\w*)"</w:t>
      </w:r>
      <w:r>
        <w:t xml:space="preserve">  – translates into English as: </w:t>
      </w:r>
    </w:p>
    <w:p w:rsidR="0076019F" w:rsidRDefault="0076019F" w:rsidP="0076019F">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76019F" w:rsidRDefault="0076019F" w:rsidP="0076019F">
      <w:r>
        <w:t>The parentheses in the pattern define a “</w:t>
      </w:r>
      <w:r w:rsidR="00C94E5A">
        <w:t xml:space="preserve">capture </w:t>
      </w:r>
      <w:r>
        <w:t xml:space="preserve">group” within the matched text.  That group will contain the name of the entity class within the </w:t>
      </w:r>
      <w:r w:rsidRPr="00F10B72">
        <w:rPr>
          <w:i/>
        </w:rPr>
        <w:t>Model</w:t>
      </w:r>
      <w:r>
        <w:t xml:space="preserve"> namespace.</w:t>
      </w:r>
    </w:p>
    <w:p w:rsidR="0076019F" w:rsidRDefault="0076019F" w:rsidP="0076019F">
      <w:r>
        <w:t>The “</w:t>
      </w:r>
      <w:r w:rsidRPr="0076019F">
        <w:rPr>
          <w:i/>
        </w:rPr>
        <w:t>(</w:t>
      </w:r>
      <w:proofErr w:type="gramStart"/>
      <w:r w:rsidRPr="0076019F">
        <w:rPr>
          <w:i/>
        </w:rPr>
        <w:t>?&lt;</w:t>
      </w:r>
      <w:proofErr w:type="gramEnd"/>
      <w:r w:rsidRPr="0076019F">
        <w:rPr>
          <w:i/>
        </w:rPr>
        <w:t>basename&gt;)</w:t>
      </w:r>
      <w:r>
        <w:t xml:space="preserve">” is a placeholder capture group; it won’t capture a thing but it </w:t>
      </w:r>
      <w:hyperlink r:id="rId28" w:history="1">
        <w:r w:rsidRPr="0076019F">
          <w:rPr>
            <w:rStyle w:val="Hyperlink"/>
          </w:rPr>
          <w:t>needs to be there</w:t>
        </w:r>
      </w:hyperlink>
      <w:r>
        <w:t>.</w:t>
      </w:r>
    </w:p>
    <w:p w:rsidR="0076019F" w:rsidRDefault="0076019F" w:rsidP="0076019F">
      <w:r>
        <w:t>The replacement pattern – “</w:t>
      </w:r>
      <w:r>
        <w:rPr>
          <w:i/>
        </w:rPr>
        <w:t>HappyHour</w:t>
      </w:r>
      <w:r w:rsidRPr="00AD7B09">
        <w:rPr>
          <w:i/>
        </w:rPr>
        <w:t>.</w:t>
      </w:r>
      <w:r>
        <w:rPr>
          <w:i/>
        </w:rPr>
        <w:t>Views</w:t>
      </w:r>
      <w:proofErr w:type="gramStart"/>
      <w:r>
        <w:rPr>
          <w:i/>
        </w:rPr>
        <w:t>.</w:t>
      </w:r>
      <w:r w:rsidRPr="00AD7B09">
        <w:rPr>
          <w:i/>
        </w:rPr>
        <w:t>$</w:t>
      </w:r>
      <w:proofErr w:type="gramEnd"/>
      <w:r w:rsidRPr="00AD7B09">
        <w:rPr>
          <w:i/>
        </w:rPr>
        <w:t>{1}</w:t>
      </w:r>
      <w:r>
        <w:rPr>
          <w:i/>
        </w:rPr>
        <w:t>Entity${</w:t>
      </w:r>
      <w:r w:rsidRPr="0076019F">
        <w:rPr>
          <w:i/>
        </w:rPr>
        <w:t>basename</w:t>
      </w:r>
      <w:r>
        <w:rPr>
          <w:i/>
        </w:rPr>
        <w:t>}</w:t>
      </w:r>
      <w:r w:rsidRPr="00AD7B09">
        <w:rPr>
          <w:i/>
        </w:rPr>
        <w:t>View</w:t>
      </w:r>
      <w:r>
        <w:t xml:space="preserve">” – means: </w:t>
      </w:r>
    </w:p>
    <w:p w:rsidR="0076019F" w:rsidRDefault="0076019F" w:rsidP="0076019F">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00C94E5A">
        <w:t>”  [</w:t>
      </w:r>
      <w:proofErr w:type="gramStart"/>
      <w:r w:rsidR="00C94E5A">
        <w:t>recall</w:t>
      </w:r>
      <w:proofErr w:type="gramEnd"/>
      <w:r w:rsidR="00C94E5A">
        <w:t xml:space="preserve"> </w:t>
      </w:r>
      <w:r>
        <w:t>that “</w:t>
      </w:r>
      <w:r w:rsidRPr="0076019F">
        <w:rPr>
          <w:i/>
        </w:rPr>
        <w:t>$(basename)</w:t>
      </w:r>
      <w:r>
        <w:t xml:space="preserve">” will </w:t>
      </w:r>
      <w:r w:rsidR="00C94E5A">
        <w:t xml:space="preserve">always </w:t>
      </w:r>
      <w:r>
        <w:t>be empty].</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9" w:history="1">
        <w:r w:rsidRPr="000A35AC">
          <w:rPr>
            <w:rStyle w:val="Hyperlink"/>
          </w:rPr>
          <w:t>Supervising Controller</w:t>
        </w:r>
      </w:hyperlink>
      <w:r>
        <w:t xml:space="preserve"> pattern, another in the family of </w:t>
      </w:r>
      <w:hyperlink r:id="rId30"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1"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2" w:name="_Shouldn’t_the_ShellView"/>
      <w:bookmarkEnd w:id="32"/>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3" w:name="_What_is_IViewAware?"/>
      <w:bookmarkEnd w:id="33"/>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 xml:space="preserve">How to extend CM with ValueConverter </w:t>
      </w:r>
      <w:bookmarkStart w:id="34" w:name="_GoBack"/>
      <w:r>
        <w:t>conventions</w:t>
      </w:r>
      <w:bookmarkEnd w:id="34"/>
      <w:r>
        <w:t>,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B53" w:rsidRDefault="005D3B53" w:rsidP="00056A5E">
      <w:pPr>
        <w:spacing w:after="0" w:line="240" w:lineRule="auto"/>
      </w:pPr>
      <w:r>
        <w:separator/>
      </w:r>
    </w:p>
  </w:endnote>
  <w:endnote w:type="continuationSeparator" w:id="0">
    <w:p w:rsidR="005D3B53" w:rsidRDefault="005D3B53"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76019F" w:rsidRDefault="0076019F">
        <w:pPr>
          <w:pStyle w:val="Footer"/>
          <w:jc w:val="center"/>
        </w:pPr>
        <w:r>
          <w:fldChar w:fldCharType="begin"/>
        </w:r>
        <w:r>
          <w:instrText xml:space="preserve"> PAGE   \* MERGEFORMAT </w:instrText>
        </w:r>
        <w:r>
          <w:fldChar w:fldCharType="separate"/>
        </w:r>
        <w:r w:rsidR="00207522">
          <w:rPr>
            <w:noProof/>
          </w:rPr>
          <w:t>54</w:t>
        </w:r>
        <w:r>
          <w:rPr>
            <w:noProof/>
          </w:rPr>
          <w:fldChar w:fldCharType="end"/>
        </w:r>
      </w:p>
    </w:sdtContent>
  </w:sdt>
  <w:p w:rsidR="0076019F" w:rsidRDefault="00760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B53" w:rsidRDefault="005D3B53" w:rsidP="00056A5E">
      <w:pPr>
        <w:spacing w:after="0" w:line="240" w:lineRule="auto"/>
      </w:pPr>
      <w:r>
        <w:separator/>
      </w:r>
    </w:p>
  </w:footnote>
  <w:footnote w:type="continuationSeparator" w:id="0">
    <w:p w:rsidR="005D3B53" w:rsidRDefault="005D3B53"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F" w:rsidRDefault="0076019F"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3in;height:3in" o:bullet="t"/>
    </w:pict>
  </w:numPicBullet>
  <w:numPicBullet w:numPicBulletId="1">
    <w:pict>
      <v:shape id="_x0000_i1213"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D58"/>
    <w:rsid w:val="0040746F"/>
    <w:rsid w:val="004116A5"/>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3B53"/>
    <w:rsid w:val="005D71B5"/>
    <w:rsid w:val="005E0176"/>
    <w:rsid w:val="005E31F7"/>
    <w:rsid w:val="005E4D36"/>
    <w:rsid w:val="005E4F15"/>
    <w:rsid w:val="005E56DC"/>
    <w:rsid w:val="005F7C56"/>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4F2F"/>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57D4"/>
    <w:rsid w:val="00936ABE"/>
    <w:rsid w:val="00936B1E"/>
    <w:rsid w:val="0094179E"/>
    <w:rsid w:val="00941C93"/>
    <w:rsid w:val="00943B93"/>
    <w:rsid w:val="00944124"/>
    <w:rsid w:val="00951C2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4E5A"/>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aliburnmicro.codeplex.com/discussions/258997"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mosalem.blogspot.com/2010/07/silverlight-40-implicit-styles-not-so.html"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Handling%20Custom%20Conventions"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liburnmicro.codeplex.com/wikipage?title=Using%20the%20NameTransformer" TargetMode="External"/><Relationship Id="rId20" Type="http://schemas.openxmlformats.org/officeDocument/2006/relationships/image" Target="media/image7.png"/><Relationship Id="rId29" Type="http://schemas.openxmlformats.org/officeDocument/2006/relationships/hyperlink" Target="http://www.martinfowler.com/eaaDev/SupervisingPresent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aliburnmicro.codeplex.com/wikipage?title=All%20About%20Conventions"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liburnmicro.codeplex.com/wikipage?title=View%2fViewModel%20Naming%20Conventions" TargetMode="External"/><Relationship Id="rId23" Type="http://schemas.openxmlformats.org/officeDocument/2006/relationships/image" Target="media/image9.png"/><Relationship Id="rId28" Type="http://schemas.openxmlformats.org/officeDocument/2006/relationships/hyperlink" Target="http://caliburnmicro.codeplex.com/workitem/206"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www.martinfowler.com/eaaDev/SupervisingPresenter.html" TargetMode="Externa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image" Target="media/image8.png"/><Relationship Id="rId27" Type="http://schemas.openxmlformats.org/officeDocument/2006/relationships/hyperlink" Target="http://www.regular-expressions.info/" TargetMode="External"/><Relationship Id="rId30" Type="http://schemas.openxmlformats.org/officeDocument/2006/relationships/hyperlink" Target="http://martinfowler.com/eaaDev/uiArchs.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39154</TotalTime>
  <Pages>60</Pages>
  <Words>15594</Words>
  <Characters>88890</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205</cp:revision>
  <cp:lastPrinted>2011-10-24T19:58:00Z</cp:lastPrinted>
  <dcterms:created xsi:type="dcterms:W3CDTF">2011-11-22T21:58:00Z</dcterms:created>
  <dcterms:modified xsi:type="dcterms:W3CDTF">2012-01-31T22:29:00Z</dcterms:modified>
</cp:coreProperties>
</file>