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DD833" w14:textId="77777777" w:rsidR="0087732B" w:rsidRDefault="00000000">
      <w:pPr>
        <w:spacing w:after="80"/>
      </w:pPr>
      <w:r>
        <w:rPr>
          <w:b/>
          <w:bCs/>
          <w:color w:val="1F4E79"/>
          <w:sz w:val="36"/>
          <w:szCs w:val="36"/>
        </w:rPr>
        <w:t>Shared Authentication &amp; Billing Layer</w:t>
      </w:r>
    </w:p>
    <w:p w14:paraId="6D0DD834" w14:textId="77777777" w:rsidR="0087732B" w:rsidRDefault="00000000">
      <w:pPr>
        <w:spacing w:after="400"/>
      </w:pPr>
      <w:r>
        <w:rPr>
          <w:i/>
          <w:iCs/>
          <w:color w:val="666666"/>
          <w:sz w:val="22"/>
          <w:szCs w:val="22"/>
        </w:rPr>
        <w:t>Architecture spec for a multi-tool company web platform</w:t>
      </w:r>
    </w:p>
    <w:p w14:paraId="6D0DD835" w14:textId="77777777" w:rsidR="0087732B" w:rsidRDefault="00000000">
      <w:pPr>
        <w:pStyle w:val="Heading1"/>
        <w:spacing w:before="320" w:after="160"/>
      </w:pPr>
      <w:r>
        <w:t>1. Purpose</w:t>
      </w:r>
    </w:p>
    <w:p w14:paraId="6D0DD836" w14:textId="77777777" w:rsidR="0087732B" w:rsidRDefault="00000000">
      <w:pPr>
        <w:spacing w:after="160"/>
      </w:pPr>
      <w:r>
        <w:t>The company website will host several independent web-based tools, each built as its own site, linked from a shared company tools page. Rather than each tool implementing its own signup, login, and payment handling, all tools should authenticate against and bill through one shared service. This avoids duplicated work per tool, gives a single place to see all subscribers across the product line, and means a user only needs one account to access any tool they've subscribed to.</w:t>
      </w:r>
    </w:p>
    <w:p w14:paraId="6D0DD837" w14:textId="77777777" w:rsidR="0087732B" w:rsidRDefault="00000000">
      <w:pPr>
        <w:spacing w:after="160"/>
      </w:pPr>
      <w:r>
        <w:t>Illustrative example of the intended product line (names are placeholders):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2900"/>
      </w:tblGrid>
      <w:tr w:rsidR="0087732B" w14:paraId="6D0DD83B" w14:textId="77777777">
        <w:tblPrEx>
          <w:tblCellMar>
            <w:top w:w="0" w:type="dxa"/>
            <w:bottom w:w="0" w:type="dxa"/>
          </w:tblCellMar>
        </w:tblPrEx>
        <w:tc>
          <w:tcPr>
            <w:tcW w:w="2900" w:type="dxa"/>
            <w:tcBorders>
              <w:top w:val="single" w:sz="8" w:space="0" w:color="1F4E79"/>
              <w:left w:val="single" w:sz="8" w:space="0" w:color="1F4E79"/>
              <w:bottom w:val="single" w:sz="8" w:space="0" w:color="1F4E79"/>
              <w:right w:val="single" w:sz="8" w:space="0" w:color="1F4E79"/>
            </w:tcBorders>
            <w:shd w:val="clear" w:color="auto" w:fill="EAF1F8"/>
            <w:tcMar>
              <w:top w:w="200" w:type="dxa"/>
              <w:left w:w="100" w:type="dxa"/>
              <w:bottom w:w="200" w:type="dxa"/>
              <w:right w:w="100" w:type="dxa"/>
            </w:tcMar>
          </w:tcPr>
          <w:p w14:paraId="6D0DD838" w14:textId="5FAD122D" w:rsidR="0087732B" w:rsidRDefault="00737680">
            <w:pPr>
              <w:jc w:val="center"/>
            </w:pPr>
            <w:r>
              <w:rPr>
                <w:b/>
                <w:bCs/>
                <w:color w:val="1F4E79"/>
              </w:rPr>
              <w:t>Spending Pattern Visualisation Tool</w:t>
            </w:r>
          </w:p>
        </w:tc>
        <w:tc>
          <w:tcPr>
            <w:tcW w:w="2900" w:type="dxa"/>
            <w:tcBorders>
              <w:top w:val="single" w:sz="8" w:space="0" w:color="1F4E79"/>
              <w:left w:val="single" w:sz="8" w:space="0" w:color="1F4E79"/>
              <w:bottom w:val="single" w:sz="8" w:space="0" w:color="1F4E79"/>
              <w:right w:val="single" w:sz="8" w:space="0" w:color="1F4E79"/>
            </w:tcBorders>
            <w:shd w:val="clear" w:color="auto" w:fill="EAF1F8"/>
            <w:tcMar>
              <w:top w:w="200" w:type="dxa"/>
              <w:left w:w="100" w:type="dxa"/>
              <w:bottom w:w="200" w:type="dxa"/>
              <w:right w:w="100" w:type="dxa"/>
            </w:tcMar>
          </w:tcPr>
          <w:p w14:paraId="6D0DD839" w14:textId="77777777" w:rsidR="0087732B" w:rsidRDefault="00000000">
            <w:pPr>
              <w:jc w:val="center"/>
            </w:pPr>
            <w:r>
              <w:rPr>
                <w:b/>
                <w:bCs/>
                <w:color w:val="1F4E79"/>
              </w:rPr>
              <w:t>Utility Tool 2</w:t>
            </w:r>
          </w:p>
        </w:tc>
        <w:tc>
          <w:tcPr>
            <w:tcW w:w="2900" w:type="dxa"/>
            <w:tcBorders>
              <w:top w:val="single" w:sz="8" w:space="0" w:color="1F4E79"/>
              <w:left w:val="single" w:sz="8" w:space="0" w:color="1F4E79"/>
              <w:bottom w:val="single" w:sz="8" w:space="0" w:color="1F4E79"/>
              <w:right w:val="single" w:sz="8" w:space="0" w:color="1F4E79"/>
            </w:tcBorders>
            <w:shd w:val="clear" w:color="auto" w:fill="EAF1F8"/>
            <w:tcMar>
              <w:top w:w="200" w:type="dxa"/>
              <w:left w:w="100" w:type="dxa"/>
              <w:bottom w:w="200" w:type="dxa"/>
              <w:right w:w="100" w:type="dxa"/>
            </w:tcMar>
          </w:tcPr>
          <w:p w14:paraId="6D0DD83A" w14:textId="77777777" w:rsidR="0087732B" w:rsidRDefault="00000000">
            <w:pPr>
              <w:jc w:val="center"/>
            </w:pPr>
            <w:r>
              <w:rPr>
                <w:b/>
                <w:bCs/>
                <w:color w:val="1F4E79"/>
              </w:rPr>
              <w:t>Utility Tool 3</w:t>
            </w:r>
          </w:p>
        </w:tc>
      </w:tr>
      <w:tr w:rsidR="0087732B" w14:paraId="6D0DD83F" w14:textId="77777777">
        <w:tblPrEx>
          <w:tblCellMar>
            <w:top w:w="0" w:type="dxa"/>
            <w:bottom w:w="0" w:type="dxa"/>
          </w:tblCellMar>
        </w:tblPrEx>
        <w:tc>
          <w:tcPr>
            <w:tcW w:w="2900" w:type="dxa"/>
            <w:tcBorders>
              <w:top w:val="single" w:sz="8" w:space="0" w:color="1F4E79"/>
              <w:left w:val="single" w:sz="8" w:space="0" w:color="1F4E79"/>
              <w:bottom w:val="single" w:sz="8" w:space="0" w:color="1F4E79"/>
              <w:right w:val="single" w:sz="8" w:space="0" w:color="1F4E79"/>
            </w:tcBorders>
            <w:shd w:val="clear" w:color="auto" w:fill="EAF1F8"/>
            <w:tcMar>
              <w:top w:w="200" w:type="dxa"/>
              <w:left w:w="100" w:type="dxa"/>
              <w:bottom w:w="200" w:type="dxa"/>
              <w:right w:w="100" w:type="dxa"/>
            </w:tcMar>
          </w:tcPr>
          <w:p w14:paraId="6D0DD83C" w14:textId="77777777" w:rsidR="0087732B" w:rsidRDefault="00000000">
            <w:pPr>
              <w:jc w:val="center"/>
            </w:pPr>
            <w:r>
              <w:rPr>
                <w:b/>
                <w:bCs/>
                <w:color w:val="1F4E79"/>
              </w:rPr>
              <w:t>Utility Tool 4</w:t>
            </w:r>
          </w:p>
        </w:tc>
        <w:tc>
          <w:tcPr>
            <w:tcW w:w="2900" w:type="dxa"/>
            <w:tcBorders>
              <w:top w:val="single" w:sz="8" w:space="0" w:color="1F4E79"/>
              <w:left w:val="single" w:sz="8" w:space="0" w:color="1F4E79"/>
              <w:bottom w:val="single" w:sz="8" w:space="0" w:color="1F4E79"/>
              <w:right w:val="single" w:sz="8" w:space="0" w:color="1F4E79"/>
            </w:tcBorders>
            <w:shd w:val="clear" w:color="auto" w:fill="EAF1F8"/>
            <w:tcMar>
              <w:top w:w="200" w:type="dxa"/>
              <w:left w:w="100" w:type="dxa"/>
              <w:bottom w:w="200" w:type="dxa"/>
              <w:right w:w="100" w:type="dxa"/>
            </w:tcMar>
          </w:tcPr>
          <w:p w14:paraId="6D0DD83D" w14:textId="77777777" w:rsidR="0087732B" w:rsidRDefault="00000000">
            <w:pPr>
              <w:jc w:val="center"/>
            </w:pPr>
            <w:r>
              <w:rPr>
                <w:b/>
                <w:bCs/>
                <w:color w:val="1F4E79"/>
              </w:rPr>
              <w:t>Utility Tool 5</w:t>
            </w:r>
          </w:p>
        </w:tc>
        <w:tc>
          <w:tcPr>
            <w:tcW w:w="2900" w:type="dxa"/>
            <w:tcBorders>
              <w:top w:val="single" w:sz="8" w:space="0" w:color="1F4E79"/>
              <w:left w:val="single" w:sz="8" w:space="0" w:color="1F4E79"/>
              <w:bottom w:val="single" w:sz="8" w:space="0" w:color="1F4E79"/>
              <w:right w:val="single" w:sz="8" w:space="0" w:color="1F4E79"/>
            </w:tcBorders>
            <w:shd w:val="clear" w:color="auto" w:fill="EAF1F8"/>
            <w:tcMar>
              <w:top w:w="200" w:type="dxa"/>
              <w:left w:w="100" w:type="dxa"/>
              <w:bottom w:w="200" w:type="dxa"/>
              <w:right w:w="100" w:type="dxa"/>
            </w:tcMar>
          </w:tcPr>
          <w:p w14:paraId="6D0DD83E" w14:textId="77777777" w:rsidR="0087732B" w:rsidRDefault="00000000">
            <w:pPr>
              <w:jc w:val="center"/>
            </w:pPr>
            <w:r>
              <w:rPr>
                <w:b/>
                <w:bCs/>
                <w:color w:val="1F4E79"/>
              </w:rPr>
              <w:t>Utility Tool 6</w:t>
            </w:r>
          </w:p>
        </w:tc>
      </w:tr>
    </w:tbl>
    <w:p w14:paraId="6D0DD840" w14:textId="77777777" w:rsidR="0087732B" w:rsidRDefault="0087732B">
      <w:pPr>
        <w:spacing w:after="100"/>
      </w:pPr>
    </w:p>
    <w:p w14:paraId="6D0DD841" w14:textId="77777777" w:rsidR="0087732B" w:rsidRDefault="00000000">
      <w:pPr>
        <w:pStyle w:val="Heading1"/>
        <w:spacing w:before="320" w:after="160"/>
      </w:pPr>
      <w:r>
        <w:t>2. Why Stripe</w:t>
      </w:r>
    </w:p>
    <w:p w14:paraId="6D0DD842" w14:textId="77777777" w:rsidR="0087732B" w:rsidRDefault="00000000">
      <w:pPr>
        <w:spacing w:after="160"/>
      </w:pPr>
      <w:r>
        <w:t>Stripe was chosen as the payment processor for this platform for a few practical reasons, discussed and agreed at the outset:</w:t>
      </w:r>
    </w:p>
    <w:p w14:paraId="6D0DD843" w14:textId="77777777" w:rsidR="0087732B" w:rsidRDefault="00000000">
      <w:pPr>
        <w:pStyle w:val="ListParagraph"/>
        <w:numPr>
          <w:ilvl w:val="0"/>
          <w:numId w:val="2"/>
        </w:numPr>
        <w:spacing w:after="80"/>
      </w:pPr>
      <w:r>
        <w:t>No PCI compliance burden: card details are entered on Stripe's hosted Checkout page and never touch our servers, so we avoid the security and compliance overhead of handling card data directly.</w:t>
      </w:r>
    </w:p>
    <w:p w14:paraId="6D0DD844" w14:textId="77777777" w:rsidR="0087732B" w:rsidRDefault="00000000">
      <w:pPr>
        <w:pStyle w:val="ListParagraph"/>
        <w:numPr>
          <w:ilvl w:val="0"/>
          <w:numId w:val="2"/>
        </w:numPr>
        <w:spacing w:after="80"/>
      </w:pPr>
      <w:r>
        <w:t>Built for recurring billing: Stripe Billing natively handles monthly/annual subscriptions, automatic renewals, failed-payment retries (dunning), and prorated upgrades/downgrades — all things we'd otherwise have to build ourselves.</w:t>
      </w:r>
    </w:p>
    <w:p w14:paraId="6D0DD845" w14:textId="77777777" w:rsidR="0087732B" w:rsidRDefault="00000000">
      <w:pPr>
        <w:pStyle w:val="ListParagraph"/>
        <w:numPr>
          <w:ilvl w:val="0"/>
          <w:numId w:val="2"/>
        </w:numPr>
        <w:spacing w:after="80"/>
      </w:pPr>
      <w:r>
        <w:t>Low cost, no lock-in to a bigger cut: standard card processing fees (roughly 1.5–2.9% + a small fixed fee) are considerably lower than Merchant-of-Record alternatives such as Paddle or Lemon Squeezy (typically ~5%), which matters as we start UK-only.</w:t>
      </w:r>
    </w:p>
    <w:p w14:paraId="6D0DD846" w14:textId="77777777" w:rsidR="0087732B" w:rsidRDefault="00000000">
      <w:pPr>
        <w:pStyle w:val="ListParagraph"/>
        <w:numPr>
          <w:ilvl w:val="0"/>
          <w:numId w:val="2"/>
        </w:numPr>
        <w:spacing w:after="80"/>
      </w:pPr>
      <w:r>
        <w:t>We remain the merchant of record: this keeps us in direct control of customer relationships and pricing, at the cost of being responsible for our own VAT reporting — manageable while sales are UK-based, and something we can revisit (e.g. move to a Merchant-of-Record provider) if and when international subscribers become significant.</w:t>
      </w:r>
    </w:p>
    <w:p w14:paraId="6D0DD847" w14:textId="77777777" w:rsidR="0087732B" w:rsidRDefault="00000000">
      <w:pPr>
        <w:pStyle w:val="ListParagraph"/>
        <w:numPr>
          <w:ilvl w:val="0"/>
          <w:numId w:val="2"/>
        </w:numPr>
        <w:spacing w:after="80"/>
      </w:pPr>
      <w:r>
        <w:t>Mature webhooks and SDKs: Stripe's webhook system is exactly what this architecture's central Auth &amp; Billing Service relies on (Section 4.3) to keep subscription status in sync, and its SDKs are well supported across common backend languages/frameworks, fitting a custom-built app rather than a WordPress or off-the-shelf site.</w:t>
      </w:r>
    </w:p>
    <w:p w14:paraId="6D0DD848" w14:textId="77777777" w:rsidR="0087732B" w:rsidRDefault="00000000">
      <w:pPr>
        <w:pStyle w:val="ListParagraph"/>
        <w:numPr>
          <w:ilvl w:val="0"/>
          <w:numId w:val="2"/>
        </w:numPr>
        <w:spacing w:after="80"/>
      </w:pPr>
      <w:r>
        <w:t>Built-in self-service: the free Stripe Customer Portal lets subscribers update cards, switch plans, or cancel without us building that UI ourselves.</w:t>
      </w:r>
    </w:p>
    <w:p w14:paraId="6D0DD849" w14:textId="77777777" w:rsidR="0087732B" w:rsidRDefault="00000000">
      <w:pPr>
        <w:pStyle w:val="Heading1"/>
        <w:spacing w:before="320" w:after="160"/>
      </w:pPr>
      <w:r>
        <w:t>3. High-level architecture</w:t>
      </w:r>
    </w:p>
    <w:p w14:paraId="6D0DD84A" w14:textId="77777777" w:rsidR="0087732B" w:rsidRDefault="00000000">
      <w:pPr>
        <w:spacing w:after="160"/>
      </w:pPr>
      <w:r>
        <w:t>One central service — call it the Auth &amp; Billing Service — sits behind everything:</w:t>
      </w:r>
    </w:p>
    <w:p w14:paraId="6D0DD84B" w14:textId="77777777" w:rsidR="0087732B" w:rsidRDefault="00000000">
      <w:pPr>
        <w:pBdr>
          <w:top w:val="single" w:sz="4" w:space="0" w:color="CCCCCC"/>
          <w:left w:val="single" w:sz="4" w:space="0" w:color="CCCCCC"/>
          <w:bottom w:val="single" w:sz="4" w:space="0" w:color="CCCCCC"/>
          <w:right w:val="single" w:sz="4" w:space="0" w:color="CCCCCC"/>
        </w:pBdr>
        <w:shd w:val="clear" w:color="auto" w:fill="F5F5F5"/>
        <w:spacing w:before="80" w:after="200"/>
      </w:pPr>
      <w:r>
        <w:rPr>
          <w:rFonts w:ascii="Consolas" w:eastAsia="Consolas" w:hAnsi="Consolas" w:cs="Consolas"/>
          <w:sz w:val="18"/>
          <w:szCs w:val="18"/>
        </w:rPr>
        <w:t xml:space="preserve">                     [ Auth &amp; Billing Service ]</w:t>
      </w:r>
      <w:r>
        <w:rPr>
          <w:rFonts w:ascii="Consolas" w:eastAsia="Consolas" w:hAnsi="Consolas" w:cs="Consolas"/>
          <w:sz w:val="18"/>
          <w:szCs w:val="18"/>
        </w:rPr>
        <w:br/>
        <w:t xml:space="preserve">                      - user accounts</w:t>
      </w:r>
      <w:r>
        <w:rPr>
          <w:rFonts w:ascii="Consolas" w:eastAsia="Consolas" w:hAnsi="Consolas" w:cs="Consolas"/>
          <w:sz w:val="18"/>
          <w:szCs w:val="18"/>
        </w:rPr>
        <w:br/>
        <w:t xml:space="preserve">                      - Stripe subscriptions</w:t>
      </w:r>
      <w:r>
        <w:rPr>
          <w:rFonts w:ascii="Consolas" w:eastAsia="Consolas" w:hAnsi="Consolas" w:cs="Consolas"/>
          <w:sz w:val="18"/>
          <w:szCs w:val="18"/>
        </w:rPr>
        <w:br/>
        <w:t xml:space="preserve">                      - session/token issuing</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                    |</w:t>
      </w:r>
      <w:r>
        <w:rPr>
          <w:rFonts w:ascii="Consolas" w:eastAsia="Consolas" w:hAnsi="Consolas" w:cs="Consolas"/>
          <w:sz w:val="18"/>
          <w:szCs w:val="18"/>
        </w:rPr>
        <w:br/>
        <w:t xml:space="preserve">   [ Tool 1 site ]     [ Tool 2 site ]      [ Tool 3 site ]</w:t>
      </w:r>
      <w:r>
        <w:rPr>
          <w:rFonts w:ascii="Consolas" w:eastAsia="Consolas" w:hAnsi="Consolas" w:cs="Consolas"/>
          <w:sz w:val="18"/>
          <w:szCs w:val="18"/>
        </w:rPr>
        <w:br/>
        <w:t xml:space="preserve">   (its own app)       (its own app)        (its own app)</w:t>
      </w:r>
    </w:p>
    <w:p w14:paraId="6D0DD84C" w14:textId="77777777" w:rsidR="0087732B" w:rsidRDefault="00000000">
      <w:pPr>
        <w:spacing w:after="160"/>
      </w:pPr>
      <w:r>
        <w:t>Each tool site is otherwise independent — separate codebase, separate deployment — but defers all identity and payment questions to the central service rather than reimplementing them.</w:t>
      </w:r>
    </w:p>
    <w:p w14:paraId="6D0DD84D" w14:textId="77777777" w:rsidR="0087732B" w:rsidRDefault="00000000">
      <w:pPr>
        <w:pStyle w:val="Heading1"/>
        <w:spacing w:before="320" w:after="160"/>
      </w:pPr>
      <w:r>
        <w:t>4. Core components</w:t>
      </w:r>
    </w:p>
    <w:p w14:paraId="6D0DD84E" w14:textId="77777777" w:rsidR="0087732B" w:rsidRDefault="00000000">
      <w:pPr>
        <w:pStyle w:val="Heading2"/>
        <w:spacing w:before="240" w:after="120"/>
      </w:pPr>
      <w:r>
        <w:lastRenderedPageBreak/>
        <w:t>4.1 User accounts (shared identity)</w:t>
      </w:r>
    </w:p>
    <w:p w14:paraId="6D0DD84F" w14:textId="77777777" w:rsidR="0087732B" w:rsidRDefault="00000000">
      <w:pPr>
        <w:pStyle w:val="ListParagraph"/>
        <w:numPr>
          <w:ilvl w:val="0"/>
          <w:numId w:val="2"/>
        </w:numPr>
        <w:spacing w:after="80"/>
      </w:pPr>
      <w:r>
        <w:t>One users table/database, owned by the Auth &amp; Billing Service — not duplicated per tool.</w:t>
      </w:r>
    </w:p>
    <w:p w14:paraId="6D0DD850" w14:textId="77777777" w:rsidR="0087732B" w:rsidRDefault="00000000">
      <w:pPr>
        <w:pStyle w:val="ListParagraph"/>
        <w:numPr>
          <w:ilvl w:val="0"/>
          <w:numId w:val="2"/>
        </w:numPr>
        <w:spacing w:after="80"/>
      </w:pPr>
      <w:r>
        <w:t>Each user has: unique ID, email, username, hashed password (or use a managed auth provider — see 4.4).</w:t>
      </w:r>
    </w:p>
    <w:p w14:paraId="6D0DD851" w14:textId="77777777" w:rsidR="0087732B" w:rsidRDefault="00000000">
      <w:pPr>
        <w:pStyle w:val="ListParagraph"/>
        <w:numPr>
          <w:ilvl w:val="0"/>
          <w:numId w:val="2"/>
        </w:numPr>
        <w:spacing w:after="80"/>
      </w:pPr>
      <w:r>
        <w:t>A single login works across all tools, since they all check against the same service.</w:t>
      </w:r>
    </w:p>
    <w:p w14:paraId="6D0DD852" w14:textId="77777777" w:rsidR="0087732B" w:rsidRDefault="00000000">
      <w:pPr>
        <w:pStyle w:val="Heading2"/>
        <w:spacing w:before="240" w:after="120"/>
      </w:pPr>
      <w:r>
        <w:t>4.2 Subscriptions (Stripe)</w:t>
      </w:r>
    </w:p>
    <w:p w14:paraId="6D0DD853" w14:textId="77777777" w:rsidR="0087732B" w:rsidRDefault="00000000">
      <w:pPr>
        <w:pStyle w:val="ListParagraph"/>
        <w:numPr>
          <w:ilvl w:val="0"/>
          <w:numId w:val="2"/>
        </w:numPr>
        <w:spacing w:after="80"/>
      </w:pPr>
      <w:r>
        <w:t>One Stripe account for the company, shared across all tools.</w:t>
      </w:r>
    </w:p>
    <w:p w14:paraId="6D0DD854" w14:textId="77777777" w:rsidR="0087732B" w:rsidRDefault="00000000">
      <w:pPr>
        <w:pStyle w:val="ListParagraph"/>
        <w:numPr>
          <w:ilvl w:val="0"/>
          <w:numId w:val="2"/>
        </w:numPr>
        <w:spacing w:after="80"/>
      </w:pPr>
      <w:r>
        <w:t>Each Stripe Product represents one tool (e.g. "Tool 1 — Monthly", "Tool 2 — Annual").</w:t>
      </w:r>
    </w:p>
    <w:p w14:paraId="6D0DD855" w14:textId="77777777" w:rsidR="0087732B" w:rsidRDefault="00000000">
      <w:pPr>
        <w:pStyle w:val="ListParagraph"/>
        <w:numPr>
          <w:ilvl w:val="0"/>
          <w:numId w:val="2"/>
        </w:numPr>
        <w:spacing w:after="80"/>
      </w:pPr>
      <w:r>
        <w:t>Each Stripe Subscription record is linked to a user ID and a product/tool ID — a user can hold zero, one, or several active subscriptions at once, one per tool.</w:t>
      </w:r>
    </w:p>
    <w:p w14:paraId="6D0DD856" w14:textId="77777777" w:rsidR="0087732B" w:rsidRDefault="00000000">
      <w:pPr>
        <w:pStyle w:val="ListParagraph"/>
        <w:numPr>
          <w:ilvl w:val="0"/>
          <w:numId w:val="2"/>
        </w:numPr>
        <w:spacing w:after="80"/>
      </w:pPr>
      <w:r>
        <w:t>A simple table on your side mirrors this, e.g.: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900"/>
      </w:tblGrid>
      <w:tr w:rsidR="0087732B" w14:paraId="6D0DD85B" w14:textId="77777777">
        <w:tblPrEx>
          <w:tblCellMar>
            <w:top w:w="0" w:type="dxa"/>
            <w:bottom w:w="0" w:type="dxa"/>
          </w:tblCellMar>
        </w:tblPrEx>
        <w:tc>
          <w:tcPr>
            <w:tcW w:w="2200" w:type="dxa"/>
            <w:shd w:val="clear" w:color="auto" w:fill="1F4E79"/>
          </w:tcPr>
          <w:p w14:paraId="6D0DD857" w14:textId="77777777" w:rsidR="0087732B" w:rsidRDefault="00000000">
            <w:r>
              <w:rPr>
                <w:b/>
                <w:bCs/>
                <w:color w:val="FFFFFF"/>
              </w:rPr>
              <w:t>user_id</w:t>
            </w:r>
          </w:p>
        </w:tc>
        <w:tc>
          <w:tcPr>
            <w:tcW w:w="2200" w:type="dxa"/>
            <w:shd w:val="clear" w:color="auto" w:fill="1F4E79"/>
          </w:tcPr>
          <w:p w14:paraId="6D0DD858" w14:textId="77777777" w:rsidR="0087732B" w:rsidRDefault="00000000">
            <w:r>
              <w:rPr>
                <w:b/>
                <w:bCs/>
                <w:color w:val="FFFFFF"/>
              </w:rPr>
              <w:t>tool_id</w:t>
            </w:r>
          </w:p>
        </w:tc>
        <w:tc>
          <w:tcPr>
            <w:tcW w:w="2200" w:type="dxa"/>
            <w:shd w:val="clear" w:color="auto" w:fill="1F4E79"/>
          </w:tcPr>
          <w:p w14:paraId="6D0DD859" w14:textId="77777777" w:rsidR="0087732B" w:rsidRDefault="00000000">
            <w:r>
              <w:rPr>
                <w:b/>
                <w:bCs/>
                <w:color w:val="FFFFFF"/>
              </w:rPr>
              <w:t>status</w:t>
            </w:r>
          </w:p>
        </w:tc>
        <w:tc>
          <w:tcPr>
            <w:tcW w:w="2900" w:type="dxa"/>
            <w:shd w:val="clear" w:color="auto" w:fill="1F4E79"/>
          </w:tcPr>
          <w:p w14:paraId="6D0DD85A" w14:textId="77777777" w:rsidR="0087732B" w:rsidRDefault="00000000">
            <w:r>
              <w:rPr>
                <w:b/>
                <w:bCs/>
                <w:color w:val="FFFFFF"/>
              </w:rPr>
              <w:t>current_period_end</w:t>
            </w:r>
          </w:p>
        </w:tc>
      </w:tr>
      <w:tr w:rsidR="0087732B" w14:paraId="6D0DD860" w14:textId="77777777">
        <w:tblPrEx>
          <w:tblCellMar>
            <w:top w:w="0" w:type="dxa"/>
            <w:bottom w:w="0" w:type="dxa"/>
          </w:tblCellMar>
        </w:tblPrEx>
        <w:tc>
          <w:tcPr>
            <w:tcW w:w="2200" w:type="dxa"/>
          </w:tcPr>
          <w:p w14:paraId="6D0DD85C" w14:textId="77777777" w:rsidR="0087732B" w:rsidRDefault="00000000">
            <w:r>
              <w:t>1001</w:t>
            </w:r>
          </w:p>
        </w:tc>
        <w:tc>
          <w:tcPr>
            <w:tcW w:w="2200" w:type="dxa"/>
          </w:tcPr>
          <w:p w14:paraId="6D0DD85D" w14:textId="77777777" w:rsidR="0087732B" w:rsidRDefault="00000000">
            <w:r>
              <w:t>tool_1</w:t>
            </w:r>
          </w:p>
        </w:tc>
        <w:tc>
          <w:tcPr>
            <w:tcW w:w="2200" w:type="dxa"/>
          </w:tcPr>
          <w:p w14:paraId="6D0DD85E" w14:textId="77777777" w:rsidR="0087732B" w:rsidRDefault="00000000">
            <w:r>
              <w:t>active</w:t>
            </w:r>
          </w:p>
        </w:tc>
        <w:tc>
          <w:tcPr>
            <w:tcW w:w="2900" w:type="dxa"/>
          </w:tcPr>
          <w:p w14:paraId="6D0DD85F" w14:textId="77777777" w:rsidR="0087732B" w:rsidRDefault="00000000">
            <w:r>
              <w:t>2026-10-01</w:t>
            </w:r>
          </w:p>
        </w:tc>
      </w:tr>
      <w:tr w:rsidR="0087732B" w14:paraId="6D0DD865" w14:textId="77777777">
        <w:tblPrEx>
          <w:tblCellMar>
            <w:top w:w="0" w:type="dxa"/>
            <w:bottom w:w="0" w:type="dxa"/>
          </w:tblCellMar>
        </w:tblPrEx>
        <w:tc>
          <w:tcPr>
            <w:tcW w:w="2200" w:type="dxa"/>
          </w:tcPr>
          <w:p w14:paraId="6D0DD861" w14:textId="77777777" w:rsidR="0087732B" w:rsidRDefault="00000000">
            <w:r>
              <w:t>1001</w:t>
            </w:r>
          </w:p>
        </w:tc>
        <w:tc>
          <w:tcPr>
            <w:tcW w:w="2200" w:type="dxa"/>
          </w:tcPr>
          <w:p w14:paraId="6D0DD862" w14:textId="77777777" w:rsidR="0087732B" w:rsidRDefault="00000000">
            <w:r>
              <w:t>tool_2</w:t>
            </w:r>
          </w:p>
        </w:tc>
        <w:tc>
          <w:tcPr>
            <w:tcW w:w="2200" w:type="dxa"/>
          </w:tcPr>
          <w:p w14:paraId="6D0DD863" w14:textId="77777777" w:rsidR="0087732B" w:rsidRDefault="00000000">
            <w:r>
              <w:t>cancelled</w:t>
            </w:r>
          </w:p>
        </w:tc>
        <w:tc>
          <w:tcPr>
            <w:tcW w:w="2900" w:type="dxa"/>
          </w:tcPr>
          <w:p w14:paraId="6D0DD864" w14:textId="77777777" w:rsidR="0087732B" w:rsidRDefault="00000000">
            <w:r>
              <w:t>2026-08-15</w:t>
            </w:r>
          </w:p>
        </w:tc>
      </w:tr>
      <w:tr w:rsidR="0087732B" w14:paraId="6D0DD86A" w14:textId="77777777">
        <w:tblPrEx>
          <w:tblCellMar>
            <w:top w:w="0" w:type="dxa"/>
            <w:bottom w:w="0" w:type="dxa"/>
          </w:tblCellMar>
        </w:tblPrEx>
        <w:tc>
          <w:tcPr>
            <w:tcW w:w="2200" w:type="dxa"/>
          </w:tcPr>
          <w:p w14:paraId="6D0DD866" w14:textId="77777777" w:rsidR="0087732B" w:rsidRDefault="00000000">
            <w:r>
              <w:t>1002</w:t>
            </w:r>
          </w:p>
        </w:tc>
        <w:tc>
          <w:tcPr>
            <w:tcW w:w="2200" w:type="dxa"/>
          </w:tcPr>
          <w:p w14:paraId="6D0DD867" w14:textId="77777777" w:rsidR="0087732B" w:rsidRDefault="00000000">
            <w:r>
              <w:t>tool_1</w:t>
            </w:r>
          </w:p>
        </w:tc>
        <w:tc>
          <w:tcPr>
            <w:tcW w:w="2200" w:type="dxa"/>
          </w:tcPr>
          <w:p w14:paraId="6D0DD868" w14:textId="77777777" w:rsidR="0087732B" w:rsidRDefault="00000000">
            <w:r>
              <w:t>active</w:t>
            </w:r>
          </w:p>
        </w:tc>
        <w:tc>
          <w:tcPr>
            <w:tcW w:w="2900" w:type="dxa"/>
          </w:tcPr>
          <w:p w14:paraId="6D0DD869" w14:textId="77777777" w:rsidR="0087732B" w:rsidRDefault="00000000">
            <w:r>
              <w:t>2026-09-20</w:t>
            </w:r>
          </w:p>
        </w:tc>
      </w:tr>
    </w:tbl>
    <w:p w14:paraId="6D0DD86B" w14:textId="77777777" w:rsidR="0087732B" w:rsidRDefault="0087732B">
      <w:pPr>
        <w:spacing w:after="200"/>
      </w:pPr>
    </w:p>
    <w:p w14:paraId="6D0DD86C" w14:textId="77777777" w:rsidR="0087732B" w:rsidRDefault="00000000">
      <w:pPr>
        <w:pStyle w:val="Heading2"/>
        <w:spacing w:before="240" w:after="120"/>
      </w:pPr>
      <w:r>
        <w:t>4.3 Webhook listener</w:t>
      </w:r>
    </w:p>
    <w:p w14:paraId="6D0DD86D" w14:textId="77777777" w:rsidR="0087732B" w:rsidRDefault="00000000">
      <w:pPr>
        <w:spacing w:after="160"/>
      </w:pPr>
      <w:r>
        <w:t>One endpoint on the Auth &amp; Billing Service receives all Stripe webhook events (payment succeeded, subscription renewed, cancelled, payment failed, etc.) and updates the table above accordingly. Because it's centralised, this logic is written once rather than once per tool.</w:t>
      </w:r>
    </w:p>
    <w:p w14:paraId="6D0DD86E" w14:textId="77777777" w:rsidR="0087732B" w:rsidRDefault="00000000">
      <w:pPr>
        <w:pStyle w:val="Heading2"/>
        <w:spacing w:before="240" w:after="120"/>
      </w:pPr>
      <w:r>
        <w:t>4.4 Session tokens (how tools check access)</w:t>
      </w:r>
    </w:p>
    <w:p w14:paraId="6D0DD86F" w14:textId="77777777" w:rsidR="0087732B" w:rsidRDefault="00000000">
      <w:pPr>
        <w:spacing w:after="160"/>
      </w:pPr>
      <w:r>
        <w:t>When a user logs in via the central service, they receive a signed token (JWT is the standard choice) containing their user ID and — usefully — the list of tool IDs they currently have active access to. Each individual tool site simply:</w:t>
      </w:r>
    </w:p>
    <w:p w14:paraId="6D0DD870" w14:textId="77777777" w:rsidR="0087732B" w:rsidRDefault="00000000">
      <w:pPr>
        <w:pStyle w:val="ListParagraph"/>
        <w:numPr>
          <w:ilvl w:val="0"/>
          <w:numId w:val="2"/>
        </w:numPr>
        <w:spacing w:after="80"/>
      </w:pPr>
      <w:r>
        <w:t>Reads the token when the user arrives (e.g. via a redirect from the central login page, or a shared cookie if all tools sit under the same parent domain).</w:t>
      </w:r>
    </w:p>
    <w:p w14:paraId="6D0DD871" w14:textId="77777777" w:rsidR="0087732B" w:rsidRDefault="00000000">
      <w:pPr>
        <w:pStyle w:val="ListParagraph"/>
        <w:numPr>
          <w:ilvl w:val="0"/>
          <w:numId w:val="2"/>
        </w:numPr>
        <w:spacing w:after="80"/>
      </w:pPr>
      <w:r>
        <w:t>Checks whether its own tool_id is in the token's access list.</w:t>
      </w:r>
    </w:p>
    <w:p w14:paraId="6D0DD872" w14:textId="77777777" w:rsidR="0087732B" w:rsidRDefault="00000000">
      <w:pPr>
        <w:pStyle w:val="ListParagraph"/>
        <w:numPr>
          <w:ilvl w:val="0"/>
          <w:numId w:val="2"/>
        </w:numPr>
        <w:spacing w:after="80"/>
      </w:pPr>
      <w:r>
        <w:t>Shows the feature if yes; shows an "upgrade/subscribe" prompt if no.</w:t>
      </w:r>
    </w:p>
    <w:p w14:paraId="6D0DD873" w14:textId="77777777" w:rsidR="0087732B" w:rsidRDefault="00000000">
      <w:pPr>
        <w:spacing w:after="160"/>
      </w:pPr>
      <w:r>
        <w:t>No individual tool needs its own password database, its own Stripe integration, or its own webhook handling — it only needs to verify a token and read a list.</w:t>
      </w:r>
    </w:p>
    <w:p w14:paraId="6D0DD874" w14:textId="77777777" w:rsidR="0087732B" w:rsidRDefault="00000000">
      <w:pPr>
        <w:pStyle w:val="Heading1"/>
        <w:spacing w:before="320" w:after="160"/>
      </w:pPr>
      <w:r>
        <w:t>5. Suggested user flow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600"/>
      </w:tblGrid>
      <w:tr w:rsidR="0087732B" w14:paraId="6D0DD877" w14:textId="77777777">
        <w:tblPrEx>
          <w:tblCellMar>
            <w:top w:w="0" w:type="dxa"/>
            <w:bottom w:w="0" w:type="dxa"/>
          </w:tblCellMar>
        </w:tblPrEx>
        <w:tc>
          <w:tcPr>
            <w:tcW w:w="900" w:type="dxa"/>
            <w:shd w:val="clear" w:color="auto" w:fill="1F4E79"/>
          </w:tcPr>
          <w:p w14:paraId="6D0DD875" w14:textId="77777777" w:rsidR="0087732B" w:rsidRDefault="00000000">
            <w:r>
              <w:rPr>
                <w:b/>
                <w:bCs/>
                <w:color w:val="FFFFFF"/>
              </w:rPr>
              <w:t>Step</w:t>
            </w:r>
          </w:p>
        </w:tc>
        <w:tc>
          <w:tcPr>
            <w:tcW w:w="8600" w:type="dxa"/>
            <w:shd w:val="clear" w:color="auto" w:fill="1F4E79"/>
          </w:tcPr>
          <w:p w14:paraId="6D0DD876" w14:textId="77777777" w:rsidR="0087732B" w:rsidRDefault="00000000">
            <w:r>
              <w:rPr>
                <w:b/>
                <w:bCs/>
                <w:color w:val="FFFFFF"/>
              </w:rPr>
              <w:t>What happens</w:t>
            </w:r>
          </w:p>
        </w:tc>
      </w:tr>
      <w:tr w:rsidR="0087732B" w14:paraId="6D0DD87A" w14:textId="77777777">
        <w:tblPrEx>
          <w:tblCellMar>
            <w:top w:w="0" w:type="dxa"/>
            <w:bottom w:w="0" w:type="dxa"/>
          </w:tblCellMar>
        </w:tblPrEx>
        <w:tc>
          <w:tcPr>
            <w:tcW w:w="900" w:type="dxa"/>
          </w:tcPr>
          <w:p w14:paraId="6D0DD878" w14:textId="77777777" w:rsidR="0087732B" w:rsidRDefault="00000000">
            <w:r>
              <w:t>1</w:t>
            </w:r>
          </w:p>
        </w:tc>
        <w:tc>
          <w:tcPr>
            <w:tcW w:w="8600" w:type="dxa"/>
          </w:tcPr>
          <w:p w14:paraId="6D0DD879" w14:textId="77777777" w:rsidR="0087732B" w:rsidRDefault="00000000">
            <w:r>
              <w:t>User visits the company tools page and picks a tool</w:t>
            </w:r>
          </w:p>
        </w:tc>
      </w:tr>
      <w:tr w:rsidR="0087732B" w14:paraId="6D0DD87D" w14:textId="77777777">
        <w:tblPrEx>
          <w:tblCellMar>
            <w:top w:w="0" w:type="dxa"/>
            <w:bottom w:w="0" w:type="dxa"/>
          </w:tblCellMar>
        </w:tblPrEx>
        <w:tc>
          <w:tcPr>
            <w:tcW w:w="900" w:type="dxa"/>
          </w:tcPr>
          <w:p w14:paraId="6D0DD87B" w14:textId="77777777" w:rsidR="0087732B" w:rsidRDefault="00000000">
            <w:r>
              <w:t>2</w:t>
            </w:r>
          </w:p>
        </w:tc>
        <w:tc>
          <w:tcPr>
            <w:tcW w:w="8600" w:type="dxa"/>
          </w:tcPr>
          <w:p w14:paraId="6D0DD87C" w14:textId="77777777" w:rsidR="0087732B" w:rsidRDefault="00000000">
            <w:r>
              <w:t>If not logged in, redirected to the central login/signup page</w:t>
            </w:r>
          </w:p>
        </w:tc>
      </w:tr>
      <w:tr w:rsidR="0087732B" w14:paraId="6D0DD880" w14:textId="77777777">
        <w:tblPrEx>
          <w:tblCellMar>
            <w:top w:w="0" w:type="dxa"/>
            <w:bottom w:w="0" w:type="dxa"/>
          </w:tblCellMar>
        </w:tblPrEx>
        <w:tc>
          <w:tcPr>
            <w:tcW w:w="900" w:type="dxa"/>
          </w:tcPr>
          <w:p w14:paraId="6D0DD87E" w14:textId="77777777" w:rsidR="0087732B" w:rsidRDefault="00000000">
            <w:r>
              <w:t>3</w:t>
            </w:r>
          </w:p>
        </w:tc>
        <w:tc>
          <w:tcPr>
            <w:tcW w:w="8600" w:type="dxa"/>
          </w:tcPr>
          <w:p w14:paraId="6D0DD87F" w14:textId="77777777" w:rsidR="0087732B" w:rsidRDefault="00000000">
            <w:r>
              <w:t>After login, redirected back to the tool with a session token</w:t>
            </w:r>
          </w:p>
        </w:tc>
      </w:tr>
      <w:tr w:rsidR="0087732B" w14:paraId="6D0DD883" w14:textId="77777777">
        <w:tblPrEx>
          <w:tblCellMar>
            <w:top w:w="0" w:type="dxa"/>
            <w:bottom w:w="0" w:type="dxa"/>
          </w:tblCellMar>
        </w:tblPrEx>
        <w:tc>
          <w:tcPr>
            <w:tcW w:w="900" w:type="dxa"/>
          </w:tcPr>
          <w:p w14:paraId="6D0DD881" w14:textId="77777777" w:rsidR="0087732B" w:rsidRDefault="00000000">
            <w:r>
              <w:t>4</w:t>
            </w:r>
          </w:p>
        </w:tc>
        <w:tc>
          <w:tcPr>
            <w:tcW w:w="8600" w:type="dxa"/>
          </w:tcPr>
          <w:p w14:paraId="6D0DD882" w14:textId="77777777" w:rsidR="0087732B" w:rsidRDefault="00000000">
            <w:r>
              <w:t>Tool checks token: does it include this tool's ID? If yes, unlock. If no, show "Subscribe" button</w:t>
            </w:r>
          </w:p>
        </w:tc>
      </w:tr>
      <w:tr w:rsidR="0087732B" w14:paraId="6D0DD886" w14:textId="77777777">
        <w:tblPrEx>
          <w:tblCellMar>
            <w:top w:w="0" w:type="dxa"/>
            <w:bottom w:w="0" w:type="dxa"/>
          </w:tblCellMar>
        </w:tblPrEx>
        <w:tc>
          <w:tcPr>
            <w:tcW w:w="900" w:type="dxa"/>
          </w:tcPr>
          <w:p w14:paraId="6D0DD884" w14:textId="77777777" w:rsidR="0087732B" w:rsidRDefault="00000000">
            <w:r>
              <w:t>5</w:t>
            </w:r>
          </w:p>
        </w:tc>
        <w:tc>
          <w:tcPr>
            <w:tcW w:w="8600" w:type="dxa"/>
          </w:tcPr>
          <w:p w14:paraId="6D0DD885" w14:textId="77777777" w:rsidR="0087732B" w:rsidRDefault="00000000">
            <w:r>
              <w:t>"Subscribe" sends the user to a Stripe Checkout session (hosted by Stripe) for that specific tool's product</w:t>
            </w:r>
          </w:p>
        </w:tc>
      </w:tr>
      <w:tr w:rsidR="0087732B" w14:paraId="6D0DD889" w14:textId="77777777">
        <w:tblPrEx>
          <w:tblCellMar>
            <w:top w:w="0" w:type="dxa"/>
            <w:bottom w:w="0" w:type="dxa"/>
          </w:tblCellMar>
        </w:tblPrEx>
        <w:tc>
          <w:tcPr>
            <w:tcW w:w="900" w:type="dxa"/>
          </w:tcPr>
          <w:p w14:paraId="6D0DD887" w14:textId="77777777" w:rsidR="0087732B" w:rsidRDefault="00000000">
            <w:r>
              <w:t>6</w:t>
            </w:r>
          </w:p>
        </w:tc>
        <w:tc>
          <w:tcPr>
            <w:tcW w:w="8600" w:type="dxa"/>
          </w:tcPr>
          <w:p w14:paraId="6D0DD888" w14:textId="77777777" w:rsidR="0087732B" w:rsidRDefault="00000000">
            <w:r>
              <w:t>Stripe webhook fires on successful payment → central service marks tool_id = active for that user</w:t>
            </w:r>
          </w:p>
        </w:tc>
      </w:tr>
      <w:tr w:rsidR="0087732B" w14:paraId="6D0DD88C" w14:textId="77777777">
        <w:tblPrEx>
          <w:tblCellMar>
            <w:top w:w="0" w:type="dxa"/>
            <w:bottom w:w="0" w:type="dxa"/>
          </w:tblCellMar>
        </w:tblPrEx>
        <w:tc>
          <w:tcPr>
            <w:tcW w:w="900" w:type="dxa"/>
          </w:tcPr>
          <w:p w14:paraId="6D0DD88A" w14:textId="77777777" w:rsidR="0087732B" w:rsidRDefault="00000000">
            <w:r>
              <w:t>7</w:t>
            </w:r>
          </w:p>
        </w:tc>
        <w:tc>
          <w:tcPr>
            <w:tcW w:w="8600" w:type="dxa"/>
          </w:tcPr>
          <w:p w14:paraId="6D0DD88B" w14:textId="77777777" w:rsidR="0087732B" w:rsidRDefault="00000000">
            <w:r>
              <w:t>User is redirected back to the tool, now unlocked</w:t>
            </w:r>
          </w:p>
        </w:tc>
      </w:tr>
    </w:tbl>
    <w:p w14:paraId="6D0DD88D" w14:textId="77777777" w:rsidR="0087732B" w:rsidRDefault="0087732B">
      <w:pPr>
        <w:spacing w:after="200"/>
      </w:pPr>
    </w:p>
    <w:p w14:paraId="6D0DD88E" w14:textId="77777777" w:rsidR="0087732B" w:rsidRDefault="00000000">
      <w:pPr>
        <w:pStyle w:val="Heading1"/>
        <w:spacing w:before="320" w:after="160"/>
      </w:pPr>
      <w:r>
        <w:t>6. Build recommendations</w:t>
      </w:r>
    </w:p>
    <w:p w14:paraId="6D0DD88F" w14:textId="77777777" w:rsidR="0087732B" w:rsidRDefault="00000000">
      <w:pPr>
        <w:pStyle w:val="ListParagraph"/>
        <w:numPr>
          <w:ilvl w:val="0"/>
          <w:numId w:val="2"/>
        </w:numPr>
        <w:spacing w:after="80"/>
      </w:pPr>
      <w:r>
        <w:t>Language/framework: whatever your son is already comfortable with — Node.js/Express is a natural fit given Stripe's SDK support and JWT libraries are mature there, but this pattern works in any stack.</w:t>
      </w:r>
    </w:p>
    <w:p w14:paraId="6D0DD890" w14:textId="77777777" w:rsidR="0087732B" w:rsidRDefault="00000000">
      <w:pPr>
        <w:pStyle w:val="ListParagraph"/>
        <w:numPr>
          <w:ilvl w:val="0"/>
          <w:numId w:val="2"/>
        </w:numPr>
        <w:spacing w:after="80"/>
      </w:pPr>
      <w:r>
        <w:t>Auth: rolling your own password storage is fine at this scale (with proper hashing — bcrypt/argon2), but a managed provider (e.g. Auth0, Clerk, or even Supabase Auth) removes a lot of security surface area if you'd rather not maintain it long-term.</w:t>
      </w:r>
    </w:p>
    <w:p w14:paraId="6D0DD891" w14:textId="77777777" w:rsidR="0087732B" w:rsidRDefault="00000000">
      <w:pPr>
        <w:pStyle w:val="ListParagraph"/>
        <w:numPr>
          <w:ilvl w:val="0"/>
          <w:numId w:val="2"/>
        </w:numPr>
        <w:spacing w:after="80"/>
      </w:pPr>
      <w:r>
        <w:t>Stripe integration: use Stripe Checkout (hosted page) plus the Stripe Customer Portal (free, built-in) for users to manage/cancel their own subscriptions — minimal custom UI needed.</w:t>
      </w:r>
    </w:p>
    <w:p w14:paraId="6D0DD892" w14:textId="77777777" w:rsidR="0087732B" w:rsidRDefault="00000000">
      <w:pPr>
        <w:pStyle w:val="ListParagraph"/>
        <w:numPr>
          <w:ilvl w:val="0"/>
          <w:numId w:val="2"/>
        </w:numPr>
        <w:spacing w:after="80"/>
      </w:pPr>
      <w:r>
        <w:lastRenderedPageBreak/>
        <w:t>Token sharing across tools: easiest if all tool sites live under subdomains of one parent domain (e.g. tool1.yourcompany.com, tool2.yourcompany.com) — a cookie scoped to the parent domain is then readable by every subdomain automatically.</w:t>
      </w:r>
    </w:p>
    <w:p w14:paraId="6D0DD893" w14:textId="77777777" w:rsidR="0087732B" w:rsidRDefault="00000000">
      <w:pPr>
        <w:pStyle w:val="ListParagraph"/>
        <w:numPr>
          <w:ilvl w:val="0"/>
          <w:numId w:val="2"/>
        </w:numPr>
        <w:spacing w:after="80"/>
      </w:pPr>
      <w:r>
        <w:t>Start with one tool live end-to-end (auth + Stripe + webhook + gating) before adding the second — the second and third tools should then just be "plug into the existing service", not new build.</w:t>
      </w:r>
    </w:p>
    <w:p w14:paraId="6D0DD894" w14:textId="77777777" w:rsidR="0087732B" w:rsidRDefault="00000000">
      <w:pPr>
        <w:pStyle w:val="Heading1"/>
        <w:spacing w:before="320" w:after="160"/>
      </w:pPr>
      <w:r>
        <w:t>7. What this avoids</w:t>
      </w:r>
    </w:p>
    <w:p w14:paraId="6D0DD895" w14:textId="77777777" w:rsidR="0087732B" w:rsidRDefault="00000000">
      <w:pPr>
        <w:pStyle w:val="ListParagraph"/>
        <w:numPr>
          <w:ilvl w:val="0"/>
          <w:numId w:val="2"/>
        </w:numPr>
        <w:spacing w:after="80"/>
      </w:pPr>
      <w:r>
        <w:t>Re-building signup/login for every new tool.</w:t>
      </w:r>
    </w:p>
    <w:p w14:paraId="6D0DD896" w14:textId="77777777" w:rsidR="0087732B" w:rsidRDefault="00000000">
      <w:pPr>
        <w:pStyle w:val="ListParagraph"/>
        <w:numPr>
          <w:ilvl w:val="0"/>
          <w:numId w:val="2"/>
        </w:numPr>
        <w:spacing w:after="80"/>
      </w:pPr>
      <w:r>
        <w:t>Re-integrating Stripe and re-writing webhook handling for every new tool.</w:t>
      </w:r>
    </w:p>
    <w:p w14:paraId="6D0DD897" w14:textId="77777777" w:rsidR="0087732B" w:rsidRDefault="00000000">
      <w:pPr>
        <w:pStyle w:val="ListParagraph"/>
        <w:numPr>
          <w:ilvl w:val="0"/>
          <w:numId w:val="2"/>
        </w:numPr>
        <w:spacing w:after="80"/>
      </w:pPr>
      <w:r>
        <w:t>Users needing separate accounts/passwords per tool.</w:t>
      </w:r>
    </w:p>
    <w:p w14:paraId="6D0DD898" w14:textId="77777777" w:rsidR="0087732B" w:rsidRDefault="00000000">
      <w:pPr>
        <w:pStyle w:val="ListParagraph"/>
        <w:numPr>
          <w:ilvl w:val="0"/>
          <w:numId w:val="2"/>
        </w:numPr>
        <w:spacing w:after="80"/>
      </w:pPr>
      <w:r>
        <w:t>Fragmented view of subscribers — with this structure, one dashboard can show all customers across every tool.</w:t>
      </w:r>
    </w:p>
    <w:p w14:paraId="6D0DD899" w14:textId="77777777" w:rsidR="0087732B" w:rsidRDefault="00000000">
      <w:pPr>
        <w:pStyle w:val="Heading1"/>
        <w:spacing w:before="320" w:after="160"/>
      </w:pPr>
      <w:r>
        <w:t>8. Free trials</w:t>
      </w:r>
    </w:p>
    <w:p w14:paraId="6D0DD89A" w14:textId="77777777" w:rsidR="0087732B" w:rsidRDefault="00000000">
      <w:pPr>
        <w:spacing w:after="160"/>
      </w:pPr>
      <w:r>
        <w:t>To support offering free trials to initial users, two small additions to the architecture above are needed:</w:t>
      </w:r>
    </w:p>
    <w:p w14:paraId="6D0DD89B" w14:textId="77777777" w:rsidR="0087732B" w:rsidRDefault="00000000">
      <w:pPr>
        <w:pStyle w:val="ListParagraph"/>
        <w:numPr>
          <w:ilvl w:val="0"/>
          <w:numId w:val="2"/>
        </w:numPr>
        <w:spacing w:after="80"/>
      </w:pPr>
      <w:r>
        <w:t>Trial status: Stripe subscriptions support a trial_period_days setting, applied when the Checkout session is created. During the trial, Stripe reports the subscription status as "trialing" rather than "active". The mirrored status table (Section 4.2) and the webhook handler (Section 4.3) both need to treat trialing the same as active — i.e. grant access — otherwise trial users will be blocked immediately.</w:t>
      </w:r>
    </w:p>
    <w:p w14:paraId="6D0DD89C" w14:textId="77777777" w:rsidR="0087732B" w:rsidRDefault="00000000">
      <w:pPr>
        <w:pStyle w:val="ListParagraph"/>
        <w:numPr>
          <w:ilvl w:val="0"/>
          <w:numId w:val="2"/>
        </w:numPr>
        <w:spacing w:after="80"/>
      </w:pPr>
      <w:r>
        <w:t>Trial end handling: when a trial ends, Stripe either charges the card on file and moves the subscription to active, or — if no payment method is attached — moves it to canceled/incomplete. The webhook listener should already pick this transition up automatically via the same subscription-updated event used elsewhere, so no separate logic is needed beyond step one above.</w:t>
      </w:r>
    </w:p>
    <w:p w14:paraId="6D0DD89D" w14:textId="77777777" w:rsidR="0087732B" w:rsidRDefault="00000000">
      <w:pPr>
        <w:pStyle w:val="ListParagraph"/>
        <w:numPr>
          <w:ilvl w:val="0"/>
          <w:numId w:val="2"/>
        </w:numPr>
        <w:spacing w:after="80"/>
      </w:pPr>
      <w:r>
        <w:t>Card required at signup, or not: this is a business decision to confirm before build, not just a technical one. Requiring a card upfront (trial auto-converts to paid) reduces abuse but adds signup friction; no card required is lower-friction but makes it easier for one person to re-trial repeatedly under new emails. Worth deciding the trial length and this policy together, then telling your developer which Checkout mode to configure.</w:t>
      </w:r>
    </w:p>
    <w:p w14:paraId="6D0DD89E" w14:textId="77777777" w:rsidR="0087732B" w:rsidRDefault="00000000">
      <w:pPr>
        <w:pStyle w:val="ListParagraph"/>
        <w:numPr>
          <w:ilvl w:val="0"/>
          <w:numId w:val="2"/>
        </w:numPr>
        <w:spacing w:after="80"/>
      </w:pPr>
      <w:r>
        <w:t>Optional abuse guard: if going card-free, consider a simple check (e.g. one trial per email domain, or per verified phone/email) to reduce repeat-trial abuse — not essential for an initial soft launch, but worth flagging for later.</w:t>
      </w:r>
    </w:p>
    <w:p w14:paraId="6D0DD89F" w14:textId="77777777" w:rsidR="0087732B" w:rsidRDefault="0087732B">
      <w:pPr>
        <w:spacing w:before="300"/>
      </w:pPr>
    </w:p>
    <w:p w14:paraId="6D0DD8A0" w14:textId="77777777" w:rsidR="0087732B" w:rsidRDefault="00000000">
      <w:r>
        <w:rPr>
          <w:i/>
          <w:iCs/>
          <w:color w:val="666666"/>
        </w:rPr>
        <w:t>This is a starting architecture, not a fixed spec — refine it with your son once he's had a chance to weigh implementation effort against these choices, particularly the token-sharing and auth-provider decisions in section 6.</w:t>
      </w:r>
    </w:p>
    <w:sectPr w:rsidR="0087732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C0317"/>
    <w:multiLevelType w:val="hybridMultilevel"/>
    <w:tmpl w:val="6C764468"/>
    <w:lvl w:ilvl="0" w:tplc="B76C33D8">
      <w:start w:val="1"/>
      <w:numFmt w:val="bullet"/>
      <w:lvlText w:val="•"/>
      <w:lvlJc w:val="left"/>
      <w:pPr>
        <w:ind w:left="360" w:hanging="360"/>
      </w:pPr>
    </w:lvl>
    <w:lvl w:ilvl="1" w:tplc="4C2CB54E">
      <w:start w:val="1"/>
      <w:numFmt w:val="bullet"/>
      <w:lvlText w:val="◦"/>
      <w:lvlJc w:val="left"/>
      <w:pPr>
        <w:ind w:left="720" w:hanging="360"/>
      </w:pPr>
    </w:lvl>
    <w:lvl w:ilvl="2" w:tplc="07A0036E">
      <w:numFmt w:val="decimal"/>
      <w:lvlText w:val=""/>
      <w:lvlJc w:val="left"/>
    </w:lvl>
    <w:lvl w:ilvl="3" w:tplc="CBB0A40E">
      <w:numFmt w:val="decimal"/>
      <w:lvlText w:val=""/>
      <w:lvlJc w:val="left"/>
    </w:lvl>
    <w:lvl w:ilvl="4" w:tplc="3B7A308C">
      <w:numFmt w:val="decimal"/>
      <w:lvlText w:val=""/>
      <w:lvlJc w:val="left"/>
    </w:lvl>
    <w:lvl w:ilvl="5" w:tplc="B480227A">
      <w:numFmt w:val="decimal"/>
      <w:lvlText w:val=""/>
      <w:lvlJc w:val="left"/>
    </w:lvl>
    <w:lvl w:ilvl="6" w:tplc="EBBA00F0">
      <w:numFmt w:val="decimal"/>
      <w:lvlText w:val=""/>
      <w:lvlJc w:val="left"/>
    </w:lvl>
    <w:lvl w:ilvl="7" w:tplc="5F001712">
      <w:numFmt w:val="decimal"/>
      <w:lvlText w:val=""/>
      <w:lvlJc w:val="left"/>
    </w:lvl>
    <w:lvl w:ilvl="8" w:tplc="7C7662BA">
      <w:numFmt w:val="decimal"/>
      <w:lvlText w:val=""/>
      <w:lvlJc w:val="left"/>
    </w:lvl>
  </w:abstractNum>
  <w:abstractNum w:abstractNumId="1" w15:restartNumberingAfterBreak="0">
    <w:nsid w:val="472B02B8"/>
    <w:multiLevelType w:val="hybridMultilevel"/>
    <w:tmpl w:val="091E020A"/>
    <w:lvl w:ilvl="0" w:tplc="B8DEA01A">
      <w:start w:val="1"/>
      <w:numFmt w:val="bullet"/>
      <w:lvlText w:val="●"/>
      <w:lvlJc w:val="left"/>
      <w:pPr>
        <w:ind w:left="720" w:hanging="360"/>
      </w:pPr>
    </w:lvl>
    <w:lvl w:ilvl="1" w:tplc="72E06DD0">
      <w:start w:val="1"/>
      <w:numFmt w:val="bullet"/>
      <w:lvlText w:val="○"/>
      <w:lvlJc w:val="left"/>
      <w:pPr>
        <w:ind w:left="1440" w:hanging="360"/>
      </w:pPr>
    </w:lvl>
    <w:lvl w:ilvl="2" w:tplc="34B6B250">
      <w:start w:val="1"/>
      <w:numFmt w:val="bullet"/>
      <w:lvlText w:val="■"/>
      <w:lvlJc w:val="left"/>
      <w:pPr>
        <w:ind w:left="2160" w:hanging="360"/>
      </w:pPr>
    </w:lvl>
    <w:lvl w:ilvl="3" w:tplc="46547CD8">
      <w:start w:val="1"/>
      <w:numFmt w:val="bullet"/>
      <w:lvlText w:val="●"/>
      <w:lvlJc w:val="left"/>
      <w:pPr>
        <w:ind w:left="2880" w:hanging="360"/>
      </w:pPr>
    </w:lvl>
    <w:lvl w:ilvl="4" w:tplc="ED489F7E">
      <w:start w:val="1"/>
      <w:numFmt w:val="bullet"/>
      <w:lvlText w:val="○"/>
      <w:lvlJc w:val="left"/>
      <w:pPr>
        <w:ind w:left="3600" w:hanging="360"/>
      </w:pPr>
    </w:lvl>
    <w:lvl w:ilvl="5" w:tplc="3E3AC954">
      <w:start w:val="1"/>
      <w:numFmt w:val="bullet"/>
      <w:lvlText w:val="■"/>
      <w:lvlJc w:val="left"/>
      <w:pPr>
        <w:ind w:left="4320" w:hanging="360"/>
      </w:pPr>
    </w:lvl>
    <w:lvl w:ilvl="6" w:tplc="22BA9B96">
      <w:start w:val="1"/>
      <w:numFmt w:val="bullet"/>
      <w:lvlText w:val="●"/>
      <w:lvlJc w:val="left"/>
      <w:pPr>
        <w:ind w:left="5040" w:hanging="360"/>
      </w:pPr>
    </w:lvl>
    <w:lvl w:ilvl="7" w:tplc="53545628">
      <w:start w:val="1"/>
      <w:numFmt w:val="bullet"/>
      <w:lvlText w:val="●"/>
      <w:lvlJc w:val="left"/>
      <w:pPr>
        <w:ind w:left="5760" w:hanging="360"/>
      </w:pPr>
    </w:lvl>
    <w:lvl w:ilvl="8" w:tplc="A6AA77B6">
      <w:start w:val="1"/>
      <w:numFmt w:val="bullet"/>
      <w:lvlText w:val="●"/>
      <w:lvlJc w:val="left"/>
      <w:pPr>
        <w:ind w:left="6480" w:hanging="360"/>
      </w:pPr>
    </w:lvl>
  </w:abstractNum>
  <w:num w:numId="1" w16cid:durableId="1452937467">
    <w:abstractNumId w:val="1"/>
    <w:lvlOverride w:ilvl="0">
      <w:startOverride w:val="1"/>
    </w:lvlOverride>
  </w:num>
  <w:num w:numId="2" w16cid:durableId="2093162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32B"/>
    <w:rsid w:val="007230E3"/>
    <w:rsid w:val="00737680"/>
    <w:rsid w:val="008773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DD833"/>
  <w15:docId w15:val="{DEAB1AA8-7991-426C-9002-A57315245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1376</Words>
  <Characters>7423</Characters>
  <Application>Microsoft Office Word</Application>
  <DocSecurity>0</DocSecurity>
  <Lines>148</Lines>
  <Paragraphs>111</Paragraphs>
  <ScaleCrop>false</ScaleCrop>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 Khaitan</cp:lastModifiedBy>
  <cp:revision>2</cp:revision>
  <dcterms:created xsi:type="dcterms:W3CDTF">2026-09-01T10:42:00Z</dcterms:created>
  <dcterms:modified xsi:type="dcterms:W3CDTF">2026-09-01T10:44:00Z</dcterms:modified>
</cp:coreProperties>
</file>