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BigHand hiring team,</w:t>
      </w:r>
    </w:p>
    <w:p>
      <w:r>
        <w:t>I have spent the last four years as the person who sits between an accounting-software vendor and its clients: running the workshops, writing the T-SQL, and being the one who gets called when a partner's profitability report looks wrong the morning after go-live.</w:t>
      </w:r>
    </w:p>
    <w:p>
      <w:r>
        <w:t>What draws me to BigHand is the Financial Productivity focus. Profitability reporting for professional-services firms is exactly what I build today, and legal is the adjacent domain I would most like to learn. I have not worked in Legal IT, and I would expect to spend my first months learning how law firms structure matters and billing.</w:t>
      </w:r>
    </w:p>
    <w:p>
      <w:r>
        <w:t>Best regards,</w:t>
        <w:br/>
        <w:t>Priya Raman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