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Arial" w:cs="Arial" w:eastAsia="Arial" w:hAnsi="Arial"/>
          <w:b/>
          <w:bCs/>
          <w:color w:val="1F3A5F"/>
          <w:sz w:val="64"/>
          <w:szCs w:val="64"/>
        </w:rPr>
        <w:t xml:space="preserve">ACI I · TERMINAL</w:t>
      </w:r>
    </w:p>
    <w:p>
      <w:pPr>
        <w:pBdr>
          <w:bottom w:val="single" w:color="B7410E" w:sz="8" w:space="8"/>
        </w:pBdr>
        <w:spacing w:after="0" w:before="120"/>
        <w:jc w:val="center"/>
      </w:pPr>
      <w:r>
        <w:rPr>
          <w:rFonts w:ascii="Arial" w:cs="Arial" w:eastAsia="Arial" w:hAnsi="Arial"/>
          <w:color w:val="B7410E"/>
          <w:sz w:val="40"/>
          <w:szCs w:val="40"/>
        </w:rPr>
        <w:t xml:space="preserve">Manual de Uso y Marco Teórico</w:t>
      </w:r>
    </w:p>
    <w:p>
      <w:pPr>
        <w:spacing w:after="0" w:before="360"/>
        <w:jc w:val="center"/>
      </w:pPr>
      <w:r>
        <w:rPr>
          <w:i/>
          <w:iCs/>
          <w:color w:val="555555"/>
          <w:sz w:val="26"/>
          <w:szCs w:val="26"/>
        </w:rPr>
        <w:t xml:space="preserve">Tablero de control financiero estilo Bloomberg</w:t>
      </w:r>
    </w:p>
    <w:p>
      <w:pPr>
        <w:spacing w:before="80"/>
        <w:jc w:val="center"/>
      </w:pPr>
      <w:r>
        <w:rPr>
          <w:color w:val="555555"/>
          <w:sz w:val="22"/>
          <w:szCs w:val="22"/>
        </w:rPr>
        <w:t xml:space="preserve">Administración de Carteras de Inversión I · Universidad de San Andrés</w:t>
      </w:r>
    </w:p>
    <w:p>
      <w:pPr>
        <w:spacing w:before="60"/>
        <w:jc w:val="center"/>
      </w:pPr>
      <w:r>
        <w:rPr>
          <w:color w:val="555555"/>
          <w:sz w:val="20"/>
          <w:szCs w:val="20"/>
        </w:rPr>
        <w:t xml:space="preserve">Renta variable · Análisis técnico · Teoría de portfolio · Riesgo · Backtesting &amp; ML</w:t>
      </w:r>
    </w:p>
    <w:p>
      <w:pPr>
        <w:spacing w:before="1200"/>
        <w:jc w:val="center"/>
      </w:pPr>
      <w:r>
        <w:rPr>
          <w:color w:val="8B6F47"/>
          <w:sz w:val="18"/>
          <w:szCs w:val="18"/>
        </w:rPr>
        <w:t xml:space="preserve">Streamlit · Python · Plotly · Yahoo Finance / FMP / Binance / ECB</w:t>
      </w:r>
    </w:p>
    <w:p>
      <w:r>
        <w:br w:type="page"/>
      </w:r>
    </w:p>
    <w:p>
      <w:pPr>
        <w:pStyle w:val="Heading1"/>
      </w:pPr>
      <w:r>
        <w:t xml:space="preserve">Índice</w:t>
      </w:r>
    </w:p>
    <w:p>
      <w:pPr>
        <w:spacing w:after="84" w:line="276"/>
      </w:pPr>
      <w:r>
        <w:rPr>
          <w:color w:val="1A1A1A"/>
          <w:sz w:val="23"/>
          <w:szCs w:val="23"/>
        </w:rPr>
        <w:t xml:space="preserve">1.  Introducción y filosofía del tablero</w:t>
      </w:r>
    </w:p>
    <w:p>
      <w:pPr>
        <w:spacing w:after="84" w:line="276"/>
      </w:pPr>
      <w:r>
        <w:rPr>
          <w:color w:val="1A1A1A"/>
          <w:sz w:val="23"/>
          <w:szCs w:val="23"/>
        </w:rPr>
        <w:t xml:space="preserve">2.  Puesta en marcha</w:t>
      </w:r>
    </w:p>
    <w:p>
      <w:pPr>
        <w:spacing w:after="84" w:line="276"/>
      </w:pPr>
      <w:r>
        <w:rPr>
          <w:color w:val="1A1A1A"/>
          <w:sz w:val="23"/>
          <w:szCs w:val="23"/>
        </w:rPr>
        <w:t xml:space="preserve">3.  La barra lateral (centro de mando)</w:t>
      </w:r>
    </w:p>
    <w:p>
      <w:pPr>
        <w:spacing w:after="84" w:line="276"/>
      </w:pPr>
      <w:r>
        <w:rPr>
          <w:color w:val="1A1A1A"/>
          <w:sz w:val="23"/>
          <w:szCs w:val="23"/>
        </w:rPr>
        <w:t xml:space="preserve">4.  Conceptos transversales (datos y retornos)</w:t>
      </w:r>
    </w:p>
    <w:p>
      <w:pPr>
        <w:spacing w:after="84" w:line="276"/>
      </w:pPr>
      <w:r>
        <w:rPr>
          <w:color w:val="1A1A1A"/>
          <w:sz w:val="23"/>
          <w:szCs w:val="23"/>
        </w:rPr>
        <w:t xml:space="preserve">5.  GLOBAL — Tablero mundial y ciclo económico</w:t>
      </w:r>
    </w:p>
    <w:p>
      <w:pPr>
        <w:spacing w:after="84" w:line="276"/>
      </w:pPr>
      <w:r>
        <w:rPr>
          <w:color w:val="1A1A1A"/>
          <w:sz w:val="23"/>
          <w:szCs w:val="23"/>
        </w:rPr>
        <w:t xml:space="preserve">6.  MARKET — Cotizaciones y performance relativa</w:t>
      </w:r>
    </w:p>
    <w:p>
      <w:pPr>
        <w:spacing w:after="84" w:line="276"/>
      </w:pPr>
      <w:r>
        <w:rPr>
          <w:color w:val="1A1A1A"/>
          <w:sz w:val="23"/>
          <w:szCs w:val="23"/>
        </w:rPr>
        <w:t xml:space="preserve">7.  TECHNICAL — Análisis técnico (Clase 2)</w:t>
      </w:r>
    </w:p>
    <w:p>
      <w:pPr>
        <w:spacing w:after="84" w:line="276"/>
      </w:pPr>
      <w:r>
        <w:rPr>
          <w:color w:val="1A1A1A"/>
          <w:sz w:val="23"/>
          <w:szCs w:val="23"/>
        </w:rPr>
        <w:t xml:space="preserve">8.  FUNDAMENTAL — Estados contables y múltiplos (Clase 1)</w:t>
      </w:r>
    </w:p>
    <w:p>
      <w:pPr>
        <w:spacing w:after="84" w:line="276"/>
      </w:pPr>
      <w:r>
        <w:rPr>
          <w:color w:val="1A1A1A"/>
          <w:sz w:val="23"/>
          <w:szCs w:val="23"/>
        </w:rPr>
        <w:t xml:space="preserve">9.  THEORY — Teoría de portfolio: Markowitz, CAPM, CML (Clase 3)</w:t>
      </w:r>
    </w:p>
    <w:p>
      <w:pPr>
        <w:spacing w:after="84" w:line="276"/>
      </w:pPr>
      <w:r>
        <w:rPr>
          <w:color w:val="1A1A1A"/>
          <w:sz w:val="23"/>
          <w:szCs w:val="23"/>
        </w:rPr>
        <w:t xml:space="preserve">10. PORTFOLIO — Constructor de cartera</w:t>
      </w:r>
    </w:p>
    <w:p>
      <w:pPr>
        <w:spacing w:after="84" w:line="276"/>
      </w:pPr>
      <w:r>
        <w:rPr>
          <w:color w:val="1A1A1A"/>
          <w:sz w:val="23"/>
          <w:szCs w:val="23"/>
        </w:rPr>
        <w:t xml:space="preserve">11. RISK — Value at Risk y Performance Attribution (Clase 4)</w:t>
      </w:r>
    </w:p>
    <w:p>
      <w:pPr>
        <w:spacing w:after="84" w:line="276"/>
      </w:pPr>
      <w:r>
        <w:rPr>
          <w:color w:val="1A1A1A"/>
          <w:sz w:val="23"/>
          <w:szCs w:val="23"/>
        </w:rPr>
        <w:t xml:space="preserve">12. STRATEGY LAB — Backtesting y Machine Learning (Clase 5)</w:t>
      </w:r>
    </w:p>
    <w:p>
      <w:pPr>
        <w:spacing w:after="84" w:line="276"/>
      </w:pPr>
      <w:r>
        <w:rPr>
          <w:color w:val="1A1A1A"/>
          <w:sz w:val="23"/>
          <w:szCs w:val="23"/>
        </w:rPr>
        <w:t xml:space="preserve">13. Glosario de métricas</w:t>
      </w:r>
    </w:p>
    <w:p>
      <w:pPr>
        <w:spacing w:after="84" w:line="276"/>
      </w:pPr>
      <w:r>
        <w:rPr>
          <w:color w:val="1A1A1A"/>
          <w:sz w:val="23"/>
          <w:szCs w:val="23"/>
        </w:rPr>
        <w:t xml:space="preserve">14. Buenas prácticas, sesgos y advertencias</w:t>
      </w:r>
    </w:p>
    <w:p>
      <w:pPr>
        <w:spacing w:after="84" w:line="276"/>
      </w:pPr>
      <w:r>
        <w:rPr>
          <w:color w:val="1A1A1A"/>
          <w:sz w:val="23"/>
          <w:szCs w:val="23"/>
        </w:rPr>
        <w:t xml:space="preserve">15. Resolución de problemas</w:t>
      </w:r>
    </w:p>
    <w:p>
      <w:r>
        <w:br w:type="page"/>
      </w:r>
    </w:p>
    <w:p>
      <w:pPr>
        <w:pStyle w:val="Heading1"/>
      </w:pPr>
      <w:r>
        <w:t xml:space="preserve">1. Introducción y filosofía del tablero</w:t>
      </w:r>
    </w:p>
    <w:p>
      <w:pPr>
        <w:spacing w:after="120" w:line="276"/>
      </w:pPr>
      <w:r>
        <w:t xml:space="preserve">El </w:t>
      </w:r>
      <w:r>
        <w:rPr>
          <w:b/>
          <w:bCs/>
        </w:rPr>
        <w:t xml:space="preserve">ACI I Terminal</w:t>
      </w:r>
      <w:r>
        <w:t xml:space="preserve"> es un tablero de control financiero interactivo que reúne, en una sola aplicación web, todas las herramientas y la teoría vistas a lo largo de la materia. Estéticamente imita una terminal Bloomberg: fondo negro, tipografía monoespaciada, colores ámbar/verde/rojo y datos en tiempo cuasi-real.</w:t>
      </w:r>
    </w:p>
    <w:p>
      <w:pPr>
        <w:spacing w:after="120" w:line="276"/>
      </w:pPr>
      <w:r>
        <w:t xml:space="preserve">Su objetivo no es solo mostrar números, sino </w:t>
      </w:r>
      <w:r>
        <w:rPr>
          <w:b/>
          <w:bCs/>
        </w:rPr>
        <w:t xml:space="preserve">encarnar el método del curso</w:t>
      </w:r>
      <w:r>
        <w:t xml:space="preserve">: leer una empresa por sus fundamentos, estudiar su precio con análisis técnico, construir carteras con teoría de portfolio, medir su riesgo y, finalmente, validar estrategias con backtesting antes de arriesgar capital. Cada pestaña corresponde a una de las cinco clases: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160"/>
        <w:gridCol w:w="2300"/>
      </w:tblGrid>
      <w:tr>
        <w:trPr>
          <w:tblHeader/>
        </w:trPr>
        <w:tc>
          <w:tcPr>
            <w:tcW w:type="dxa" w:w="9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Clase</w:t>
            </w:r>
          </w:p>
        </w:tc>
        <w:tc>
          <w:tcPr>
            <w:tcW w:type="dxa" w:w="61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Tema</w:t>
            </w:r>
          </w:p>
        </w:tc>
        <w:tc>
          <w:tcPr>
            <w:tcW w:type="dxa" w:w="23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Pestaña(s)</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1</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Renta variable: estados contables, múltiplos y valuación</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FUNDAMENTAL</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2</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Análisis técnico: indicadores y patrones</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TECHNICAL</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3</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Optimización de carteras: Markowitz, CAPM, CML</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THEORY · PORTFOLIO</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4</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Value at Risk y Performance Attribution</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RISK</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5</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Backtesting y Machine Learning</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STRATEGY LAB</w:t>
            </w:r>
          </w:p>
        </w:tc>
      </w:tr>
      <w:tr>
        <w:trPr>
          <w:tblHeader w:val="false"/>
        </w:trPr>
        <w:tc>
          <w:tcPr>
            <w:tcW w:type="dxa" w:w="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w:t>
            </w:r>
          </w:p>
        </w:tc>
        <w:tc>
          <w:tcPr>
            <w:tcW w:type="dxa" w:w="61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Mercados globales (contexto macro)</w:t>
            </w:r>
          </w:p>
        </w:tc>
        <w:tc>
          <w:tcPr>
            <w:tcW w:type="dxa" w:w="23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GLOBAL · MARKET</w:t>
            </w:r>
          </w:p>
        </w:tc>
      </w:tr>
    </w:tbl>
    <w:p>
      <w:pPr>
        <w:pBdr>
          <w:left w:val="single" w:color="991B1B" w:sz="18" w:space="8"/>
        </w:pBdr>
        <w:shd w:fill="FBE9E9" w:val="clear"/>
        <w:spacing w:after="120" w:before="80" w:line="270"/>
      </w:pPr>
      <w:r>
        <w:t xml:space="preserve"/>
      </w:r>
      <w:r>
        <w:rPr>
          <w:b/>
          <w:bCs/>
        </w:rPr>
        <w:t xml:space="preserve">Aviso.</w:t>
      </w:r>
      <w:r>
        <w:t xml:space="preserve"> Esta herramienta es educativa. Los datos tienen demoras (~15 min en acciones de EE.UU.) y los cálculos son orientativos. </w:t>
      </w:r>
      <w:r>
        <w:rPr>
          <w:b/>
          <w:bCs/>
        </w:rPr>
        <w:t xml:space="preserve">Nada de lo que muestra constituye asesoramiento de inversión.</w:t>
      </w:r>
      <w:r>
        <w:t xml:space="preserve"> Como recordaba Benjamin Graham, “el principal problema del inversor, e incluso su peor enemigo, es probablemente él mismo”.</w:t>
      </w:r>
    </w:p>
    <w:p>
      <w:pPr>
        <w:pStyle w:val="Heading1"/>
      </w:pPr>
      <w:r>
        <w:t xml:space="preserve">2. Puesta en marcha</w:t>
      </w:r>
    </w:p>
    <w:p>
      <w:pPr>
        <w:spacing w:after="120" w:line="276"/>
      </w:pPr>
      <w:r>
        <w:t xml:space="preserve">La aplicación es un proyecto de Streamlit. Desde la carpeta del proyecto:</w:t>
      </w:r>
    </w:p>
    <w:p>
      <w:pPr>
        <w:shd w:fill="EFE9DC" w:val="clear"/>
        <w:spacing w:after="120" w:before="60"/>
        <w:jc w:val="center"/>
      </w:pPr>
      <w:r>
        <w:rPr>
          <w:rFonts w:ascii="Consolas" w:cs="Consolas" w:eastAsia="Consolas" w:hAnsi="Consolas"/>
          <w:color w:val="1F3A5F"/>
          <w:sz w:val="22"/>
          <w:szCs w:val="22"/>
        </w:rPr>
        <w:t xml:space="preserve">cd Dashboard
pip install -r requirements.txt
streamlit run app.py</w:t>
      </w:r>
    </w:p>
    <w:p>
      <w:pPr>
        <w:spacing w:after="120" w:line="276"/>
      </w:pPr>
      <w:r>
        <w:t xml:space="preserve">Se abre en el navegador (típicamente </w:t>
      </w:r>
      <w:r>
        <w:rPr>
          <w:b/>
          <w:bCs/>
        </w:rPr>
        <w:t xml:space="preserve">http://localhost:8501</w:t>
      </w:r>
      <w:r>
        <w:t xml:space="preserve">). Dependencias clave: streamlit, plotly, pandas, numpy, yahooquery, curl_cffi, scipy, scikit-learn y xgboost.</w:t>
      </w:r>
    </w:p>
    <w:p>
      <w:pPr>
        <w:pStyle w:val="Heading3"/>
      </w:pPr>
      <w:r>
        <w:t xml:space="preserve">La pantalla principal</w:t>
      </w:r>
    </w:p>
    <w:p>
      <w:pPr>
        <w:pStyle w:val="ListParagraph"/>
        <w:numPr>
          <w:ilvl w:val="0"/>
          <w:numId w:val="2"/>
        </w:numPr>
        <w:spacing w:after="60" w:line="270"/>
      </w:pPr>
      <w:r>
        <w:t xml:space="preserve"/>
      </w:r>
      <w:r>
        <w:rPr>
          <w:b/>
          <w:bCs/>
        </w:rPr>
        <w:t xml:space="preserve">Barra roja superior (header):</w:t>
      </w:r>
      <w:r>
        <w:t xml:space="preserve"> reloj en vivo, atajos y el activo primario.</w:t>
      </w:r>
    </w:p>
    <w:p>
      <w:pPr>
        <w:pStyle w:val="ListParagraph"/>
        <w:numPr>
          <w:ilvl w:val="0"/>
          <w:numId w:val="2"/>
        </w:numPr>
        <w:spacing w:after="60" w:line="270"/>
      </w:pPr>
      <w:r>
        <w:t xml:space="preserve"/>
      </w:r>
      <w:r>
        <w:rPr>
          <w:b/>
          <w:bCs/>
        </w:rPr>
        <w:t xml:space="preserve">Cinta de cotizaciones (ticker strip):</w:t>
      </w:r>
      <w:r>
        <w:t xml:space="preserve"> precios de la watchlist que laten en vivo, con su variación del día.</w:t>
      </w:r>
    </w:p>
    <w:p>
      <w:pPr>
        <w:pStyle w:val="ListParagraph"/>
        <w:numPr>
          <w:ilvl w:val="0"/>
          <w:numId w:val="2"/>
        </w:numPr>
        <w:spacing w:after="60" w:line="270"/>
      </w:pPr>
      <w:r>
        <w:t xml:space="preserve"/>
      </w:r>
      <w:r>
        <w:rPr>
          <w:b/>
          <w:bCs/>
        </w:rPr>
        <w:t xml:space="preserve">KPIs del activo primario:</w:t>
      </w:r>
      <w:r>
        <w:t xml:space="preserve"> último, apertura, máximo, mínimo, volumen y capitalización.</w:t>
      </w:r>
    </w:p>
    <w:p>
      <w:pPr>
        <w:spacing w:after="120" w:line="276"/>
      </w:pPr>
      <w:r>
        <w:t xml:space="preserve">Debajo, las </w:t>
      </w:r>
      <w:r>
        <w:rPr>
          <w:b/>
          <w:bCs/>
        </w:rPr>
        <w:t xml:space="preserve">ocho pestañas</w:t>
      </w:r>
      <w:r>
        <w:t xml:space="preserve"> y, a la izquierda, la </w:t>
      </w:r>
      <w:r>
        <w:rPr>
          <w:b/>
          <w:bCs/>
        </w:rPr>
        <w:t xml:space="preserve">barra lateral</w:t>
      </w:r>
      <w:r>
        <w:t xml:space="preserve"> de control.</w:t>
      </w:r>
    </w:p>
    <w:p>
      <w:pPr>
        <w:pStyle w:val="Heading1"/>
      </w:pPr>
      <w:r>
        <w:t xml:space="preserve">3. La barra lateral (centro de mando)</w:t>
      </w:r>
    </w:p>
    <w:p>
      <w:pPr>
        <w:spacing w:after="120" w:line="276"/>
      </w:pPr>
      <w:r>
        <w:t xml:space="preserve">Define qué activos mira la mayor parte de la app y sobre qué rango de fechas.</w:t>
      </w:r>
    </w:p>
    <w:p>
      <w:pPr>
        <w:pStyle w:val="Heading3"/>
      </w:pPr>
      <w:r>
        <w:t xml:space="preserve">Universe · Search · Manual entry</w:t>
      </w:r>
    </w:p>
    <w:p>
      <w:pPr>
        <w:pStyle w:val="ListParagraph"/>
        <w:numPr>
          <w:ilvl w:val="0"/>
          <w:numId w:val="3"/>
        </w:numPr>
        <w:spacing w:after="60" w:line="270"/>
      </w:pPr>
      <w:r>
        <w:t xml:space="preserve"/>
      </w:r>
      <w:r>
        <w:rPr>
          <w:b/>
          <w:bCs/>
        </w:rPr>
        <w:t xml:space="preserve">Universe:</w:t>
      </w:r>
      <w:r>
        <w:t xml:space="preserve"> catálogos curados (US Large Caps, índices, ETFs, FX, commodities, crypto, ADRs argentinos, BYMA, CEDEARs). Se marcan tickers y se suman con ADD TO WATCHLIST.</w:t>
      </w:r>
    </w:p>
    <w:p>
      <w:pPr>
        <w:pStyle w:val="ListParagraph"/>
        <w:numPr>
          <w:ilvl w:val="0"/>
          <w:numId w:val="3"/>
        </w:numPr>
        <w:spacing w:after="60" w:line="270"/>
      </w:pPr>
      <w:r>
        <w:t xml:space="preserve"/>
      </w:r>
      <w:r>
        <w:rPr>
          <w:b/>
          <w:bCs/>
        </w:rPr>
        <w:t xml:space="preserve">Search (FMP):</w:t>
      </w:r>
      <w:r>
        <w:t xml:space="preserve"> búsqueda dinámica contra Financial Modeling Prep (~70.000 instrumentos globales).</w:t>
      </w:r>
    </w:p>
    <w:p>
      <w:pPr>
        <w:pStyle w:val="ListParagraph"/>
        <w:numPr>
          <w:ilvl w:val="0"/>
          <w:numId w:val="3"/>
        </w:numPr>
        <w:spacing w:after="60" w:line="270"/>
      </w:pPr>
      <w:r>
        <w:t xml:space="preserve"/>
      </w:r>
      <w:r>
        <w:rPr>
          <w:b/>
          <w:bCs/>
        </w:rPr>
        <w:t xml:space="preserve">Manual entry:</w:t>
      </w:r>
      <w:r>
        <w:t xml:space="preserve"> tipear un símbolo a mano (ej. GGAL.BA, BTC-USD).</w:t>
      </w:r>
    </w:p>
    <w:p>
      <w:pPr>
        <w:pStyle w:val="Heading3"/>
      </w:pPr>
      <w:r>
        <w:t xml:space="preserve">Watchlist · Primary</w:t>
      </w:r>
    </w:p>
    <w:p>
      <w:pPr>
        <w:spacing w:after="120" w:line="276"/>
      </w:pPr>
      <w:r>
        <w:t xml:space="preserve">La </w:t>
      </w:r>
      <w:r>
        <w:rPr>
          <w:b/>
          <w:bCs/>
        </w:rPr>
        <w:t xml:space="preserve">watchlist</w:t>
      </w:r>
      <w:r>
        <w:t xml:space="preserve"> es la lista activa; casi todo lo que ves en MARKET, TECHNICAL, FUNDAMENTAL y PORTFOLIO la usa. El </w:t>
      </w:r>
      <w:r>
        <w:rPr>
          <w:b/>
          <w:bCs/>
        </w:rPr>
        <w:t xml:space="preserve">primary</w:t>
      </w:r>
      <w:r>
        <w:t xml:space="preserve"> es el ticker protagonista (el que se grafica en TECHNICAL y alimenta los KPIs).</w:t>
      </w:r>
    </w:p>
    <w:p>
      <w:pPr>
        <w:pStyle w:val="Heading3"/>
      </w:pPr>
      <w:r>
        <w:t xml:space="preserve">Range e Interval</w:t>
      </w:r>
    </w:p>
    <w:p>
      <w:pPr>
        <w:spacing w:after="120" w:line="276"/>
      </w:pPr>
      <w:r>
        <w:t xml:space="preserve"/>
      </w:r>
      <w:r>
        <w:rPr>
          <w:b/>
          <w:bCs/>
        </w:rPr>
        <w:t xml:space="preserve">Range:</w:t>
      </w:r>
      <w:r>
        <w:t xml:space="preserve"> ventana temporal (1M, 1Y, 5Y, YTD o fechas a medida). </w:t>
      </w:r>
      <w:r>
        <w:rPr>
          <w:b/>
          <w:bCs/>
        </w:rPr>
        <w:t xml:space="preserve">Interval:</w:t>
      </w:r>
      <w:r>
        <w:t xml:space="preserve"> granularidad de las velas (1m … 1wk).</w:t>
      </w:r>
    </w:p>
    <w:p>
      <w:pPr>
        <w:pBdr>
          <w:left w:val="single" w:color="8B6F47" w:sz="18" w:space="8"/>
        </w:pBdr>
        <w:shd w:fill="FBF3E6" w:val="clear"/>
        <w:spacing w:after="120" w:before="80" w:line="270"/>
      </w:pPr>
      <w:r>
        <w:t xml:space="preserve"/>
      </w:r>
      <w:r>
        <w:rPr>
          <w:b/>
          <w:bCs/>
        </w:rPr>
        <w:t xml:space="preserve">Tip.</w:t>
      </w:r>
      <w:r>
        <w:t xml:space="preserve"> Los intervalos intradía (1m, 5m…) solo traen los últimos días por límites de Yahoo. Para historias largas, usá diario (1d) o semanal (1wk).</w:t>
      </w:r>
    </w:p>
    <w:p>
      <w:pPr>
        <w:pStyle w:val="Heading1"/>
      </w:pPr>
      <w:r>
        <w:t xml:space="preserve">4. Conceptos transversales</w:t>
      </w:r>
    </w:p>
    <w:p>
      <w:pPr>
        <w:pStyle w:val="Heading2"/>
      </w:pPr>
      <w:r>
        <w:t xml:space="preserve">4.1 De dónde salen los datos</w:t>
      </w:r>
    </w:p>
    <w:p>
      <w:pPr>
        <w:spacing w:after="120" w:line="276"/>
      </w:pPr>
      <w:r>
        <w:t xml:space="preserve">El tablero combina fuentes gratuitas, eligiendo la mejor para cada clase de activo; si una falla, las otras siguen: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3950"/>
        <w:gridCol w:w="3360"/>
      </w:tblGrid>
      <w:tr>
        <w:trPr>
          <w:tblHeader/>
        </w:trPr>
        <w:tc>
          <w:tcPr>
            <w:tcW w:type="dxa" w:w="205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Fuente</w:t>
            </w:r>
          </w:p>
        </w:tc>
        <w:tc>
          <w:tcPr>
            <w:tcW w:type="dxa" w:w="395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Qué provee</w:t>
            </w:r>
          </w:p>
        </w:tc>
        <w:tc>
          <w:tcPr>
            <w:tcW w:type="dxa" w:w="33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Notas</w:t>
            </w:r>
          </w:p>
        </w:tc>
      </w:tr>
      <w:tr>
        <w:trPr>
          <w:tblHeader w:val="false"/>
        </w:trPr>
        <w:tc>
          <w:tcPr>
            <w:tcW w:type="dxa" w:w="20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Yahoo Finance</w:t>
            </w:r>
          </w:p>
        </w:tc>
        <w:tc>
          <w:tcPr>
            <w:tcW w:type="dxa" w:w="39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Índices, acciones, commodities, tasas, vol, históricos</w:t>
            </w:r>
          </w:p>
        </w:tc>
        <w:tc>
          <w:tcPr>
            <w:tcW w:type="dxa" w:w="33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Batch (spark) + por símbolo (chart). Demora ~15 min en acciones US.</w:t>
            </w:r>
          </w:p>
        </w:tc>
      </w:tr>
      <w:tr>
        <w:trPr>
          <w:tblHeader w:val="false"/>
        </w:trPr>
        <w:tc>
          <w:tcPr>
            <w:tcW w:type="dxa" w:w="20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open.er-api.com (ECB)</w:t>
            </w:r>
          </w:p>
        </w:tc>
        <w:tc>
          <w:tcPr>
            <w:tcW w:type="dxa" w:w="39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Tipos de cambio (FX), incluido dólar oficial ARS</w:t>
            </w:r>
          </w:p>
        </w:tc>
        <w:tc>
          <w:tcPr>
            <w:tcW w:type="dxa" w:w="33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Gratis, sin límite. Mantiene vivo el panel de monedas.</w:t>
            </w:r>
          </w:p>
        </w:tc>
      </w:tr>
      <w:tr>
        <w:trPr>
          <w:tblHeader w:val="false"/>
        </w:trPr>
        <w:tc>
          <w:tcPr>
            <w:tcW w:type="dxa" w:w="20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Binance</w:t>
            </w:r>
          </w:p>
        </w:tc>
        <w:tc>
          <w:tcPr>
            <w:tcW w:type="dxa" w:w="39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Criptomonedas en tiempo real (24/7)</w:t>
            </w:r>
          </w:p>
        </w:tc>
        <w:tc>
          <w:tcPr>
            <w:tcW w:type="dxa" w:w="33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Gratis, sin límite.</w:t>
            </w:r>
          </w:p>
        </w:tc>
      </w:tr>
      <w:tr>
        <w:trPr>
          <w:tblHeader w:val="false"/>
        </w:trPr>
        <w:tc>
          <w:tcPr>
            <w:tcW w:type="dxa" w:w="20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Financial Modeling Prep</w:t>
            </w:r>
          </w:p>
        </w:tc>
        <w:tc>
          <w:tcPr>
            <w:tcW w:type="dxa" w:w="39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Ratios y estados contables</w:t>
            </w:r>
          </w:p>
        </w:tc>
        <w:tc>
          <w:tcPr>
            <w:tcW w:type="dxa" w:w="33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API key incluida; plan gratuito con cuota diaria.</w:t>
            </w:r>
          </w:p>
        </w:tc>
      </w:tr>
    </w:tbl>
    <w:p>
      <w:pPr>
        <w:pStyle w:val="Heading2"/>
      </w:pPr>
      <w:r>
        <w:t xml:space="preserve">4.2 El “live stream”</w:t>
      </w:r>
    </w:p>
    <w:p>
      <w:pPr>
        <w:spacing w:after="120" w:line="276"/>
      </w:pPr>
      <w:r>
        <w:t xml:space="preserve">El tablero GLOBAL no recarga la página: un proceso en segundo plano baja los precios cada pocos segundos y los “pisa” en pantalla, con un </w:t>
      </w:r>
      <w:r>
        <w:rPr>
          <w:b/>
          <w:bCs/>
        </w:rPr>
        <w:t xml:space="preserve">flash verde o rojo</w:t>
      </w:r>
      <w:r>
        <w:t xml:space="preserve"> por tick. La página nunca queda congelada mientras se actualiza.</w:t>
      </w:r>
    </w:p>
    <w:p>
      <w:pPr>
        <w:pStyle w:val="Heading2"/>
      </w:pPr>
      <w:r>
        <w:t xml:space="preserve">4.3 Retornos: simple, logarítmico y ajustado</w:t>
      </w:r>
    </w:p>
    <w:p>
      <w:pPr>
        <w:pStyle w:val="ListParagraph"/>
        <w:numPr>
          <w:ilvl w:val="0"/>
          <w:numId w:val="3"/>
        </w:numPr>
        <w:spacing w:after="60" w:line="270"/>
      </w:pPr>
      <w:r>
        <w:t xml:space="preserve"/>
      </w:r>
      <w:r>
        <w:rPr>
          <w:b/>
          <w:bCs/>
        </w:rPr>
        <w:t xml:space="preserve">Precio ajustado (adjclose):</w:t>
      </w:r>
      <w:r>
        <w:t xml:space="preserve"> incorpora dividendos y splits. Base de todo cálculo de retorno total.</w:t>
      </w:r>
    </w:p>
    <w:p>
      <w:pPr>
        <w:pStyle w:val="ListParagraph"/>
        <w:numPr>
          <w:ilvl w:val="0"/>
          <w:numId w:val="3"/>
        </w:numPr>
        <w:spacing w:after="60" w:line="270"/>
      </w:pPr>
      <w:r>
        <w:t xml:space="preserve"/>
      </w:r>
      <w:r>
        <w:rPr>
          <w:b/>
          <w:bCs/>
        </w:rPr>
        <w:t xml:space="preserve">Retorno simple:</w:t>
      </w:r>
      <w:r>
        <w:t xml:space="preserve"> Pₜ/Pₜ₋₁ − 1. Aditivo entre activos (el de la cartera es la suma ponderada). Se usa en CAPM, Markowitz y rebalanceo.</w:t>
      </w:r>
    </w:p>
    <w:p>
      <w:pPr>
        <w:pStyle w:val="ListParagraph"/>
        <w:numPr>
          <w:ilvl w:val="0"/>
          <w:numId w:val="3"/>
        </w:numPr>
        <w:spacing w:after="60" w:line="270"/>
      </w:pPr>
      <w:r>
        <w:t xml:space="preserve"/>
      </w:r>
      <w:r>
        <w:rPr>
          <w:b/>
          <w:bCs/>
        </w:rPr>
        <w:t xml:space="preserve">Retorno logarítmico:</w:t>
      </w:r>
      <w:r>
        <w:t xml:space="preserve"> ln(Pₜ/Pₜ₋₁). Aditivo en el tiempo (suma de logs = log del producto). Se usa en los backtests para acumular y anualizar.</w:t>
      </w:r>
    </w:p>
    <w:p>
      <w:pPr>
        <w:pStyle w:val="Heading1"/>
      </w:pPr>
      <w:r>
        <w:t xml:space="preserve">5. GLOBAL — Tablero mundial y ciclo económico</w:t>
      </w:r>
    </w:p>
    <w:p>
      <w:pPr>
        <w:spacing w:after="120" w:line="276"/>
      </w:pPr>
      <w:r>
        <w:t xml:space="preserve">Réplica del panel WEI/GMM de Bloomberg: una foto del mundo entero, independiente de la watchlist (~117 instrumentos siempre visibles). Ideal para abrir el día y entender el contexto macro.</w:t>
      </w:r>
    </w:p>
    <w:p>
      <w:pPr>
        <w:pStyle w:val="Heading3"/>
      </w:pPr>
      <w:r>
        <w:t xml:space="preserve">Qué muestra</w:t>
      </w:r>
    </w:p>
    <w:p>
      <w:pPr>
        <w:pStyle w:val="ListParagraph"/>
        <w:numPr>
          <w:ilvl w:val="0"/>
          <w:numId w:val="3"/>
        </w:numPr>
        <w:spacing w:after="60" w:line="270"/>
      </w:pPr>
      <w:r>
        <w:t xml:space="preserve"/>
      </w:r>
      <w:r>
        <w:rPr>
          <w:b/>
          <w:bCs/>
        </w:rPr>
        <w:t xml:space="preserve">Índices por región</w:t>
      </w:r>
      <w:r>
        <w:t xml:space="preserve"> (Américas, Europa-EMEA, Asia-Pacífico) con sparkline del último mes.</w:t>
      </w:r>
    </w:p>
    <w:p>
      <w:pPr>
        <w:pStyle w:val="ListParagraph"/>
        <w:numPr>
          <w:ilvl w:val="0"/>
          <w:numId w:val="3"/>
        </w:numPr>
        <w:spacing w:after="60" w:line="270"/>
      </w:pPr>
      <w:r>
        <w:t xml:space="preserve"/>
      </w:r>
      <w:r>
        <w:rPr>
          <w:b/>
          <w:bCs/>
        </w:rPr>
        <w:t xml:space="preserve">Monedas y crypto:</w:t>
      </w:r>
      <w:r>
        <w:t xml:space="preserve"> majors (DXY, EUR/USD, USD/JPY…), LATAM y emergentes, y las principales criptos.</w:t>
      </w:r>
    </w:p>
    <w:p>
      <w:pPr>
        <w:pStyle w:val="ListParagraph"/>
        <w:numPr>
          <w:ilvl w:val="0"/>
          <w:numId w:val="3"/>
        </w:numPr>
        <w:spacing w:after="60" w:line="270"/>
      </w:pPr>
      <w:r>
        <w:t xml:space="preserve"/>
      </w:r>
      <w:r>
        <w:rPr>
          <w:b/>
          <w:bCs/>
        </w:rPr>
        <w:t xml:space="preserve">Commodities:</w:t>
      </w:r>
      <w:r>
        <w:t xml:space="preserve"> energía (WTI, Brent, gas), metales (oro, plata, cobre) y agro (soja, maíz, trigo, café).</w:t>
      </w:r>
    </w:p>
    <w:p>
      <w:pPr>
        <w:pStyle w:val="ListParagraph"/>
        <w:numPr>
          <w:ilvl w:val="0"/>
          <w:numId w:val="3"/>
        </w:numPr>
        <w:spacing w:after="60" w:line="270"/>
      </w:pPr>
      <w:r>
        <w:t xml:space="preserve"/>
      </w:r>
      <w:r>
        <w:rPr>
          <w:b/>
          <w:bCs/>
        </w:rPr>
        <w:t xml:space="preserve">Curva de Treasuries US</w:t>
      </w:r>
      <w:r>
        <w:t xml:space="preserve"> (13s/5a/10a/30a) hoy vs. cierre anterior, y volatilidad (VIX, VXN, MOVE).</w:t>
      </w:r>
    </w:p>
    <w:p>
      <w:pPr>
        <w:pStyle w:val="ListParagraph"/>
        <w:numPr>
          <w:ilvl w:val="0"/>
          <w:numId w:val="3"/>
        </w:numPr>
        <w:spacing w:after="60" w:line="270"/>
      </w:pPr>
      <w:r>
        <w:t xml:space="preserve"/>
      </w:r>
      <w:r>
        <w:rPr>
          <w:b/>
          <w:bCs/>
        </w:rPr>
        <w:t xml:space="preserve">Panel Argentina:</w:t>
      </w:r>
      <w:r>
        <w:t xml:space="preserve"> ADRs en NYSE, dólar oficial y </w:t>
      </w:r>
      <w:r>
        <w:rPr>
          <w:b/>
          <w:bCs/>
        </w:rPr>
        <w:t xml:space="preserve">CCL implícito</w:t>
      </w:r>
      <w:r>
        <w:t xml:space="preserve"> con su brecha.</w:t>
      </w:r>
    </w:p>
    <w:p>
      <w:pPr>
        <w:pStyle w:val="ListParagraph"/>
        <w:numPr>
          <w:ilvl w:val="0"/>
          <w:numId w:val="3"/>
        </w:numPr>
        <w:spacing w:after="60" w:line="270"/>
      </w:pPr>
      <w:r>
        <w:t xml:space="preserve"/>
      </w:r>
      <w:r>
        <w:rPr>
          <w:b/>
          <w:bCs/>
        </w:rPr>
        <w:t xml:space="preserve">Relojes de plazas</w:t>
      </w:r>
      <w:r>
        <w:t xml:space="preserve"> con estado ABIERTO/CERRADO, </w:t>
      </w:r>
      <w:r>
        <w:rPr>
          <w:b/>
          <w:bCs/>
        </w:rPr>
        <w:t xml:space="preserve">top movers</w:t>
      </w:r>
      <w:r>
        <w:t xml:space="preserve"> y </w:t>
      </w:r>
      <w:r>
        <w:rPr>
          <w:b/>
          <w:bCs/>
        </w:rPr>
        <w:t xml:space="preserve">treemap</w:t>
      </w:r>
      <w:r>
        <w:t xml:space="preserve"> mundial por variación.</w:t>
      </w:r>
    </w:p>
    <w:p>
      <w:pPr>
        <w:pStyle w:val="Heading3"/>
      </w:pPr>
      <w:r>
        <w:t xml:space="preserve">Teoría — el ciclo económico y la rotación de activos</w:t>
      </w:r>
    </w:p>
    <w:p>
      <w:pPr>
        <w:spacing w:after="120" w:line="276"/>
      </w:pPr>
      <w:r>
        <w:t xml:space="preserve">El precio de los activos no se mueve en el vacío: responde al </w:t>
      </w:r>
      <w:r>
        <w:rPr>
          <w:b/>
          <w:bCs/>
        </w:rPr>
        <w:t xml:space="preserve">ciclo económico</w:t>
      </w:r>
      <w:r>
        <w:t xml:space="preserve">, que alterna cuatro fases — </w:t>
      </w:r>
      <w:r>
        <w:rPr>
          <w:b/>
          <w:bCs/>
        </w:rPr>
        <w:t xml:space="preserve">expansión</w:t>
      </w:r>
      <w:r>
        <w:t xml:space="preserve"> (crece producción, empleo, consumo), </w:t>
      </w:r>
      <w:r>
        <w:rPr>
          <w:b/>
          <w:bCs/>
        </w:rPr>
        <w:t xml:space="preserve">pico</w:t>
      </w:r>
      <w:r>
        <w:t xml:space="preserve"> (máximo, posibles presiones inflacionarias y suba de tasas), </w:t>
      </w:r>
      <w:r>
        <w:rPr>
          <w:b/>
          <w:bCs/>
        </w:rPr>
        <w:t xml:space="preserve">contracción/recesión</w:t>
      </w:r>
      <w:r>
        <w:t xml:space="preserve"> (cae actividad y empleo) y </w:t>
      </w:r>
      <w:r>
        <w:rPr>
          <w:b/>
          <w:bCs/>
        </w:rPr>
        <w:t xml:space="preserve">valle</w:t>
      </w:r>
      <w:r>
        <w:t xml:space="preserve"> (mínimo, inicio de recuperación).</w:t>
      </w:r>
    </w:p>
    <w:p>
      <w:pPr>
        <w:spacing w:after="120" w:line="276"/>
      </w:pPr>
      <w:r>
        <w:t xml:space="preserve">Distintas clases de activos rinden distinto en cada fase: las </w:t>
      </w:r>
      <w:r>
        <w:rPr>
          <w:b/>
          <w:bCs/>
        </w:rPr>
        <w:t xml:space="preserve">acciones</w:t>
      </w:r>
      <w:r>
        <w:t xml:space="preserve"> lideran en la expansión temprana, los </w:t>
      </w:r>
      <w:r>
        <w:rPr>
          <w:b/>
          <w:bCs/>
        </w:rPr>
        <w:t xml:space="preserve">bonos</w:t>
      </w:r>
      <w:r>
        <w:t xml:space="preserve"> anticipan recesiones cuando bajan las tasas, y el </w:t>
      </w:r>
      <w:r>
        <w:rPr>
          <w:b/>
          <w:bCs/>
        </w:rPr>
        <w:t xml:space="preserve">oro</w:t>
      </w:r>
      <w:r>
        <w:t xml:space="preserve"> actúa como refugio en estrés y alta inflación. Leer el tablero GLOBAL es, en el fondo, leer en qué punto del ciclo está el mundo.</w:t>
      </w:r>
    </w:p>
    <w:p>
      <w:pPr>
        <w:pStyle w:val="Heading3"/>
      </w:pPr>
      <w:r>
        <w:t xml:space="preserve">Teoría — el CCL implícito</w:t>
      </w:r>
    </w:p>
    <w:p>
      <w:pPr>
        <w:spacing w:after="120" w:line="276"/>
      </w:pPr>
      <w:r>
        <w:t xml:space="preserve">El </w:t>
      </w:r>
      <w:r>
        <w:rPr>
          <w:b/>
          <w:bCs/>
        </w:rPr>
        <w:t xml:space="preserve">Contado con Liquidación (CCL)</w:t>
      </w:r>
      <w:r>
        <w:t xml:space="preserve"> surge de comprar un activo en pesos y venderlo en dólares en el exterior. El tablero lo estima por paridad de un ADR:</w:t>
      </w:r>
    </w:p>
    <w:p>
      <w:pPr>
        <w:shd w:fill="EFE9DC" w:val="clear"/>
        <w:spacing w:after="120" w:before="60"/>
        <w:jc w:val="center"/>
      </w:pPr>
      <w:r>
        <w:rPr>
          <w:rFonts w:ascii="Consolas" w:cs="Consolas" w:eastAsia="Consolas" w:hAnsi="Consolas"/>
          <w:color w:val="1F3A5F"/>
          <w:sz w:val="22"/>
          <w:szCs w:val="22"/>
        </w:rPr>
        <w:t xml:space="preserve">CCL ≈ (Precio local en ARS × ratio) / Precio del ADR en USD</w:t>
      </w:r>
    </w:p>
    <w:p>
      <w:pPr>
        <w:spacing w:after="120" w:line="276"/>
      </w:pPr>
      <w:r>
        <w:t xml:space="preserve">La </w:t>
      </w:r>
      <w:r>
        <w:rPr>
          <w:b/>
          <w:bCs/>
        </w:rPr>
        <w:t xml:space="preserve">brecha</w:t>
      </w:r>
      <w:r>
        <w:t xml:space="preserve"> es la diferencia porcentual entre el CCL y el dólar oficial: termómetro clásico del estrés cambiario argentino.</w:t>
      </w:r>
    </w:p>
    <w:p>
      <w:pPr>
        <w:pStyle w:val="Heading1"/>
      </w:pPr>
      <w:r>
        <w:t xml:space="preserve">6. MARKET — Cotizaciones y performance relativa</w:t>
      </w:r>
    </w:p>
    <w:p>
      <w:pPr>
        <w:pStyle w:val="ListParagraph"/>
        <w:numPr>
          <w:ilvl w:val="0"/>
          <w:numId w:val="3"/>
        </w:numPr>
        <w:spacing w:after="60" w:line="270"/>
      </w:pPr>
      <w:r>
        <w:t xml:space="preserve"/>
      </w:r>
      <w:r>
        <w:rPr>
          <w:b/>
          <w:bCs/>
        </w:rPr>
        <w:t xml:space="preserve">Quotes:</w:t>
      </w:r>
      <w:r>
        <w:t xml:space="preserve"> tabla con último, variación %, apertura, máx/mín, volumen y capitalización.</w:t>
      </w:r>
    </w:p>
    <w:p>
      <w:pPr>
        <w:pStyle w:val="ListParagraph"/>
        <w:numPr>
          <w:ilvl w:val="0"/>
          <w:numId w:val="3"/>
        </w:numPr>
        <w:spacing w:after="60" w:line="270"/>
      </w:pPr>
      <w:r>
        <w:t xml:space="preserve"/>
      </w:r>
      <w:r>
        <w:rPr>
          <w:b/>
          <w:bCs/>
        </w:rPr>
        <w:t xml:space="preserve">Comparative performance (base 100):</w:t>
      </w:r>
      <w:r>
        <w:t xml:space="preserve"> todas las series llevadas a 100 al inicio. Permite comparar rendimiento relativo sin que la escala de precios distorsione (una acción de $1000 y una de $10 se comparan en igualdad).</w:t>
      </w:r>
    </w:p>
    <w:p>
      <w:pPr>
        <w:pStyle w:val="ListParagraph"/>
        <w:numPr>
          <w:ilvl w:val="0"/>
          <w:numId w:val="3"/>
        </w:numPr>
        <w:spacing w:after="60" w:line="270"/>
      </w:pPr>
      <w:r>
        <w:t xml:space="preserve"/>
      </w:r>
      <w:r>
        <w:rPr>
          <w:b/>
          <w:bCs/>
        </w:rPr>
        <w:t xml:space="preserve">Daily heatmap:</w:t>
      </w:r>
      <w:r>
        <w:t xml:space="preserve"> barras de variación % del día, verde si sube, rojo si baja.</w:t>
      </w:r>
    </w:p>
    <w:p>
      <w:pPr>
        <w:pStyle w:val="Heading1"/>
      </w:pPr>
      <w:r>
        <w:t xml:space="preserve">7. TECHNICAL — Análisis técnico (Clase 2)</w:t>
      </w:r>
    </w:p>
    <w:p>
      <w:pPr>
        <w:spacing w:after="120" w:line="276"/>
      </w:pPr>
      <w:r>
        <w:t xml:space="preserve">Aplica al activo primario los </w:t>
      </w:r>
      <w:r>
        <w:rPr>
          <w:b/>
          <w:bCs/>
        </w:rPr>
        <w:t xml:space="preserve">14 indicadores</w:t>
      </w:r>
      <w:r>
        <w:t xml:space="preserve"> del curso. Se elige el indicador y se ajustan sus parámetros; el gráfico se dibuja sobre velas (overlay) o en un panel inferior (oscilador).</w:t>
      </w:r>
    </w:p>
    <w:p>
      <w:pPr>
        <w:pStyle w:val="Heading2"/>
      </w:pPr>
      <w:r>
        <w:t xml:space="preserve">7.1 Las tres premisas</w:t>
      </w:r>
    </w:p>
    <w:p>
      <w:pPr>
        <w:spacing w:after="120" w:line="276"/>
      </w:pPr>
      <w:r>
        <w:t xml:space="preserve">El análisis técnico no predice el futuro: ofrece una </w:t>
      </w:r>
      <w:r>
        <w:rPr>
          <w:b/>
          <w:bCs/>
        </w:rPr>
        <w:t xml:space="preserve">evaluación probabilística</w:t>
      </w:r>
      <w:r>
        <w:t xml:space="preserve"> basada en el pasado. Descansa en tres premisas:</w:t>
      </w:r>
    </w:p>
    <w:p>
      <w:pPr>
        <w:pStyle w:val="ListParagraph"/>
        <w:numPr>
          <w:ilvl w:val="0"/>
          <w:numId w:val="4"/>
        </w:numPr>
        <w:spacing w:after="60" w:line="270"/>
      </w:pPr>
      <w:r>
        <w:t xml:space="preserve"/>
      </w:r>
      <w:r>
        <w:rPr>
          <w:b/>
          <w:bCs/>
        </w:rPr>
        <w:t xml:space="preserve">El precio descuenta todo:</w:t>
      </w:r>
      <w:r>
        <w:t xml:space="preserve"> refleja toda la información pública y privada disponible.</w:t>
      </w:r>
    </w:p>
    <w:p>
      <w:pPr>
        <w:pStyle w:val="ListParagraph"/>
        <w:numPr>
          <w:ilvl w:val="0"/>
          <w:numId w:val="4"/>
        </w:numPr>
        <w:spacing w:after="60" w:line="270"/>
      </w:pPr>
      <w:r>
        <w:t xml:space="preserve"/>
      </w:r>
      <w:r>
        <w:rPr>
          <w:b/>
          <w:bCs/>
        </w:rPr>
        <w:t xml:space="preserve">El precio se mueve en tendencias:</w:t>
      </w:r>
      <w:r>
        <w:t xml:space="preserve"> alcistas, bajistas o laterales — no es puro azar.</w:t>
      </w:r>
    </w:p>
    <w:p>
      <w:pPr>
        <w:pStyle w:val="ListParagraph"/>
        <w:numPr>
          <w:ilvl w:val="0"/>
          <w:numId w:val="4"/>
        </w:numPr>
        <w:spacing w:after="60" w:line="270"/>
      </w:pPr>
      <w:r>
        <w:t xml:space="preserve"/>
      </w:r>
      <w:r>
        <w:rPr>
          <w:b/>
          <w:bCs/>
        </w:rPr>
        <w:t xml:space="preserve">La historia se repite:</w:t>
      </w:r>
      <w:r>
        <w:t xml:space="preserve"> los patrones se repiten por la psicología de los participantes.</w:t>
      </w:r>
    </w:p>
    <w:p>
      <w:pPr>
        <w:pStyle w:val="Heading2"/>
      </w:pPr>
      <w:r>
        <w:t xml:space="preserve">7.2 Velas japonesas</w:t>
      </w:r>
    </w:p>
    <w:p>
      <w:pPr>
        <w:spacing w:after="120" w:line="276"/>
      </w:pPr>
      <w:r>
        <w:t xml:space="preserve">Cada vela codifica un período: el </w:t>
      </w:r>
      <w:r>
        <w:rPr>
          <w:b/>
          <w:bCs/>
        </w:rPr>
        <w:t xml:space="preserve">cuerpo real</w:t>
      </w:r>
      <w:r>
        <w:t xml:space="preserve"> marca apertura y cierre; las </w:t>
      </w:r>
      <w:r>
        <w:rPr>
          <w:b/>
          <w:bCs/>
        </w:rPr>
        <w:t xml:space="preserve">mechas</w:t>
      </w:r>
      <w:r>
        <w:t xml:space="preserve"> (sombras) marcan máximo y mínimo. Color alcista si cierre &gt; apertura, bajista si cierre &lt; apertura. Sus combinaciones forman señales de reversión o continuación: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460"/>
      </w:tblGrid>
      <w:tr>
        <w:trPr>
          <w:tblHeader/>
        </w:trPr>
        <w:tc>
          <w:tcPr>
            <w:tcW w:type="dxa" w:w="24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Patrón</w:t>
            </w:r>
          </w:p>
        </w:tc>
        <w:tc>
          <w:tcPr>
            <w:tcW w:type="dxa" w:w="15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Tipo</w:t>
            </w:r>
          </w:p>
        </w:tc>
        <w:tc>
          <w:tcPr>
            <w:tcW w:type="dxa" w:w="54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Lectura</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Hammer / Hanging Man</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Reversión</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Cuerpo chico + mecha inferior larga. Martillo al final de baja (alcista); colgado al final de suba (bajista).</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Doji</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Indecisión</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Apertura ≈ cierre. Equilibrio total; suele anteceder reversión.</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Engulfing (alcista/bajista)</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Reversión</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Una vela envuelve por completo a la anterior. Cuanto más grande, más fiable.</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Morning / Evening Star</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Reversión</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Tres velas con estrella (gap) en el medio. Morning = piso, Evening = techo.</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Marubozu</w:t>
            </w:r>
          </w:p>
        </w:tc>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Cuerpo grande sin mechas. Fuerza compradora (blanco) o vendedora (negro) extrema.</w:t>
            </w:r>
          </w:p>
        </w:tc>
      </w:tr>
    </w:tbl>
    <w:p>
      <w:pPr>
        <w:pStyle w:val="Heading2"/>
      </w:pPr>
      <w:r>
        <w:t xml:space="preserve">7.3 Tendencias, soportes, Fibonacci y Elliott</w:t>
      </w:r>
    </w:p>
    <w:p>
      <w:pPr>
        <w:spacing w:after="120" w:line="276"/>
      </w:pPr>
      <w:r>
        <w:t xml:space="preserve">Una </w:t>
      </w:r>
      <w:r>
        <w:rPr>
          <w:b/>
          <w:bCs/>
        </w:rPr>
        <w:t xml:space="preserve">línea de tendencia</w:t>
      </w:r>
      <w:r>
        <w:t xml:space="preserve"> une máximos o mínimos; cuanto más se testea un nivel sin romperlo, más significativo. Un </w:t>
      </w:r>
      <w:r>
        <w:rPr>
          <w:b/>
          <w:bCs/>
        </w:rPr>
        <w:t xml:space="preserve">soporte</w:t>
      </w:r>
      <w:r>
        <w:t xml:space="preserve"> es donde la compra frena la caída; una </w:t>
      </w:r>
      <w:r>
        <w:rPr>
          <w:b/>
          <w:bCs/>
        </w:rPr>
        <w:t xml:space="preserve">resistencia</w:t>
      </w:r>
      <w:r>
        <w:t xml:space="preserve">, donde la venta frena la suba. Al romperse, suelen invertir roles (cambio de polaridad).</w:t>
      </w:r>
    </w:p>
    <w:p>
      <w:pPr>
        <w:spacing w:after="120" w:line="276"/>
      </w:pPr>
      <w:r>
        <w:t xml:space="preserve">Los </w:t>
      </w:r>
      <w:r>
        <w:rPr>
          <w:b/>
          <w:bCs/>
        </w:rPr>
        <w:t xml:space="preserve">retrocesos de Fibonacci</w:t>
      </w:r>
      <w:r>
        <w:t xml:space="preserve"> (23,6% · 38,2% · 50% · 61,8% · 76,4%) marcan niveles donde una corrección suele frenar, derivados de la proporción áurea (1,618).</w:t>
      </w:r>
    </w:p>
    <w:p>
      <w:pPr>
        <w:spacing w:after="120" w:line="276"/>
      </w:pPr>
      <w:r>
        <w:t xml:space="preserve">La </w:t>
      </w:r>
      <w:r>
        <w:rPr>
          <w:b/>
          <w:bCs/>
        </w:rPr>
        <w:t xml:space="preserve">Teoría de Ondas de Elliott</w:t>
      </w:r>
      <w:r>
        <w:t xml:space="preserve"> (R.N. Elliott, 1930s) describe el mercado como una estructura fractal: un ciclo completo son </w:t>
      </w:r>
      <w:r>
        <w:rPr>
          <w:b/>
          <w:bCs/>
        </w:rPr>
        <w:t xml:space="preserve">5 ondas de impulso</w:t>
      </w:r>
      <w:r>
        <w:t xml:space="preserve"> (1-2-3-4-5) seguidas de </w:t>
      </w:r>
      <w:r>
        <w:rPr>
          <w:b/>
          <w:bCs/>
        </w:rPr>
        <w:t xml:space="preserve">3 correctivas</w:t>
      </w:r>
      <w:r>
        <w:t xml:space="preserve"> (A-B-C). El tablero detecta los pivotes y los etiqueta automáticamente, validando las tres reglas inviolables:</w:t>
      </w:r>
    </w:p>
    <w:p>
      <w:pPr>
        <w:pStyle w:val="ListParagraph"/>
        <w:numPr>
          <w:ilvl w:val="0"/>
          <w:numId w:val="5"/>
        </w:numPr>
        <w:spacing w:after="60" w:line="270"/>
      </w:pPr>
      <w:r>
        <w:t xml:space="preserve">La </w:t>
      </w:r>
      <w:r>
        <w:rPr>
          <w:b/>
          <w:bCs/>
        </w:rPr>
        <w:t xml:space="preserve">onda 2</w:t>
      </w:r>
      <w:r>
        <w:t xml:space="preserve"> nunca retrocede el 100% de la onda 1.</w:t>
      </w:r>
    </w:p>
    <w:p>
      <w:pPr>
        <w:pStyle w:val="ListParagraph"/>
        <w:numPr>
          <w:ilvl w:val="0"/>
          <w:numId w:val="5"/>
        </w:numPr>
        <w:spacing w:after="60" w:line="270"/>
      </w:pPr>
      <w:r>
        <w:t xml:space="preserve">La </w:t>
      </w:r>
      <w:r>
        <w:rPr>
          <w:b/>
          <w:bCs/>
        </w:rPr>
        <w:t xml:space="preserve">onda 3</w:t>
      </w:r>
      <w:r>
        <w:t xml:space="preserve"> nunca es la más corta entre 1, 3 y 5 (es la de mayor convicción).</w:t>
      </w:r>
    </w:p>
    <w:p>
      <w:pPr>
        <w:pStyle w:val="ListParagraph"/>
        <w:numPr>
          <w:ilvl w:val="0"/>
          <w:numId w:val="5"/>
        </w:numPr>
        <w:spacing w:after="60" w:line="270"/>
      </w:pPr>
      <w:r>
        <w:t xml:space="preserve">La </w:t>
      </w:r>
      <w:r>
        <w:rPr>
          <w:b/>
          <w:bCs/>
        </w:rPr>
        <w:t xml:space="preserve">onda 4</w:t>
      </w:r>
      <w:r>
        <w:t xml:space="preserve"> no entra en el territorio de precios de la onda 1.</w:t>
      </w:r>
    </w:p>
    <w:p>
      <w:pPr>
        <w:pBdr>
          <w:left w:val="single" w:color="8B6F47" w:sz="18" w:space="8"/>
        </w:pBdr>
        <w:shd w:fill="FBF3E6" w:val="clear"/>
        <w:spacing w:after="120" w:before="80" w:line="270"/>
      </w:pPr>
      <w:r>
        <w:t xml:space="preserve">En el panel de Elliott, una etiqueta con sufijo “?” indica que ese pivote viola una de las tres reglas — señal de que el conteo de ondas debería replantearse.</w:t>
      </w:r>
    </w:p>
    <w:p>
      <w:pPr>
        <w:pStyle w:val="Heading2"/>
      </w:pPr>
      <w:r>
        <w:t xml:space="preserve">7.4 Patrones de precio (contexto)</w:t>
      </w:r>
    </w:p>
    <w:p>
      <w:pPr>
        <w:spacing w:after="120" w:line="276"/>
      </w:pPr>
      <w:r>
        <w:t xml:space="preserve">Aunque el tablero se centra en indicadores, el análisis técnico clásico también lee figuras: </w:t>
      </w:r>
      <w:r>
        <w:rPr>
          <w:b/>
          <w:bCs/>
        </w:rPr>
        <w:t xml:space="preserve">Hombro-Cabeza-Hombro</w:t>
      </w:r>
      <w:r>
        <w:t xml:space="preserve"> (reversión, confirma al romper la neckline), </w:t>
      </w:r>
      <w:r>
        <w:rPr>
          <w:b/>
          <w:bCs/>
        </w:rPr>
        <w:t xml:space="preserve">doble/triple techo y piso</w:t>
      </w:r>
      <w:r>
        <w:t xml:space="preserve"> (M y W), </w:t>
      </w:r>
      <w:r>
        <w:rPr>
          <w:b/>
          <w:bCs/>
        </w:rPr>
        <w:t xml:space="preserve">triángulos</w:t>
      </w:r>
      <w:r>
        <w:t xml:space="preserve"> (ascendente=alcista, descendente=bajista, simétrico=neutro), </w:t>
      </w:r>
      <w:r>
        <w:rPr>
          <w:b/>
          <w:bCs/>
        </w:rPr>
        <w:t xml:space="preserve">cuñas</w:t>
      </w:r>
      <w:r>
        <w:t xml:space="preserve">, y patrones de continuación (banderas, banderines, rectángulos, taza con asa).</w:t>
      </w:r>
    </w:p>
    <w:p>
      <w:pPr>
        <w:pStyle w:val="Heading2"/>
      </w:pPr>
      <w:r>
        <w:t xml:space="preserve">7.5 Las cuatro familias de indicadores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rPr>
          <w:tblHeader/>
        </w:trPr>
        <w:tc>
          <w:tcPr>
            <w:tcW w:type="dxa" w:w="1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Familia</w:t>
            </w:r>
          </w:p>
        </w:tc>
        <w:tc>
          <w:tcPr>
            <w:tcW w:type="dxa" w:w="34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Qué hacen</w:t>
            </w:r>
          </w:p>
        </w:tc>
        <w:tc>
          <w:tcPr>
            <w:tcW w:type="dxa" w:w="42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Indicadores en el tablero</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Tendencia</w:t>
            </w:r>
          </w:p>
        </w:tc>
        <w:tc>
          <w:tcPr>
            <w:tcW w:type="dxa" w:w="3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Identifican dirección y filtran ruido</w:t>
            </w:r>
          </w:p>
        </w:tc>
        <w:tc>
          <w:tcPr>
            <w:tcW w:type="dxa" w:w="42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Medias móviles, MACD, Bollinger, Keltner, Auto-Regresión</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3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Miden velocidad/fuerza del cambio</w:t>
            </w:r>
          </w:p>
        </w:tc>
        <w:tc>
          <w:tcPr>
            <w:tcW w:type="dxa" w:w="42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RSI, Estocástico, Momentum, CCI</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w:t>
            </w:r>
          </w:p>
        </w:tc>
        <w:tc>
          <w:tcPr>
            <w:tcW w:type="dxa" w:w="3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Confirman con el flujo de dinero</w:t>
            </w:r>
          </w:p>
        </w:tc>
        <w:tc>
          <w:tcPr>
            <w:tcW w:type="dxa" w:w="42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OBV, Money Flow Index, OAD (acumulación)</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 / otros</w:t>
            </w:r>
          </w:p>
        </w:tc>
        <w:tc>
          <w:tcPr>
            <w:tcW w:type="dxa" w:w="3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Cuantifican rango y persistencia</w:t>
            </w:r>
          </w:p>
        </w:tc>
        <w:tc>
          <w:tcPr>
            <w:tcW w:type="dxa" w:w="42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Bollinger, Keltner, Hurst</w:t>
            </w:r>
          </w:p>
        </w:tc>
      </w:tr>
    </w:tbl>
    <w:p>
      <w:pPr>
        <w:pStyle w:val="Heading2"/>
      </w:pPr>
      <w:r>
        <w:t xml:space="preserve">7.6 Divergencias</w:t>
      </w:r>
    </w:p>
    <w:p>
      <w:pPr>
        <w:spacing w:after="120" w:line="276"/>
      </w:pPr>
      <w:r>
        <w:t xml:space="preserve">Una </w:t>
      </w:r>
      <w:r>
        <w:rPr>
          <w:b/>
          <w:bCs/>
        </w:rPr>
        <w:t xml:space="preserve">divergencia</w:t>
      </w:r>
      <w:r>
        <w:t xml:space="preserve"> ocurre cuando el precio hace un nuevo máximo (o mínimo) pero el indicador no lo acompaña. Es una señal anticipada de agotamiento: divergencia </w:t>
      </w:r>
      <w:r>
        <w:rPr>
          <w:b/>
          <w:bCs/>
        </w:rPr>
        <w:t xml:space="preserve">bajista</w:t>
      </w:r>
      <w:r>
        <w:t xml:space="preserve"> = precio sube pero el oscilador baja; </w:t>
      </w:r>
      <w:r>
        <w:rPr>
          <w:b/>
          <w:bCs/>
        </w:rPr>
        <w:t xml:space="preserve">alcista</w:t>
      </w:r>
      <w:r>
        <w:t xml:space="preserve"> = precio baja pero el oscilador sube. Se buscan sobre todo en RSI, MACD, Estocástico y OBV/MFI.</w:t>
      </w:r>
    </w:p>
    <w:p>
      <w:pPr>
        <w:pStyle w:val="Heading2"/>
      </w:pPr>
      <w:r>
        <w:t xml:space="preserve">7.7 Los 14 indicadores en detalle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450"/>
        <w:gridCol w:w="5560"/>
      </w:tblGrid>
      <w:tr>
        <w:trPr>
          <w:tblHeader/>
        </w:trPr>
        <w:tc>
          <w:tcPr>
            <w:tcW w:type="dxa" w:w="235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Indicador (autor)</w:t>
            </w:r>
          </w:p>
        </w:tc>
        <w:tc>
          <w:tcPr>
            <w:tcW w:type="dxa" w:w="145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Tipo</w:t>
            </w:r>
          </w:p>
        </w:tc>
        <w:tc>
          <w:tcPr>
            <w:tcW w:type="dxa" w:w="55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Qué mide / cómo se lee</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Bollinger (J. Bollinger)</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Media móvil ± 2σ. El precio cae dentro de las bandas ~95% del tiempo. Bandas estrechas (squeeze) preceden movimientos fuertes.</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Keltner (C. Keltner)</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Bandas sobre el precio medio (H+L+C)/3 usando el rango. Reversión a la media; ruptura = impulso.</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RSI (W. Wilder)</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Fuerza relativa 0–100. &gt;70 sobrecompra, &lt;30 sobreventa. Suavizado de Wilder, ventana 14.</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MACD (G. Appel)</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Tendencia</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EMA12 − EMA26 + señal (EMA9) + histograma. Cruces = cambios de momentum.</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CCI (D. Lambert)</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Desvío del precio típico vs su media, normalizado por 0,015. ±100 marcan extremos.</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Estocástico (G. Lane)</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Posición del cierre en el rango reciente. %K y %D; 80/20 = sobrecompra/sobreventa.</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Money Flow Index</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RSI ponderado por volumen. Detecta presión compradora/vendedora.</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OBV (J. Granville)</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 acumulado con signo. Anticipa giros vía divergencias.</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Aroon (T. Chande)</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Tendencia</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Cuán reciente fue el máx/mín. Mide fuerza y dirección. &gt;70 = tendencia fuerte.</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OAD (L. Williams)</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Volumen</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Acumulación/distribución: dónde cerró dentro del rango. 100 = cierre en máx; 0 = en mín.</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Precio actual − precio de N días atrás. Velocidad del movimiento.</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Hurst (H. Hurst)</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Exponente H. &gt;0,5 persistente (tendencia); &lt;0,5 anti-persistente (reversión); ≈0,5 random walk.</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Auto-Regresión</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Tendencia</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Recta de regresión ± 2σ. Canal estadístico; ~95% de cierres dentro. Mejor en plazos largos.</w:t>
            </w:r>
          </w:p>
        </w:tc>
      </w:tr>
      <w:tr>
        <w:trPr>
          <w:tblHeader w:val="false"/>
        </w:trPr>
        <w:tc>
          <w:tcPr>
            <w:tcW w:type="dxa" w:w="23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Ondas de Elliott</w:t>
            </w:r>
          </w:p>
        </w:tc>
        <w:tc>
          <w:tcPr>
            <w:tcW w:type="dxa" w:w="145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Especial</w:t>
            </w:r>
          </w:p>
        </w:tc>
        <w:tc>
          <w:tcPr>
            <w:tcW w:type="dxa" w:w="5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Detecta pivotes y los etiqueta 1-5/A-B-C, validando las 3 reglas inviolables.</w:t>
            </w:r>
          </w:p>
        </w:tc>
      </w:tr>
    </w:tbl>
    <w:p>
      <w:pPr>
        <w:pStyle w:val="Heading1"/>
      </w:pPr>
      <w:r>
        <w:t xml:space="preserve">8. FUNDAMENTAL — Estados contables y múltiplos (Clase 1)</w:t>
      </w:r>
    </w:p>
    <w:p>
      <w:pPr>
        <w:spacing w:after="120" w:line="276"/>
      </w:pPr>
      <w:r>
        <w:t xml:space="preserve">Datos contables y de valuación vía Financial Modeling Prep, con dos sub-pestañas: </w:t>
      </w:r>
      <w:r>
        <w:rPr>
          <w:b/>
          <w:bCs/>
        </w:rPr>
        <w:t xml:space="preserve">Ratios TTM</w:t>
      </w:r>
      <w:r>
        <w:t xml:space="preserve"> y </w:t>
      </w:r>
      <w:r>
        <w:rPr>
          <w:b/>
          <w:bCs/>
        </w:rPr>
        <w:t xml:space="preserve">Statements</w:t>
      </w:r>
      <w:r>
        <w:t xml:space="preserve">. Esta sección desarrolla la teoría que les da sentido.</w:t>
      </w:r>
    </w:p>
    <w:p>
      <w:pPr>
        <w:pStyle w:val="Heading2"/>
      </w:pPr>
      <w:r>
        <w:t xml:space="preserve">8.1 Renta variable vs. renta fija</w:t>
      </w:r>
    </w:p>
    <w:p>
      <w:pPr>
        <w:spacing w:after="120" w:line="276"/>
      </w:pPr>
      <w:r>
        <w:t xml:space="preserve">Comprar una acción es comprar una fracción de la empresa: das derecho a activos, ganancias y voto, pero asumís el riesgo completo. Frente a la renta fija, el perfil es opuesto: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80"/>
        <w:gridCol w:w="3280"/>
      </w:tblGrid>
      <w:tr>
        <w:trPr>
          <w:tblHeader/>
        </w:trPr>
        <w:tc>
          <w:tcPr>
            <w:tcW w:type="dxa" w:w="24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Característica</w:t>
            </w:r>
          </w:p>
        </w:tc>
        <w:tc>
          <w:tcPr>
            <w:tcW w:type="dxa" w:w="368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Renta variable</w:t>
            </w:r>
          </w:p>
        </w:tc>
        <w:tc>
          <w:tcPr>
            <w:tcW w:type="dxa" w:w="328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Renta fija</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Flujo</w:t>
            </w:r>
          </w:p>
        </w:tc>
        <w:tc>
          <w:tcPr>
            <w:tcW w:type="dxa" w:w="36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Incierto (dividendos discrecionales)</w:t>
            </w:r>
          </w:p>
        </w:tc>
        <w:tc>
          <w:tcPr>
            <w:tcW w:type="dxa" w:w="32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Predefinido (cupón conocido)</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Vencimiento</w:t>
            </w:r>
          </w:p>
        </w:tc>
        <w:tc>
          <w:tcPr>
            <w:tcW w:type="dxa" w:w="36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Sin vencimiento</w:t>
            </w:r>
          </w:p>
        </w:tc>
        <w:tc>
          <w:tcPr>
            <w:tcW w:type="dxa" w:w="32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Fecha conocida</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Upside / Downside</w:t>
            </w:r>
          </w:p>
        </w:tc>
        <w:tc>
          <w:tcPr>
            <w:tcW w:type="dxa" w:w="36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Ilimitado / hasta 100%</w:t>
            </w:r>
          </w:p>
        </w:tc>
        <w:tc>
          <w:tcPr>
            <w:tcW w:type="dxa" w:w="32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Acotado al cupón / riesgo de default</w:t>
            </w:r>
          </w:p>
        </w:tc>
      </w:tr>
      <w:tr>
        <w:trPr>
          <w:tblHeader w:val="false"/>
        </w:trPr>
        <w:tc>
          <w:tcPr>
            <w:tcW w:type="dxa" w:w="24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Jerarquía en quiebra</w:t>
            </w:r>
          </w:p>
        </w:tc>
        <w:tc>
          <w:tcPr>
            <w:tcW w:type="dxa" w:w="36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Última (residual)</w:t>
            </w:r>
          </w:p>
        </w:tc>
        <w:tc>
          <w:tcPr>
            <w:tcW w:type="dxa" w:w="328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Antes que los accionistas</w:t>
            </w:r>
          </w:p>
        </w:tc>
      </w:tr>
    </w:tbl>
    <w:p>
      <w:pPr>
        <w:pStyle w:val="Heading2"/>
      </w:pPr>
      <w:r>
        <w:t xml:space="preserve">8.2 Los tres estados contables y cómo se conectan</w:t>
      </w:r>
    </w:p>
    <w:p>
      <w:pPr>
        <w:pStyle w:val="ListParagraph"/>
        <w:numPr>
          <w:ilvl w:val="0"/>
          <w:numId w:val="3"/>
        </w:numPr>
        <w:spacing w:after="60" w:line="270"/>
      </w:pPr>
      <w:r>
        <w:t xml:space="preserve"/>
      </w:r>
      <w:r>
        <w:rPr>
          <w:b/>
          <w:bCs/>
        </w:rPr>
        <w:t xml:space="preserve">Balance (Balance Sheet):</w:t>
      </w:r>
      <w:r>
        <w:t xml:space="preserve"> foto a un momento dado. Activos = Pasivos + Patrimonio (Equity).</w:t>
      </w:r>
    </w:p>
    <w:p>
      <w:pPr>
        <w:pStyle w:val="ListParagraph"/>
        <w:numPr>
          <w:ilvl w:val="0"/>
          <w:numId w:val="3"/>
        </w:numPr>
        <w:spacing w:after="60" w:line="270"/>
      </w:pPr>
      <w:r>
        <w:t xml:space="preserve"/>
      </w:r>
      <w:r>
        <w:rPr>
          <w:b/>
          <w:bCs/>
        </w:rPr>
        <w:t xml:space="preserve">Estado de resultados (Income Statement):</w:t>
      </w:r>
      <w:r>
        <w:t xml:space="preserve"> película del período. Termina en el Net Income.</w:t>
      </w:r>
    </w:p>
    <w:p>
      <w:pPr>
        <w:pStyle w:val="ListParagraph"/>
        <w:numPr>
          <w:ilvl w:val="0"/>
          <w:numId w:val="3"/>
        </w:numPr>
        <w:spacing w:after="60" w:line="270"/>
      </w:pPr>
      <w:r>
        <w:t xml:space="preserve"/>
      </w:r>
      <w:r>
        <w:rPr>
          <w:b/>
          <w:bCs/>
        </w:rPr>
        <w:t xml:space="preserve">Flujo de caja (Cash Flow):</w:t>
      </w:r>
      <w:r>
        <w:t xml:space="preserve"> película del efectivo. ΔCash = CFO + CFI + CFF.</w:t>
      </w:r>
    </w:p>
    <w:p>
      <w:pPr>
        <w:spacing w:after="120" w:line="276"/>
      </w:pPr>
      <w:r>
        <w:t xml:space="preserve">Los tres están </w:t>
      </w:r>
      <w:r>
        <w:rPr>
          <w:b/>
          <w:bCs/>
        </w:rPr>
        <w:t xml:space="preserve">conectados</w:t>
      </w:r>
      <w:r>
        <w:t xml:space="preserve">: el Net Income del P&amp;L es la primera línea del Cash Flow; CFO+CFI+CFF modifican la línea de caja del Balance; y el Net Income menos dividendos se acumula en Retained Earnings (Equity). “Cash is king, earnings are an opinion”: una empresa puede tener Net Income positivo y aun así quebrar por falta de caja.</w:t>
      </w:r>
    </w:p>
    <w:p>
      <w:pPr>
        <w:pStyle w:val="Heading3"/>
      </w:pPr>
      <w:r>
        <w:t xml:space="preserve">La cascada del P&amp;L</w:t>
      </w:r>
    </w:p>
    <w:p>
      <w:pPr>
        <w:spacing w:after="120" w:line="276"/>
      </w:pPr>
      <w:r>
        <w:t xml:space="preserve">Cada línea explica una porción del costo. Las “tres M” que mira un Portfolio Manager son los márgenes:</w:t>
      </w:r>
    </w:p>
    <w:p>
      <w:pPr>
        <w:shd w:fill="EFE9DC" w:val="clear"/>
        <w:spacing w:after="120" w:before="60"/>
        <w:jc w:val="center"/>
      </w:pPr>
      <w:r>
        <w:rPr>
          <w:rFonts w:ascii="Consolas" w:cs="Consolas" w:eastAsia="Consolas" w:hAnsi="Consolas"/>
          <w:color w:val="1F3A5F"/>
          <w:sz w:val="22"/>
          <w:szCs w:val="22"/>
        </w:rPr>
        <w:t xml:space="preserve">Sales − COGS = Gross Profit − OpEx = EBITDA − D&amp;A = EBIT − Interés − Impuestos = Net Income</w:t>
      </w:r>
    </w:p>
    <w:p>
      <w:pPr>
        <w:pStyle w:val="ListParagraph"/>
        <w:numPr>
          <w:ilvl w:val="0"/>
          <w:numId w:val="3"/>
        </w:numPr>
        <w:spacing w:after="60" w:line="270"/>
      </w:pPr>
      <w:r>
        <w:t xml:space="preserve"/>
      </w:r>
      <w:r>
        <w:rPr>
          <w:b/>
          <w:bCs/>
        </w:rPr>
        <w:t xml:space="preserve">Margen bruto</w:t>
      </w:r>
      <w:r>
        <w:t xml:space="preserve"> (Gross Profit / Sales): ¿hay poder de pricing? SaaS 70-90%, retail 20-35%.</w:t>
      </w:r>
    </w:p>
    <w:p>
      <w:pPr>
        <w:pStyle w:val="ListParagraph"/>
        <w:numPr>
          <w:ilvl w:val="0"/>
          <w:numId w:val="3"/>
        </w:numPr>
        <w:spacing w:after="60" w:line="270"/>
      </w:pPr>
      <w:r>
        <w:t xml:space="preserve"/>
      </w:r>
      <w:r>
        <w:rPr>
          <w:b/>
          <w:bCs/>
        </w:rPr>
        <w:t xml:space="preserve">Margen EBITDA:</w:t>
      </w:r>
      <w:r>
        <w:t xml:space="preserve"> ¿estructura operativa eficiente? EBITDA aísla estructura de capital, impuestos y amortización — pero NO es cash flow (ignora CapEx y working capital).</w:t>
      </w:r>
    </w:p>
    <w:p>
      <w:pPr>
        <w:pStyle w:val="ListParagraph"/>
        <w:numPr>
          <w:ilvl w:val="0"/>
          <w:numId w:val="3"/>
        </w:numPr>
        <w:spacing w:after="60" w:line="270"/>
      </w:pPr>
      <w:r>
        <w:t xml:space="preserve"/>
      </w:r>
      <w:r>
        <w:rPr>
          <w:b/>
          <w:bCs/>
        </w:rPr>
        <w:t xml:space="preserve">Margen neto</w:t>
      </w:r>
      <w:r>
        <w:t xml:space="preserve"> (Net Income / Sales): ¿cuánto queda para el accionista?</w:t>
      </w:r>
    </w:p>
    <w:p>
      <w:pPr>
        <w:pStyle w:val="Heading2"/>
      </w:pPr>
      <w:r>
        <w:t xml:space="preserve">8.3 Múltiplos de valuación</w:t>
      </w:r>
    </w:p>
    <w:p>
      <w:pPr>
        <w:spacing w:after="120" w:line="276"/>
      </w:pPr>
      <w:r>
        <w:t xml:space="preserve">Un múltiplo estandariza el precio para comparar empresas de distinto tamaño: </w:t>
      </w:r>
      <w:r>
        <w:rPr>
          <w:b/>
          <w:bCs/>
        </w:rPr>
        <w:t xml:space="preserve">Múltiplo = Valor de mercado / Métrica fundamental</w:t>
      </w:r>
      <w:r>
        <w:t xml:space="preserve">. Lo que importa no es el precio de la acción, sino el precio relativo a lo que la empresa genera. Los del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4760"/>
      </w:tblGrid>
      <w:tr>
        <w:trPr>
          <w:tblHeader/>
        </w:trPr>
        <w:tc>
          <w:tcPr>
            <w:tcW w:type="dxa" w:w="15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Múltiplo</w:t>
            </w:r>
          </w:p>
        </w:tc>
        <w:tc>
          <w:tcPr>
            <w:tcW w:type="dxa" w:w="31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Fórmula</w:t>
            </w:r>
          </w:p>
        </w:tc>
        <w:tc>
          <w:tcPr>
            <w:tcW w:type="dxa" w:w="47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Cuándo / qué dice</w:t>
            </w:r>
          </w:p>
        </w:tc>
      </w:tr>
      <w:tr>
        <w:trPr>
          <w:tblHeader w:val="false"/>
        </w:trPr>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P/E</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Precio / EPS</w:t>
            </w:r>
          </w:p>
        </w:tc>
        <w:tc>
          <w:tcPr>
            <w:tcW w:type="dxa" w:w="47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Cuántos años de ganancias pagás. Alto = expectativas de crecimiento. No dice crecimiento, calidad ni apalancamiento.</w:t>
            </w:r>
          </w:p>
        </w:tc>
      </w:tr>
      <w:tr>
        <w:trPr>
          <w:tblHeader w:val="false"/>
        </w:trPr>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EV/EBITDA</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Enterprise Value / EBITDA</w:t>
            </w:r>
          </w:p>
        </w:tc>
        <w:tc>
          <w:tcPr>
            <w:tcW w:type="dxa" w:w="47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Comparable cross-estructura de capital (EV incluye deuda). Preferido en M&amp;A. Ignora CapEx.</w:t>
            </w:r>
          </w:p>
        </w:tc>
      </w:tr>
      <w:tr>
        <w:trPr>
          <w:tblHeader w:val="false"/>
        </w:trPr>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P/B</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Precio / Valor libro</w:t>
            </w:r>
          </w:p>
        </w:tc>
        <w:tc>
          <w:tcPr>
            <w:tcW w:type="dxa" w:w="47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Sweet spot: bancos, seguros, industriales, REITs. Inútil con intangibles dominantes (tech).</w:t>
            </w:r>
          </w:p>
        </w:tc>
      </w:tr>
      <w:tr>
        <w:trPr>
          <w:tblHeader w:val="false"/>
        </w:trPr>
        <w:tc>
          <w:tcPr>
            <w:tcW w:type="dxa" w:w="15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P/CF (P/FCF)</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Precio / Flujo de caja</w:t>
            </w:r>
          </w:p>
        </w:tc>
        <w:tc>
          <w:tcPr>
            <w:tcW w:type="dxa" w:w="47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“Los más honestos”: el cash no se manipula como los earnings.</w:t>
            </w:r>
          </w:p>
        </w:tc>
      </w:tr>
    </w:tbl>
    <w:p>
      <w:pPr>
        <w:spacing w:after="120" w:line="276"/>
      </w:pPr>
      <w:r>
        <w:t xml:space="preserve"/>
      </w:r>
      <w:r>
        <w:rPr>
          <w:b/>
          <w:bCs/>
        </w:rPr>
        <w:t xml:space="preserve">Enterprise Value (EV) = Market Cap + Deuda − Cash.</w:t>
      </w:r>
      <w:r>
        <w:t xml:space="preserve"> Se resta el cash porque el comprador lo hereda y puede usarlo para pagar la transacción.</w:t>
      </w:r>
    </w:p>
    <w:p>
      <w:pPr>
        <w:pStyle w:val="Heading3"/>
      </w:pPr>
      <w:r>
        <w:t xml:space="preserve">FCFF vs FCFE</w:t>
      </w:r>
    </w:p>
    <w:p>
      <w:pPr>
        <w:spacing w:after="120" w:line="276"/>
      </w:pPr>
      <w:r>
        <w:t xml:space="preserve">El flujo de caja libre es el insumo del DCF (valuación por descuento de flujos). Hay dos versiones según a quién pertenece el cash:</w:t>
      </w:r>
    </w:p>
    <w:p>
      <w:pPr>
        <w:pStyle w:val="ListParagraph"/>
        <w:numPr>
          <w:ilvl w:val="0"/>
          <w:numId w:val="3"/>
        </w:numPr>
        <w:spacing w:after="60" w:line="270"/>
      </w:pPr>
      <w:r>
        <w:t xml:space="preserve"/>
      </w:r>
      <w:r>
        <w:rPr>
          <w:b/>
          <w:bCs/>
        </w:rPr>
        <w:t xml:space="preserve">FCFF (to Firm):</w:t>
      </w:r>
      <w:r>
        <w:t xml:space="preserve"> cash para TODOS los proveedores de capital (acreedores + accionistas). Parte de EBIT×(1−t)=NOPAT. Se descuenta a WACC y da el Enterprise Value.</w:t>
      </w:r>
    </w:p>
    <w:p>
      <w:pPr>
        <w:pStyle w:val="ListParagraph"/>
        <w:numPr>
          <w:ilvl w:val="0"/>
          <w:numId w:val="3"/>
        </w:numPr>
        <w:spacing w:after="60" w:line="270"/>
      </w:pPr>
      <w:r>
        <w:t xml:space="preserve"/>
      </w:r>
      <w:r>
        <w:rPr>
          <w:b/>
          <w:bCs/>
        </w:rPr>
        <w:t xml:space="preserve">FCFE (to Equity):</w:t>
      </w:r>
      <w:r>
        <w:t xml:space="preserve"> cash solo para accionistas (post-deuda). Parte del Net Income. Se descuenta a Ke (cost of equity) y da directamente el Equity Value.</w:t>
      </w:r>
    </w:p>
    <w:p>
      <w:pPr>
        <w:shd w:fill="EFE9DC" w:val="clear"/>
        <w:spacing w:after="120" w:before="60"/>
        <w:jc w:val="center"/>
      </w:pPr>
      <w:r>
        <w:rPr>
          <w:rFonts w:ascii="Consolas" w:cs="Consolas" w:eastAsia="Consolas" w:hAnsi="Consolas"/>
          <w:color w:val="1F3A5F"/>
          <w:sz w:val="22"/>
          <w:szCs w:val="22"/>
        </w:rPr>
        <w:t xml:space="preserve">EV (vía FCFF) − Net Debt = Equity Value (vía FCFE)</w:t>
      </w:r>
    </w:p>
    <w:p>
      <w:pPr>
        <w:pStyle w:val="Heading2"/>
      </w:pPr>
      <w:r>
        <w:t xml:space="preserve">8.4 Free float, forward vs trailing y límites</w:t>
      </w:r>
    </w:p>
    <w:p>
      <w:pPr>
        <w:pStyle w:val="ListParagraph"/>
        <w:numPr>
          <w:ilvl w:val="0"/>
          <w:numId w:val="3"/>
        </w:numPr>
        <w:spacing w:after="60" w:line="270"/>
      </w:pPr>
      <w:r>
        <w:t xml:space="preserve"/>
      </w:r>
      <w:r>
        <w:rPr>
          <w:b/>
          <w:bCs/>
        </w:rPr>
        <w:t xml:space="preserve">Free float:</w:t>
      </w:r>
      <w:r>
        <w:t xml:space="preserve"> acciones disponibles para negociar (excluye control). Más free float = más liquidez y menos volatilidad; los índices exigen un mínimo.</w:t>
      </w:r>
    </w:p>
    <w:p>
      <w:pPr>
        <w:pStyle w:val="ListParagraph"/>
        <w:numPr>
          <w:ilvl w:val="0"/>
          <w:numId w:val="3"/>
        </w:numPr>
        <w:spacing w:after="60" w:line="270"/>
      </w:pPr>
      <w:r>
        <w:t xml:space="preserve"/>
      </w:r>
      <w:r>
        <w:rPr>
          <w:b/>
          <w:bCs/>
        </w:rPr>
        <w:t xml:space="preserve">Trailing (TTM):</w:t>
      </w:r>
      <w:r>
        <w:t xml:space="preserve"> últimos 12 meses reportados (auditado, mira al pasado). </w:t>
      </w:r>
      <w:r>
        <w:rPr>
          <w:b/>
          <w:bCs/>
        </w:rPr>
        <w:t xml:space="preserve">Forward (NTM):</w:t>
      </w:r>
      <w:r>
        <w:t xml:space="preserve"> próximos 12 meses según analistas (expectativas, pero se equivocan). El </w:t>
      </w:r>
      <w:r>
        <w:rPr>
          <w:b/>
          <w:bCs/>
        </w:rPr>
        <w:t xml:space="preserve">spread</w:t>
      </w:r>
      <w:r>
        <w:t xml:space="preserve"> entre ambos dice mucho: si Forward &gt; Trailing, el mercado espera caída de earnings — la señal de </w:t>
      </w:r>
      <w:r>
        <w:rPr>
          <w:b/>
          <w:bCs/>
        </w:rPr>
        <w:t xml:space="preserve">value trap</w:t>
      </w:r>
      <w:r>
        <w:t xml:space="preserve"> más común.</w:t>
      </w:r>
    </w:p>
    <w:p>
      <w:pPr>
        <w:pBdr>
          <w:left w:val="single" w:color="8B6F47" w:sz="18" w:space="8"/>
        </w:pBdr>
        <w:shd w:fill="FBF3E6" w:val="clear"/>
        <w:spacing w:after="120" w:before="80" w:line="270"/>
      </w:pPr>
      <w:r>
        <w:t xml:space="preserve"/>
      </w:r>
      <w:r>
        <w:rPr>
          <w:b/>
          <w:bCs/>
        </w:rPr>
        <w:t xml:space="preserve">Lo que los múltiplos NO te dicen:</w:t>
      </w:r>
      <w:r>
        <w:t xml:space="preserve"> calidad del management, ciclo del negocio, calidad de los earnings (one-offs), ni estructura de capital. Solo tienen sentido comparados entre peers reales del mismo sector.</w:t>
      </w:r>
    </w:p>
    <w:p>
      <w:pPr>
        <w:pStyle w:val="Heading1"/>
      </w:pPr>
      <w:r>
        <w:t xml:space="preserve">9. THEORY — Teoría de portfolio (Clase 3)</w:t>
      </w:r>
    </w:p>
    <w:p>
      <w:pPr>
        <w:spacing w:after="120" w:line="276"/>
      </w:pPr>
      <w:r>
        <w:t xml:space="preserve">El corazón cuantitativo de Markowitz y Sharpe, aplicado a la watchlist. Reúne tres miradas complementarias: </w:t>
      </w:r>
      <w:r>
        <w:rPr>
          <w:b/>
          <w:bCs/>
        </w:rPr>
        <w:t xml:space="preserve">Markowitz</w:t>
      </w:r>
      <w:r>
        <w:t xml:space="preserve"> construye la cartera óptima, </w:t>
      </w:r>
      <w:r>
        <w:rPr>
          <w:b/>
          <w:bCs/>
        </w:rPr>
        <w:t xml:space="preserve">CAPM</w:t>
      </w:r>
      <w:r>
        <w:t xml:space="preserve"> valora un activo individual, y la </w:t>
      </w:r>
      <w:r>
        <w:rPr>
          <w:b/>
          <w:bCs/>
        </w:rPr>
        <w:t xml:space="preserve">CML</w:t>
      </w:r>
      <w:r>
        <w:t xml:space="preserve"> elige la mejor cartera con un activo libre de riesgo.</w:t>
      </w:r>
    </w:p>
    <w:p>
      <w:pPr>
        <w:pStyle w:val="Heading2"/>
      </w:pPr>
      <w:r>
        <w:t xml:space="preserve">9.1 Matriz de covarianzas y correlaciones</w:t>
      </w:r>
    </w:p>
    <w:p>
      <w:pPr>
        <w:spacing w:after="120" w:line="276"/>
      </w:pPr>
      <w:r>
        <w:t xml:space="preserve">La </w:t>
      </w:r>
      <w:r>
        <w:rPr>
          <w:b/>
          <w:bCs/>
        </w:rPr>
        <w:t xml:space="preserve">matriz Σ</w:t>
      </w:r>
      <w:r>
        <w:t xml:space="preserve"> (varianzas en la diagonal, covarianzas fuera) resume cómo se mueven juntos los activos: es el insumo central de toda optimización. La </w:t>
      </w:r>
      <w:r>
        <w:rPr>
          <w:b/>
          <w:bCs/>
        </w:rPr>
        <w:t xml:space="preserve">correlación</w:t>
      </w:r>
      <w:r>
        <w:t xml:space="preserve"> la normaliza a [−1, +1]: +1 se mueven idéntico (no diversifica), −1 opuesto (diversifica), ≈0 sin relación lineal.</w:t>
      </w:r>
    </w:p>
    <w:p>
      <w:pPr>
        <w:pBdr>
          <w:left w:val="single" w:color="8B6F47" w:sz="18" w:space="8"/>
        </w:pBdr>
        <w:shd w:fill="FBF3E6" w:val="clear"/>
        <w:spacing w:after="120" w:before="80" w:line="270"/>
      </w:pPr>
      <w:r>
        <w:t xml:space="preserve"/>
      </w:r>
      <w:r>
        <w:rPr>
          <w:b/>
          <w:bCs/>
        </w:rPr>
        <w:t xml:space="preserve">Límite clave de Pearson:</w:t>
      </w:r>
      <w:r>
        <w:t xml:space="preserve"> solo captura relaciones LINEALES. Ante relaciones no lineales o cambios de régimen puede dar ≈0 aunque exista dependencia. Por eso el tablero ofrece también </w:t>
      </w:r>
      <w:r>
        <w:rPr>
          <w:b/>
          <w:bCs/>
        </w:rPr>
        <w:t xml:space="preserve">Spearman</w:t>
      </w:r>
      <w:r>
        <w:t xml:space="preserve"> (rangos) y </w:t>
      </w:r>
      <w:r>
        <w:rPr>
          <w:b/>
          <w:bCs/>
        </w:rPr>
        <w:t xml:space="preserve">Kendall</w:t>
      </w:r>
      <w:r>
        <w:t xml:space="preserve"> (concordancia).</w:t>
      </w:r>
    </w:p>
    <w:p>
      <w:pPr>
        <w:spacing w:after="120" w:line="276"/>
      </w:pPr>
      <w:r>
        <w:t xml:space="preserve">La </w:t>
      </w:r>
      <w:r>
        <w:rPr>
          <w:b/>
          <w:bCs/>
        </w:rPr>
        <w:t xml:space="preserve">distancia de Frobenius</w:t>
      </w:r>
      <w:r>
        <w:t xml:space="preserve"> ‖A−B‖_F = √(Σᵢⱼ(aᵢⱼ−bᵢⱼ)²) mide cuánto cambió la estructura de correlación entre dos períodos. Sub-pestaña </w:t>
      </w:r>
      <w:r>
        <w:rPr>
          <w:b/>
          <w:bCs/>
        </w:rPr>
        <w:t xml:space="preserve">Stability</w:t>
      </w:r>
      <w:r>
        <w:t xml:space="preserve">: un valor alto avisa que la diversificación de hoy puede no sostenerse en una crisis.</w:t>
      </w:r>
    </w:p>
    <w:p>
      <w:pPr>
        <w:pStyle w:val="Heading2"/>
      </w:pPr>
      <w:r>
        <w:t xml:space="preserve">9.2 CAPM, beta y la prima de riesgo</w:t>
      </w:r>
    </w:p>
    <w:p>
      <w:pPr>
        <w:spacing w:after="120" w:line="276"/>
      </w:pPr>
      <w:r>
        <w:t xml:space="preserve">El </w:t>
      </w:r>
      <w:r>
        <w:rPr>
          <w:b/>
          <w:bCs/>
        </w:rPr>
        <w:t xml:space="preserve">Capital Asset Pricing Model</w:t>
      </w:r>
      <w:r>
        <w:t xml:space="preserve"> (Sharpe, 1964; Nobel 1990) estima el retorno exigido a un activo según su riesgo sistemático:</w:t>
      </w:r>
    </w:p>
    <w:p>
      <w:pPr>
        <w:shd w:fill="EFE9DC" w:val="clear"/>
        <w:spacing w:after="120" w:before="60"/>
        <w:jc w:val="center"/>
      </w:pPr>
      <w:r>
        <w:rPr>
          <w:rFonts w:ascii="Consolas" w:cs="Consolas" w:eastAsia="Consolas" w:hAnsi="Consolas"/>
          <w:color w:val="1F3A5F"/>
          <w:sz w:val="22"/>
          <w:szCs w:val="22"/>
        </w:rPr>
        <w:t xml:space="preserve">E[R] = R_f + β · (E[R_m] − R_f)</w:t>
      </w:r>
    </w:p>
    <w:p>
      <w:pPr>
        <w:pStyle w:val="ListParagraph"/>
        <w:numPr>
          <w:ilvl w:val="0"/>
          <w:numId w:val="3"/>
        </w:numPr>
        <w:spacing w:after="60" w:line="270"/>
      </w:pPr>
      <w:r>
        <w:t xml:space="preserve"/>
      </w:r>
      <w:r>
        <w:rPr>
          <w:b/>
          <w:bCs/>
        </w:rPr>
        <w:t xml:space="preserve">Riesgo sistemático:</w:t>
      </w:r>
      <w:r>
        <w:t xml:space="preserve"> el que NO se puede diversificar (tasas, inflación, ciclo, geopolítica). </w:t>
      </w:r>
      <w:r>
        <w:rPr>
          <w:b/>
          <w:bCs/>
        </w:rPr>
        <w:t xml:space="preserve">Es el único que el CAPM remunera.</w:t>
      </w:r>
      <w:r>
        <w:t xml:space="preserve"/>
      </w:r>
    </w:p>
    <w:p>
      <w:pPr>
        <w:pStyle w:val="ListParagraph"/>
        <w:numPr>
          <w:ilvl w:val="0"/>
          <w:numId w:val="3"/>
        </w:numPr>
        <w:spacing w:after="60" w:line="270"/>
      </w:pPr>
      <w:r>
        <w:t xml:space="preserve"/>
      </w:r>
      <w:r>
        <w:rPr>
          <w:b/>
          <w:bCs/>
        </w:rPr>
        <w:t xml:space="preserve">Riesgo idiosincrático:</w:t>
      </w:r>
      <w:r>
        <w:t xml:space="preserve"> específico de cada empresa (gestión, eventos sectoriales). Se diluye al diversificar — no se compensa.</w:t>
      </w:r>
    </w:p>
    <w:p>
      <w:pPr>
        <w:pStyle w:val="ListParagraph"/>
        <w:numPr>
          <w:ilvl w:val="0"/>
          <w:numId w:val="3"/>
        </w:numPr>
        <w:spacing w:after="60" w:line="270"/>
      </w:pPr>
      <w:r>
        <w:t xml:space="preserve"/>
      </w:r>
      <w:r>
        <w:rPr>
          <w:b/>
          <w:bCs/>
        </w:rPr>
        <w:t xml:space="preserve">Beta (β):</w:t>
      </w:r>
      <w:r>
        <w:t xml:space="preserve"> sensibilidad al mercado. β=1 se mueve como el mercado; β&gt;1 amplifica; β&lt;1 amortigua.</w:t>
      </w:r>
    </w:p>
    <w:p>
      <w:pPr>
        <w:pStyle w:val="ListParagraph"/>
        <w:numPr>
          <w:ilvl w:val="0"/>
          <w:numId w:val="3"/>
        </w:numPr>
        <w:spacing w:after="60" w:line="270"/>
      </w:pPr>
      <w:r>
        <w:t xml:space="preserve"/>
      </w:r>
      <w:r>
        <w:rPr>
          <w:b/>
          <w:bCs/>
        </w:rPr>
        <w:t xml:space="preserve">Alpha (α) = R_realizado − R_CAPM:</w:t>
      </w:r>
      <w:r>
        <w:t xml:space="preserve"> distancia vertical entre el punto (rendimiento real) y la recta (lo que el modelo esperaba). α&gt;0 = le ganó al modelo (verde); α&lt;0 = rindió menos de lo que su beta exigía (rojo).</w:t>
      </w:r>
    </w:p>
    <w:p>
      <w:pPr>
        <w:spacing w:after="120" w:line="276"/>
      </w:pPr>
      <w:r>
        <w:t xml:space="preserve"/>
      </w:r>
      <w:r>
        <w:rPr>
          <w:b/>
          <w:bCs/>
        </w:rPr>
        <w:t xml:space="preserve">Críticas:</w:t>
      </w:r>
      <w:r>
        <w:t xml:space="preserve"> supuestos irrealistas (mercados eficientes, sin costos ni impuestos), dependencia del beta histórico y de que todos puedan diversificar. Aun así sigue siendo el marco simple y comparable de referencia.</w:t>
      </w:r>
    </w:p>
    <w:p>
      <w:pPr>
        <w:pStyle w:val="Heading2"/>
      </w:pPr>
      <w:r>
        <w:t xml:space="preserve">9.3 Markowitz y la frontera eficiente</w:t>
      </w:r>
    </w:p>
    <w:p>
      <w:pPr>
        <w:spacing w:after="120" w:line="276"/>
      </w:pPr>
      <w:r>
        <w:t xml:space="preserve">Markowitz (1952, Nobel 1990) formalizó que </w:t>
      </w:r>
      <w:r>
        <w:rPr>
          <w:b/>
          <w:bCs/>
        </w:rPr>
        <w:t xml:space="preserve">el riesgo de una cartera no es la suma de los riesgos</w:t>
      </w:r>
      <w:r>
        <w:t xml:space="preserve">: combinar activos con correlación baja o negativa reduce el riesgo total por debajo del promedio ponderado. La </w:t>
      </w:r>
      <w:r>
        <w:rPr>
          <w:b/>
          <w:bCs/>
        </w:rPr>
        <w:t xml:space="preserve">frontera eficiente</w:t>
      </w:r>
      <w:r>
        <w:t xml:space="preserve"> es el conjunto de carteras que dan el máximo retorno para cada nivel de riesgo (o el mínimo riesgo para cada retorno). El tablero la construye de dos maneras:</w:t>
      </w:r>
    </w:p>
    <w:p>
      <w:pPr>
        <w:pStyle w:val="ListParagraph"/>
        <w:numPr>
          <w:ilvl w:val="0"/>
          <w:numId w:val="3"/>
        </w:numPr>
        <w:spacing w:after="60" w:line="270"/>
      </w:pPr>
      <w:r>
        <w:t xml:space="preserve"/>
      </w:r>
      <w:r>
        <w:rPr>
          <w:b/>
          <w:bCs/>
        </w:rPr>
        <w:t xml:space="preserve">Monte Carlo:</w:t>
      </w:r>
      <w:r>
        <w:t xml:space="preserve"> miles de carteras aleatorias graficadas en el plano riesgo-retorno.</w:t>
      </w:r>
    </w:p>
    <w:p>
      <w:pPr>
        <w:pStyle w:val="ListParagraph"/>
        <w:numPr>
          <w:ilvl w:val="0"/>
          <w:numId w:val="3"/>
        </w:numPr>
        <w:spacing w:after="60" w:line="270"/>
      </w:pPr>
      <w:r>
        <w:t xml:space="preserve"/>
      </w:r>
      <w:r>
        <w:rPr>
          <w:b/>
          <w:bCs/>
        </w:rPr>
        <w:t xml:space="preserve">Optimización (SLSQP):</w:t>
      </w:r>
      <w:r>
        <w:t xml:space="preserve"> resuelve por programación cuadrática la mínima varianza para cada retorno objetivo. Siempre iguala o supera a Monte Carlo.</w:t>
      </w:r>
    </w:p>
    <w:p>
      <w:pPr>
        <w:pStyle w:val="Heading2"/>
      </w:pPr>
      <w:r>
        <w:t xml:space="preserve">9.4 CML vs SML — la distinción clave</w:t>
      </w:r>
    </w:p>
    <w:p>
      <w:pPr>
        <w:spacing w:after="120" w:line="276"/>
      </w:pPr>
      <w:r>
        <w:t xml:space="preserve">Ambas son rectas de “rendimiento vs riesgo”, pero miden riesgos distintos en el eje horizontal. Confundirlas es el error más común: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
            </w:r>
          </w:p>
        </w:tc>
        <w:tc>
          <w:tcPr>
            <w:tcW w:type="dxa" w:w="383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CML (Mercado de Capitales)</w:t>
            </w:r>
          </w:p>
        </w:tc>
        <w:tc>
          <w:tcPr>
            <w:tcW w:type="dxa" w:w="383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SML (Mercado de Títulos)</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Eje X</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Riesgo TOTAL (σ, volatilidad)</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Riesgo SISTEMÁTICO (β)</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Qué cae sobre la recta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Solo portafolios EFICIENTES</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En equilibrio, TODOS los activos</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Fórmula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E[Rₚ]=R_f+((E[Rₘ]−R_f)/σₘ)·σₚ</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E[R]=R_f+β(E[Rₘ]−R_f)</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Pendiente</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Ratio de Sharpe del mercado</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Prima de riesgo del mercado</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Sirve para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Elegir la cartera del inversor</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Valorar cualquier activo individual</w:t>
            </w:r>
          </w:p>
        </w:tc>
      </w:tr>
    </w:tbl>
    <w:p>
      <w:pPr>
        <w:spacing w:after="120" w:line="276"/>
      </w:pPr>
      <w:r>
        <w:t xml:space="preserve">La </w:t>
      </w:r>
      <w:r>
        <w:rPr>
          <w:b/>
          <w:bCs/>
        </w:rPr>
        <w:t xml:space="preserve">cartera tangente</w:t>
      </w:r>
      <w:r>
        <w:t xml:space="preserve"> es la de máximo Sharpe: el punto donde la CML toca la frontera eficiente. Cada inversor elige un punto sobre la CML según su aversión al riesgo, combinando el activo libre de riesgo con esa cartera tangente. La </w:t>
      </w:r>
      <w:r>
        <w:rPr>
          <w:b/>
          <w:bCs/>
        </w:rPr>
        <w:t xml:space="preserve">contribución al riesgo</w:t>
      </w:r>
      <w:r>
        <w:t xml:space="preserve"> (sub-pestaña) descompone la volatilidad total en cuánto aporta cada activo — que no coincide con su peso.</w:t>
      </w:r>
    </w:p>
    <w:p>
      <w:pPr>
        <w:pStyle w:val="Heading1"/>
      </w:pPr>
      <w:r>
        <w:t xml:space="preserve">10. PORTFOLIO — Constructor de cartera</w:t>
      </w:r>
    </w:p>
    <w:p>
      <w:pPr>
        <w:spacing w:after="120" w:line="276"/>
      </w:pPr>
      <w:r>
        <w:t xml:space="preserve">Arma una cartera con la watchlist y evalúa su comportamiento histórico.</w:t>
      </w:r>
    </w:p>
    <w:p>
      <w:pPr>
        <w:pStyle w:val="ListParagraph"/>
        <w:numPr>
          <w:ilvl w:val="0"/>
          <w:numId w:val="3"/>
        </w:numPr>
        <w:spacing w:after="60" w:line="270"/>
      </w:pPr>
      <w:r>
        <w:t xml:space="preserve"/>
      </w:r>
      <w:r>
        <w:rPr>
          <w:b/>
          <w:bCs/>
        </w:rPr>
        <w:t xml:space="preserve">Weights:</w:t>
      </w:r>
      <w:r>
        <w:t xml:space="preserve"> peso (%) de cada activo; si no suman 100%, se normalizan.</w:t>
      </w:r>
    </w:p>
    <w:p>
      <w:pPr>
        <w:pStyle w:val="ListParagraph"/>
        <w:numPr>
          <w:ilvl w:val="0"/>
          <w:numId w:val="3"/>
        </w:numPr>
        <w:spacing w:after="60" w:line="270"/>
      </w:pPr>
      <w:r>
        <w:t xml:space="preserve"/>
      </w:r>
      <w:r>
        <w:rPr>
          <w:b/>
          <w:bCs/>
        </w:rPr>
        <w:t xml:space="preserve">KPIs:</w:t>
      </w:r>
      <w:r>
        <w:t xml:space="preserve"> retorno total, volatilidad anualizada, Sharpe (R_f=0) y máximo drawdown.</w:t>
      </w:r>
    </w:p>
    <w:p>
      <w:pPr>
        <w:pStyle w:val="ListParagraph"/>
        <w:numPr>
          <w:ilvl w:val="0"/>
          <w:numId w:val="3"/>
        </w:numPr>
        <w:spacing w:after="60" w:line="270"/>
      </w:pPr>
      <w:r>
        <w:t xml:space="preserve"/>
      </w:r>
      <w:r>
        <w:rPr>
          <w:b/>
          <w:bCs/>
        </w:rPr>
        <w:t xml:space="preserve">Equity curve:</w:t>
      </w:r>
      <w:r>
        <w:t xml:space="preserve"> valor acumulado vs. un benchmark equiponderado.</w:t>
      </w:r>
    </w:p>
    <w:p>
      <w:pPr>
        <w:pStyle w:val="ListParagraph"/>
        <w:numPr>
          <w:ilvl w:val="0"/>
          <w:numId w:val="3"/>
        </w:numPr>
        <w:spacing w:after="60" w:line="270"/>
      </w:pPr>
      <w:r>
        <w:t xml:space="preserve"/>
      </w:r>
      <w:r>
        <w:rPr>
          <w:b/>
          <w:bCs/>
        </w:rPr>
        <w:t xml:space="preserve">Allocation (torta)</w:t>
      </w:r>
      <w:r>
        <w:t xml:space="preserve"> y </w:t>
      </w:r>
      <w:r>
        <w:rPr>
          <w:b/>
          <w:bCs/>
        </w:rPr>
        <w:t xml:space="preserve">Correlation (heatmap)</w:t>
      </w:r>
      <w:r>
        <w:t xml:space="preserve"> entre los activos.</w:t>
      </w:r>
    </w:p>
    <w:p>
      <w:pPr>
        <w:pStyle w:val="ListParagraph"/>
        <w:numPr>
          <w:ilvl w:val="0"/>
          <w:numId w:val="3"/>
        </w:numPr>
        <w:spacing w:after="60" w:line="270"/>
      </w:pPr>
      <w:r>
        <w:t xml:space="preserve"/>
      </w:r>
      <w:r>
        <w:rPr>
          <w:b/>
          <w:bCs/>
        </w:rPr>
        <w:t xml:space="preserve">Drawdown:</w:t>
      </w:r>
      <w:r>
        <w:t xml:space="preserve"> caída desde el máximo previo — el “dolor” máximo que habría sufrido el inversor.</w:t>
      </w:r>
    </w:p>
    <w:p>
      <w:pPr>
        <w:pStyle w:val="Heading1"/>
      </w:pPr>
      <w:r>
        <w:t xml:space="preserve">11. RISK — Value at Risk y Performance Attribution (Clase 4)</w:t>
      </w:r>
    </w:p>
    <w:p>
      <w:pPr>
        <w:spacing w:after="120" w:line="276"/>
      </w:pPr>
      <w:r>
        <w:t xml:space="preserve">Si el resto del tablero pregunta “¿cuánto puedo ganar?”, esta pestaña pregunta </w:t>
      </w:r>
      <w:r>
        <w:rPr>
          <w:b/>
          <w:bCs/>
        </w:rPr>
        <w:t xml:space="preserve">“¿cuánto puedo perder?”</w:t>
      </w:r>
      <w:r>
        <w:t xml:space="preserve"> (VaR) y </w:t>
      </w:r>
      <w:r>
        <w:rPr>
          <w:b/>
          <w:bCs/>
        </w:rPr>
        <w:t xml:space="preserve">“¿por qué gané o perdí?”</w:t>
      </w:r>
      <w:r>
        <w:t xml:space="preserve"> (Performance Attribution).</w:t>
      </w:r>
    </w:p>
    <w:p>
      <w:pPr>
        <w:pStyle w:val="Heading2"/>
      </w:pPr>
      <w:r>
        <w:t xml:space="preserve">11.1 Value at Risk (VaR)</w:t>
      </w:r>
    </w:p>
    <w:p>
      <w:pPr>
        <w:spacing w:after="120" w:line="276"/>
      </w:pPr>
      <w:r>
        <w:t xml:space="preserve">El VaR estima la </w:t>
      </w:r>
      <w:r>
        <w:rPr>
          <w:b/>
          <w:bCs/>
        </w:rPr>
        <w:t xml:space="preserve">pérdida máxima esperada</w:t>
      </w:r>
      <w:r>
        <w:t xml:space="preserve"> en un horizonte y con un nivel de confianza dado. “Con 95% de confianza, no perderé más de USD X mañana.” Lo definen tres parámetros: </w:t>
      </w:r>
      <w:r>
        <w:rPr>
          <w:b/>
          <w:bCs/>
        </w:rPr>
        <w:t xml:space="preserve">α</w:t>
      </w:r>
      <w:r>
        <w:t xml:space="preserve"> (confianza, 95%/99%), </w:t>
      </w:r>
      <w:r>
        <w:rPr>
          <w:b/>
          <w:bCs/>
        </w:rPr>
        <w:t xml:space="preserve">h</w:t>
      </w:r>
      <w:r>
        <w:t xml:space="preserve"> (horizonte, 1 o 10 días) y </w:t>
      </w:r>
      <w:r>
        <w:rPr>
          <w:b/>
          <w:bCs/>
        </w:rPr>
        <w:t xml:space="preserve">$</w:t>
      </w:r>
      <w:r>
        <w:t xml:space="preserve"> (la pérdida en moneda).</w:t>
      </w:r>
    </w:p>
    <w:p>
      <w:pPr>
        <w:pStyle w:val="Heading2"/>
      </w:pPr>
      <w:r>
        <w:t xml:space="preserve">11.2 CVaR / Expected Shortfall</w:t>
      </w:r>
    </w:p>
    <w:p>
      <w:pPr>
        <w:spacing w:after="120" w:line="276"/>
      </w:pPr>
      <w:r>
        <w:t xml:space="preserve">El </w:t>
      </w:r>
      <w:r>
        <w:rPr>
          <w:b/>
          <w:bCs/>
        </w:rPr>
        <w:t xml:space="preserve">CVaR</w:t>
      </w:r>
      <w:r>
        <w:t xml:space="preserve"> (o Expected Shortfall) responde la pregunta que el VaR deja abierta: </w:t>
      </w:r>
      <w:r>
        <w:rPr>
          <w:b/>
          <w:bCs/>
        </w:rPr>
        <w:t xml:space="preserve">si se cruza el umbral, ¿cuánto se pierde en promedio?</w:t>
      </w:r>
      <w:r>
        <w:t xml:space="preserve"> Es el promedio de las pérdidas dentro de la peor cola. Siempre </w:t>
      </w:r>
      <w:r>
        <w:rPr>
          <w:b/>
          <w:bCs/>
        </w:rPr>
        <w:t xml:space="preserve">CVaR ≥ VaR</w:t>
      </w:r>
      <w:r>
        <w:t xml:space="preserve">.</w:t>
      </w:r>
    </w:p>
    <w:p>
      <w:pPr>
        <w:pBdr>
          <w:left w:val="single" w:color="1F3A5F" w:sz="18" w:space="8"/>
        </w:pBdr>
        <w:shd w:fill="EAF0F6" w:val="clear"/>
        <w:spacing w:after="120" w:before="80" w:line="270"/>
      </w:pPr>
      <w:r>
        <w:t xml:space="preserve">El CVaR es una </w:t>
      </w:r>
      <w:r>
        <w:rPr>
          <w:b/>
          <w:bCs/>
        </w:rPr>
        <w:t xml:space="preserve">medida coherente</w:t>
      </w:r>
      <w:r>
        <w:t xml:space="preserve"> de riesgo (cumple subaditividad: el riesgo de una cartera ≤ suma de riesgos individuales), cosa que el VaR no garantiza. Por eso Basilea III (FRTB, 2019) recomienda CVaR al 97,5% en lugar de VaR al 99%.</w:t>
      </w:r>
    </w:p>
    <w:p>
      <w:pPr>
        <w:pStyle w:val="Heading2"/>
      </w:pPr>
      <w:r>
        <w:t xml:space="preserve">11.3 Los tres métodos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560"/>
      </w:tblGrid>
      <w:tr>
        <w:trPr>
          <w:tblHeader/>
        </w:trPr>
        <w:tc>
          <w:tcPr>
            <w:tcW w:type="dxa" w:w="1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Método</w:t>
            </w:r>
          </w:p>
        </w:tc>
        <w:tc>
          <w:tcPr>
            <w:tcW w:type="dxa" w:w="31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Supuesto</w:t>
            </w:r>
          </w:p>
        </w:tc>
        <w:tc>
          <w:tcPr>
            <w:tcW w:type="dxa" w:w="45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Ventaja / limitación</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Paramétrico</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Retornos Normales(μ, σ)</w:t>
            </w:r>
          </w:p>
        </w:tc>
        <w:tc>
          <w:tcPr>
            <w:tcW w:type="dxa" w:w="4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Rápido, fórmula cerrada. Subestima las colas (eventos extremos).</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Histórico</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Distribución empírica real</w:t>
            </w:r>
          </w:p>
        </w:tc>
        <w:tc>
          <w:tcPr>
            <w:tcW w:type="dxa" w:w="4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Sin supuestos de forma. Depende de que el pasado contenga escenarios malos.</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Monte Carlo</w:t>
            </w:r>
          </w:p>
        </w:tc>
        <w:tc>
          <w:tcPr>
            <w:tcW w:type="dxa" w:w="31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Normal multivariada Ν(μ, Σ)</w:t>
            </w:r>
          </w:p>
        </w:tc>
        <w:tc>
          <w:tcPr>
            <w:tcW w:type="dxa" w:w="45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Captura correlaciones; flexible (no linealidades). Depende del modelo elegido.</w:t>
            </w:r>
          </w:p>
        </w:tc>
      </w:tr>
    </w:tbl>
    <w:p>
      <w:pPr>
        <w:spacing w:after="120" w:line="276"/>
      </w:pPr>
      <w:r>
        <w:t xml:space="preserve">Fórmulas del método paramétrico (z = Φ⁻¹(1−α); z=1,645 al 95%, 2,326 al 99%):</w:t>
      </w:r>
    </w:p>
    <w:p>
      <w:pPr>
        <w:shd w:fill="EFE9DC" w:val="clear"/>
        <w:spacing w:after="120" w:before="60"/>
        <w:jc w:val="center"/>
      </w:pPr>
      <w:r>
        <w:rPr>
          <w:rFonts w:ascii="Consolas" w:cs="Consolas" w:eastAsia="Consolas" w:hAnsi="Consolas"/>
          <w:color w:val="1F3A5F"/>
          <w:sz w:val="22"/>
          <w:szCs w:val="22"/>
        </w:rPr>
        <w:t xml:space="preserve">VaR_α = −(μ_T + z·σ_T)·V        CVaR_α = −(μ_T − σ_T·φ(z)/(1−α))·V</w:t>
      </w:r>
    </w:p>
    <w:p>
      <w:pPr>
        <w:spacing w:after="120" w:line="276"/>
      </w:pPr>
      <w:r>
        <w:t xml:space="preserve">Bajo normalidad, </w:t>
      </w:r>
      <w:r>
        <w:rPr>
          <w:b/>
          <w:bCs/>
        </w:rPr>
        <w:t xml:space="preserve">CVaR ≈ 1,25 × VaR</w:t>
      </w:r>
      <w:r>
        <w:t xml:space="preserve"> al 95%. El tablero muestra los tres VaR/CVaR como tarjetas, un gráfico comparativo y la distribución con la cola sombreada y la normal superpuesta. La discrepancia es información: si el histórico supera mucho al paramétrico, hay </w:t>
      </w:r>
      <w:r>
        <w:rPr>
          <w:b/>
          <w:bCs/>
        </w:rPr>
        <w:t xml:space="preserve">colas gordas</w:t>
      </w:r>
      <w:r>
        <w:t xml:space="preserve">. Como regla, el histórico tiende a dar el VaR más alto y el paramétrico el más bajo.</w:t>
      </w:r>
    </w:p>
    <w:p>
      <w:pPr>
        <w:pStyle w:val="Heading2"/>
      </w:pPr>
      <w:r>
        <w:t xml:space="preserve">11.4 Límites del VaR — la lección de 2008</w:t>
      </w:r>
    </w:p>
    <w:p>
      <w:pPr>
        <w:spacing w:after="120" w:line="276"/>
      </w:pPr>
      <w:r>
        <w:t xml:space="preserve">El VaR no captura riesgo de liquidez, operacional ni eventos sin precedente. Se usa siempre junto a </w:t>
      </w:r>
      <w:r>
        <w:rPr>
          <w:b/>
          <w:bCs/>
        </w:rPr>
        <w:t xml:space="preserve">stress testing</w:t>
      </w:r>
      <w:r>
        <w:t xml:space="preserve">, </w:t>
      </w:r>
      <w:r>
        <w:rPr>
          <w:b/>
          <w:bCs/>
        </w:rPr>
        <w:t xml:space="preserve">backtesting</w:t>
      </w:r>
      <w:r>
        <w:t xml:space="preserve"> del modelo y análisis de escenarios. En 2008 los modelos de VaR fallaron en cadena: series históricas cortas (2003-2007, baja volatilidad), colas mucho más gordas que la normal (pérdidas de 25+ sigmas), correlaciones que se dispararon a 1 justo cuando se necesitaba diversificación, e iliquidez no modelada (no se podía vender a ningún precio).</w:t>
      </w:r>
    </w:p>
    <w:p>
      <w:pPr>
        <w:pStyle w:val="Heading2"/>
      </w:pPr>
      <w:r>
        <w:t xml:space="preserve">11.5 Performance Attribution (Brinson)</w:t>
      </w:r>
    </w:p>
    <w:p>
      <w:pPr>
        <w:spacing w:after="120" w:line="276"/>
      </w:pPr>
      <w:r>
        <w:t xml:space="preserve">Descompone el </w:t>
      </w:r>
      <w:r>
        <w:rPr>
          <w:b/>
          <w:bCs/>
        </w:rPr>
        <w:t xml:space="preserve">exceso de retorno</w:t>
      </w:r>
      <w:r>
        <w:t xml:space="preserve"> vs. un benchmark para entender de dónde vino el valor agregado del gestor. Se completa una tabla editable por sector. El exceso se reparte en tres efectos:</w:t>
      </w:r>
    </w:p>
    <w:p>
      <w:pPr>
        <w:shd w:fill="EFE9DC" w:val="clear"/>
        <w:spacing w:after="120" w:before="60"/>
        <w:jc w:val="center"/>
      </w:pPr>
      <w:r>
        <w:rPr>
          <w:rFonts w:ascii="Consolas" w:cs="Consolas" w:eastAsia="Consolas" w:hAnsi="Consolas"/>
          <w:color w:val="1F3A5F"/>
          <w:sz w:val="22"/>
          <w:szCs w:val="22"/>
        </w:rPr>
        <w:t xml:space="preserve">Exceso = Asignación + Selección + Interacción</w:t>
      </w:r>
    </w:p>
    <w:p>
      <w:pPr>
        <w:pStyle w:val="ListParagraph"/>
        <w:numPr>
          <w:ilvl w:val="0"/>
          <w:numId w:val="3"/>
        </w:numPr>
        <w:spacing w:after="60" w:line="270"/>
      </w:pPr>
      <w:r>
        <w:t xml:space="preserve"/>
      </w:r>
      <w:r>
        <w:rPr>
          <w:b/>
          <w:bCs/>
        </w:rPr>
        <w:t xml:space="preserve">Asignación</w:t>
      </w:r>
      <w:r>
        <w:t xml:space="preserve"> = Σ(w_P−w_B)·R_B — ¿acertaste en sobreponderar los buenos sectores?</w:t>
      </w:r>
    </w:p>
    <w:p>
      <w:pPr>
        <w:pStyle w:val="ListParagraph"/>
        <w:numPr>
          <w:ilvl w:val="0"/>
          <w:numId w:val="3"/>
        </w:numPr>
        <w:spacing w:after="60" w:line="270"/>
      </w:pPr>
      <w:r>
        <w:t xml:space="preserve"/>
      </w:r>
      <w:r>
        <w:rPr>
          <w:b/>
          <w:bCs/>
        </w:rPr>
        <w:t xml:space="preserve">Selección</w:t>
      </w:r>
      <w:r>
        <w:t xml:space="preserve"> = Σ w_B·(R_P−R_B) — ¿elegiste los buenos activos dentro de cada sector?</w:t>
      </w:r>
    </w:p>
    <w:p>
      <w:pPr>
        <w:pStyle w:val="ListParagraph"/>
        <w:numPr>
          <w:ilvl w:val="0"/>
          <w:numId w:val="3"/>
        </w:numPr>
        <w:spacing w:after="60" w:line="270"/>
      </w:pPr>
      <w:r>
        <w:t xml:space="preserve"/>
      </w:r>
      <w:r>
        <w:rPr>
          <w:b/>
          <w:bCs/>
        </w:rPr>
        <w:t xml:space="preserve">Interacción</w:t>
      </w:r>
      <w:r>
        <w:t xml:space="preserve"> = Σ(w_P−w_B)·(R_P−R_B) — el efecto combinado (suele ser chico).</w:t>
      </w:r>
    </w:p>
    <w:p>
      <w:pPr>
        <w:spacing w:after="120" w:line="276"/>
      </w:pPr>
      <w:r>
        <w:t xml:space="preserve">El tablero calcula en paralelo los dos modelos canónicos: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
            </w:r>
          </w:p>
        </w:tc>
        <w:tc>
          <w:tcPr>
            <w:tcW w:type="dxa" w:w="383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BHB (Brinson-Hood-Beebower, 1986)</w:t>
            </w:r>
          </w:p>
        </w:tc>
        <w:tc>
          <w:tcPr>
            <w:tcW w:type="dxa" w:w="383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BF (Brinson-Fachler, 1985)</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Componentes</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Asignación + Selección + Interacción (3)</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Asignación + Selección (2)</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Asignación usa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R_B,i (retorno del sector)</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R_B,i − R_B (vs. benchmark total)</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Selección usa</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w_B,i (peso benchmark)</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w_P,i (peso portafolio)</w:t>
            </w:r>
          </w:p>
        </w:tc>
      </w:tr>
      <w:tr>
        <w:trPr>
          <w:tblHeader w:val="false"/>
        </w:trPr>
        <w:tc>
          <w:tcPr>
            <w:tcW w:type="dxa" w:w="1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Interpretación</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Decisiones independientes (granular)</w:t>
            </w:r>
          </w:p>
        </w:tc>
        <w:tc>
          <w:tcPr>
            <w:tcW w:type="dxa" w:w="383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Decisión real del gestor (ejecutivo)</w:t>
            </w:r>
          </w:p>
        </w:tc>
      </w:tr>
    </w:tbl>
    <w:p>
      <w:pPr>
        <w:spacing w:after="120" w:line="276"/>
      </w:pPr>
      <w:r>
        <w:t xml:space="preserve">Ambos suman exactamente el mismo exceso; cambia cómo lo reparten. La diferencia esencial: BHB pregunta “¿el sector rindió en absoluto?”, BF pregunta “¿rindió MEJOR que el benchmark total?” — más fiel a la decisión del gestor. </w:t>
      </w:r>
      <w:r>
        <w:rPr>
          <w:b/>
          <w:bCs/>
        </w:rPr>
        <w:t xml:space="preserve">Limitaciones:</w:t>
      </w:r>
      <w:r>
        <w:t xml:space="preserve"> PA es retrospectivo, no mide riesgo y depende enteramente del benchmark elegido.</w:t>
      </w:r>
    </w:p>
    <w:p>
      <w:pPr>
        <w:pStyle w:val="Heading1"/>
      </w:pPr>
      <w:r>
        <w:t xml:space="preserve">12. STRATEGY LAB — Backtesting y Machine Learning (Clase 5)</w:t>
      </w:r>
    </w:p>
    <w:p>
      <w:pPr>
        <w:spacing w:after="120" w:line="276"/>
      </w:pPr>
      <w:r>
        <w:t xml:space="preserve">Un laboratorio para </w:t>
      </w:r>
      <w:r>
        <w:rPr>
          <w:b/>
          <w:bCs/>
        </w:rPr>
        <w:t xml:space="preserve">validar estrategias antes de arriesgar capital real</w:t>
      </w:r>
      <w:r>
        <w:t xml:space="preserve">. Construir un backtest es fácil; construir uno que NO sea una ilusión estadística es la parte difícil.</w:t>
      </w:r>
    </w:p>
    <w:p>
      <w:pPr>
        <w:pStyle w:val="Heading2"/>
      </w:pPr>
      <w:r>
        <w:t xml:space="preserve">12.1 El pipeline de 5 pasos</w:t>
      </w:r>
    </w:p>
    <w:p>
      <w:pPr>
        <w:pStyle w:val="ListParagraph"/>
        <w:numPr>
          <w:ilvl w:val="0"/>
          <w:numId w:val="6"/>
        </w:numPr>
        <w:spacing w:after="60" w:line="270"/>
      </w:pPr>
      <w:r>
        <w:t xml:space="preserve"/>
      </w:r>
      <w:r>
        <w:rPr>
          <w:b/>
          <w:bCs/>
        </w:rPr>
        <w:t xml:space="preserve">Definir reglas</w:t>
      </w:r>
      <w:r>
        <w:t xml:space="preserve"> de entrada/salida, sin ambigüedades.</w:t>
      </w:r>
    </w:p>
    <w:p>
      <w:pPr>
        <w:pStyle w:val="ListParagraph"/>
        <w:numPr>
          <w:ilvl w:val="0"/>
          <w:numId w:val="6"/>
        </w:numPr>
        <w:spacing w:after="60" w:line="270"/>
      </w:pPr>
      <w:r>
        <w:t xml:space="preserve"/>
      </w:r>
      <w:r>
        <w:rPr>
          <w:b/>
          <w:bCs/>
        </w:rPr>
        <w:t xml:space="preserve">Cargar datos</w:t>
      </w:r>
      <w:r>
        <w:t xml:space="preserve"> ajustados (dividendos + splits), sin look-ahead.</w:t>
      </w:r>
    </w:p>
    <w:p>
      <w:pPr>
        <w:pStyle w:val="ListParagraph"/>
        <w:numPr>
          <w:ilvl w:val="0"/>
          <w:numId w:val="6"/>
        </w:numPr>
        <w:spacing w:after="60" w:line="270"/>
      </w:pPr>
      <w:r>
        <w:t xml:space="preserve"/>
      </w:r>
      <w:r>
        <w:rPr>
          <w:b/>
          <w:bCs/>
        </w:rPr>
        <w:t xml:space="preserve">Simular ejecución</w:t>
      </w:r>
      <w:r>
        <w:t xml:space="preserve"> con shift(1): la señal de hoy se opera mañana.</w:t>
      </w:r>
    </w:p>
    <w:p>
      <w:pPr>
        <w:pStyle w:val="ListParagraph"/>
        <w:numPr>
          <w:ilvl w:val="0"/>
          <w:numId w:val="6"/>
        </w:numPr>
        <w:spacing w:after="60" w:line="270"/>
      </w:pPr>
      <w:r>
        <w:t xml:space="preserve"/>
      </w:r>
      <w:r>
        <w:rPr>
          <w:b/>
          <w:bCs/>
        </w:rPr>
        <w:t xml:space="preserve">Incluir costos</w:t>
      </w:r>
      <w:r>
        <w:t xml:space="preserve"> (comisiones + slippage), 5-20 bps.</w:t>
      </w:r>
    </w:p>
    <w:p>
      <w:pPr>
        <w:pStyle w:val="ListParagraph"/>
        <w:numPr>
          <w:ilvl w:val="0"/>
          <w:numId w:val="6"/>
        </w:numPr>
        <w:spacing w:after="60" w:line="270"/>
      </w:pPr>
      <w:r>
        <w:t xml:space="preserve"/>
      </w:r>
      <w:r>
        <w:rPr>
          <w:b/>
          <w:bCs/>
        </w:rPr>
        <w:t xml:space="preserve">Analizar métricas</w:t>
      </w:r>
      <w:r>
        <w:t xml:space="preserve"> y comparar contra un benchmark.</w:t>
      </w:r>
    </w:p>
    <w:p>
      <w:pPr>
        <w:pBdr>
          <w:left w:val="single" w:color="991B1B" w:sz="18" w:space="8"/>
        </w:pBdr>
        <w:shd w:fill="FBE9E9" w:val="clear"/>
        <w:spacing w:after="120" w:before="80" w:line="270"/>
      </w:pPr>
      <w:r>
        <w:t xml:space="preserve"/>
      </w:r>
      <w:r>
        <w:rPr>
          <w:b/>
          <w:bCs/>
        </w:rPr>
        <w:t xml:space="preserve">Regla de oro (Slide 4).</w:t>
      </w:r>
      <w:r>
        <w:t xml:space="preserve"> Si tu Sharpe es 3+ y todavía no incluiste costos ni slippage, no es una estrategia — es un error en el código.</w:t>
      </w:r>
    </w:p>
    <w:p>
      <w:pPr>
        <w:pStyle w:val="Heading2"/>
      </w:pPr>
      <w:r>
        <w:t xml:space="preserve">12.2 Las grandes familias de estrategias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460"/>
      </w:tblGrid>
      <w:tr>
        <w:trPr>
          <w:tblHeader/>
        </w:trPr>
        <w:tc>
          <w:tcPr>
            <w:tcW w:type="dxa" w:w="22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Familia</w:t>
            </w:r>
          </w:p>
        </w:tc>
        <w:tc>
          <w:tcPr>
            <w:tcW w:type="dxa" w:w="3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Hipótesis</w:t>
            </w:r>
          </w:p>
        </w:tc>
        <w:tc>
          <w:tcPr>
            <w:tcW w:type="dxa" w:w="34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En el tablero</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Trend Following</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Las tendencias persisten</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Cruce SMA/LMA (golden/death cross)</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Mean Reversion</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Los precios vuelven a la media</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RSI &lt;30 / &gt;70</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Momentum</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Los ganadores siguen ganando (3-12m)</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Signo del retorno a 6 meses</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Rebalanceo</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Mantener pesos objetivo</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Rebalanceo mensual/trim./anual</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Value / Event / Optimización</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(teoría — no implementadas como tab propio)</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Value: bajo P/E; Optimización: ver THEORY</w:t>
            </w:r>
          </w:p>
        </w:tc>
      </w:tr>
      <w:tr>
        <w:trPr>
          <w:tblHeader w:val="false"/>
        </w:trPr>
        <w:tc>
          <w:tcPr>
            <w:tcW w:type="dxa" w:w="22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Machine Learning</w:t>
            </w:r>
          </w:p>
        </w:tc>
        <w:tc>
          <w:tcPr>
            <w:tcW w:type="dxa" w:w="3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Patrones complejos en los datos</w:t>
            </w:r>
          </w:p>
        </w:tc>
        <w:tc>
          <w:tcPr>
            <w:tcW w:type="dxa" w:w="3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Árbol / RF / XGBoost / SVM (walk-forward)</w:t>
            </w:r>
          </w:p>
        </w:tc>
      </w:tr>
    </w:tbl>
    <w:p>
      <w:pPr>
        <w:pStyle w:val="Heading2"/>
      </w:pPr>
      <w:r>
        <w:t xml:space="preserve">12.3 Machine Learning aplicado</w:t>
      </w:r>
    </w:p>
    <w:p>
      <w:pPr>
        <w:spacing w:after="120" w:line="276"/>
      </w:pPr>
      <w:r>
        <w:t xml:space="preserve">El ML combina muchas señales, captura no-linealidades y adapta reglas por régimen — a cambio de mayor riesgo de overfitting. El tablero ofrece cuatro modelos:</w:t>
      </w:r>
    </w:p>
    <w:p>
      <w:pPr>
        <w:pStyle w:val="ListParagraph"/>
        <w:numPr>
          <w:ilvl w:val="0"/>
          <w:numId w:val="3"/>
        </w:numPr>
        <w:spacing w:after="60" w:line="270"/>
      </w:pPr>
      <w:r>
        <w:t xml:space="preserve"/>
      </w:r>
      <w:r>
        <w:rPr>
          <w:b/>
          <w:bCs/>
        </w:rPr>
        <w:t xml:space="preserve">Árbol de decisión:</w:t>
      </w:r>
      <w:r>
        <w:t xml:space="preserve"> divide el espacio con preguntas binarias (“¿RSI&lt;30 y vol&lt;2%?”). Interpretable, sin escalado, captura interacciones; pero alta varianza y sobreajusta si no se limita la profundidad.</w:t>
      </w:r>
    </w:p>
    <w:p>
      <w:pPr>
        <w:pStyle w:val="ListParagraph"/>
        <w:numPr>
          <w:ilvl w:val="0"/>
          <w:numId w:val="3"/>
        </w:numPr>
        <w:spacing w:after="60" w:line="270"/>
      </w:pPr>
      <w:r>
        <w:t xml:space="preserve"/>
      </w:r>
      <w:r>
        <w:rPr>
          <w:b/>
          <w:bCs/>
        </w:rPr>
        <w:t xml:space="preserve">Random Forest:</w:t>
      </w:r>
      <w:r>
        <w:t xml:space="preserve"> muchos árboles independientes promediados (bagging). Reduce la varianza; robusto out-of-the-box.</w:t>
      </w:r>
    </w:p>
    <w:p>
      <w:pPr>
        <w:pStyle w:val="ListParagraph"/>
        <w:numPr>
          <w:ilvl w:val="0"/>
          <w:numId w:val="3"/>
        </w:numPr>
        <w:spacing w:after="60" w:line="270"/>
      </w:pPr>
      <w:r>
        <w:t xml:space="preserve"/>
      </w:r>
      <w:r>
        <w:rPr>
          <w:b/>
          <w:bCs/>
        </w:rPr>
        <w:t xml:space="preserve">XGBoost:</w:t>
      </w:r>
      <w:r>
        <w:t xml:space="preserve"> boosting — muchos árboles chicos en secuencia, cada uno corrige el error (residuo) del anterior (ŷ = ŷ⁰ + η·T₁ + η·T₂ + …). Domina competencias en datos tabulares.</w:t>
      </w:r>
    </w:p>
    <w:p>
      <w:pPr>
        <w:pStyle w:val="ListParagraph"/>
        <w:numPr>
          <w:ilvl w:val="0"/>
          <w:numId w:val="3"/>
        </w:numPr>
        <w:spacing w:after="60" w:line="270"/>
      </w:pPr>
      <w:r>
        <w:t xml:space="preserve"/>
      </w:r>
      <w:r>
        <w:rPr>
          <w:b/>
          <w:bCs/>
        </w:rPr>
        <w:t xml:space="preserve">SVM:</w:t>
      </w:r>
      <w:r>
        <w:t xml:space="preserve"> busca el hiperplano de máxima separación. Sensible al escalado; no expone importancia de features.</w:t>
      </w:r>
    </w:p>
    <w:p>
      <w:pPr>
        <w:spacing w:after="120" w:line="276"/>
      </w:pPr>
      <w:r>
        <w:t xml:space="preserve">La tarea es una </w:t>
      </w:r>
      <w:r>
        <w:rPr>
          <w:b/>
          <w:bCs/>
        </w:rPr>
        <w:t xml:space="preserve">clasificación binaria</w:t>
      </w:r>
      <w:r>
        <w:t xml:space="preserve"> (¿sube mañana?). Las features (media móvil de 5 días de los retornos) van con shift(1) y el target con shift(−1) para evitar look-ahead. Se reportan métricas financieras Y de clasificación (accuracy, matriz de confusión): un modelo puede tener buen accuracy pero mala performance financiera (acierta días chicos, falla los grandes).</w:t>
      </w:r>
    </w:p>
    <w:p>
      <w:pPr>
        <w:pStyle w:val="Heading2"/>
      </w:pPr>
      <w:r>
        <w:t xml:space="preserve">12.4 Métricas — leer un backtest</w:t>
      </w:r>
    </w:p>
    <w:p>
      <w:pPr>
        <w:spacing w:after="120" w:line="276"/>
      </w:pPr>
      <w:r>
        <w:t xml:space="preserve">Reportar solo el retorno acumulado es engañoso. El set canónico:</w:t>
      </w:r>
    </w:p>
    <w:p>
      <w:pPr>
        <w:pStyle w:val="ListParagraph"/>
        <w:numPr>
          <w:ilvl w:val="0"/>
          <w:numId w:val="3"/>
        </w:numPr>
        <w:spacing w:after="60" w:line="270"/>
      </w:pPr>
      <w:r>
        <w:t xml:space="preserve"/>
      </w:r>
      <w:r>
        <w:rPr>
          <w:b/>
          <w:bCs/>
        </w:rPr>
        <w:t xml:space="preserve">CAGR:</w:t>
      </w:r>
      <w:r>
        <w:t xml:space="preserve"> tasa anual compuesta — el retorno “limpio” del horizonte.</w:t>
      </w:r>
    </w:p>
    <w:p>
      <w:pPr>
        <w:pStyle w:val="ListParagraph"/>
        <w:numPr>
          <w:ilvl w:val="0"/>
          <w:numId w:val="3"/>
        </w:numPr>
        <w:spacing w:after="60" w:line="270"/>
      </w:pPr>
      <w:r>
        <w:t xml:space="preserve"/>
      </w:r>
      <w:r>
        <w:rPr>
          <w:b/>
          <w:bCs/>
        </w:rPr>
        <w:t xml:space="preserve">Sharpe</w:t>
      </w:r>
      <w:r>
        <w:t xml:space="preserve"> = (R̄−R_f)/σ — retorno por unidad de riesgo total. Bueno &gt;1, excelente &gt;2.</w:t>
      </w:r>
    </w:p>
    <w:p>
      <w:pPr>
        <w:pStyle w:val="ListParagraph"/>
        <w:numPr>
          <w:ilvl w:val="0"/>
          <w:numId w:val="3"/>
        </w:numPr>
        <w:spacing w:after="60" w:line="270"/>
      </w:pPr>
      <w:r>
        <w:t xml:space="preserve"/>
      </w:r>
      <w:r>
        <w:rPr>
          <w:b/>
          <w:bCs/>
        </w:rPr>
        <w:t xml:space="preserve">Sortino:</w:t>
      </w:r>
      <w:r>
        <w:t xml:space="preserve"> como Sharpe, pero solo penaliza la volatilidad a la baja.</w:t>
      </w:r>
    </w:p>
    <w:p>
      <w:pPr>
        <w:pStyle w:val="ListParagraph"/>
        <w:numPr>
          <w:ilvl w:val="0"/>
          <w:numId w:val="3"/>
        </w:numPr>
        <w:spacing w:after="60" w:line="270"/>
      </w:pPr>
      <w:r>
        <w:t xml:space="preserve"/>
      </w:r>
      <w:r>
        <w:rPr>
          <w:b/>
          <w:bCs/>
        </w:rPr>
        <w:t xml:space="preserve">Max Drawdown:</w:t>
      </w:r>
      <w:r>
        <w:t xml:space="preserve"> peor caída desde un pico — lo que el cliente vio en pantalla.</w:t>
      </w:r>
    </w:p>
    <w:p>
      <w:pPr>
        <w:pStyle w:val="ListParagraph"/>
        <w:numPr>
          <w:ilvl w:val="0"/>
          <w:numId w:val="3"/>
        </w:numPr>
        <w:spacing w:after="60" w:line="270"/>
      </w:pPr>
      <w:r>
        <w:t xml:space="preserve"/>
      </w:r>
      <w:r>
        <w:rPr>
          <w:b/>
          <w:bCs/>
        </w:rPr>
        <w:t xml:space="preserve">Calmar</w:t>
      </w:r>
      <w:r>
        <w:t xml:space="preserve"> = CAGR/|MaxDD| — retorno por unidad de caída máxima.</w:t>
      </w:r>
    </w:p>
    <w:p>
      <w:pPr>
        <w:pStyle w:val="ListParagraph"/>
        <w:numPr>
          <w:ilvl w:val="0"/>
          <w:numId w:val="3"/>
        </w:numPr>
        <w:spacing w:after="60" w:line="270"/>
      </w:pPr>
      <w:r>
        <w:t xml:space="preserve"/>
      </w:r>
      <w:r>
        <w:rPr>
          <w:b/>
          <w:bCs/>
        </w:rPr>
        <w:t xml:space="preserve">Hit Ratio:</w:t>
      </w:r>
      <w:r>
        <w:t xml:space="preserve"> % de operaciones ganadoras (importa menos que la magnitud).</w:t>
      </w:r>
    </w:p>
    <w:p>
      <w:pPr>
        <w:pBdr>
          <w:left w:val="single" w:color="8B6F47" w:sz="18" w:space="8"/>
        </w:pBdr>
        <w:shd w:fill="FBF3E6" w:val="clear"/>
        <w:spacing w:after="120" w:before="80" w:line="270"/>
      </w:pPr>
      <w:r>
        <w:t xml:space="preserve">Dos estrategias con el MISMO CAGR pueden tener perfiles de riesgo opuestos. Una que sube en escalera (Sharpe 2, MDD 5%) es muy distinta a una con Sharpe 0,7 y MDD 40% — tu cliente abandona la segunda en el peor momento.</w:t>
      </w:r>
    </w:p>
    <w:p>
      <w:pPr>
        <w:pStyle w:val="Heading2"/>
      </w:pPr>
      <w:r>
        <w:t xml:space="preserve">12.5 Las cuatro trampas</w:t>
      </w:r>
    </w:p>
    <w:p>
      <w:pPr>
        <w:spacing w:after="120" w:line="276"/>
      </w:pPr>
      <w:r>
        <w:t xml:space="preserve">La mitad de las estrategias “prometedoras” se evaporan al corregir estos sesgos:</w:t>
      </w:r>
    </w:p>
    <w:p>
      <w:pPr>
        <w:pStyle w:val="ListParagraph"/>
        <w:numPr>
          <w:ilvl w:val="0"/>
          <w:numId w:val="7"/>
        </w:numPr>
        <w:spacing w:after="60" w:line="270"/>
      </w:pPr>
      <w:r>
        <w:t xml:space="preserve"/>
      </w:r>
      <w:r>
        <w:rPr>
          <w:b/>
          <w:bCs/>
        </w:rPr>
        <w:t xml:space="preserve">Look-ahead bias:</w:t>
      </w:r>
      <w:r>
        <w:t xml:space="preserve"> usar información que no estaba disponible al momento de decidir.</w:t>
      </w:r>
    </w:p>
    <w:p>
      <w:pPr>
        <w:pStyle w:val="ListParagraph"/>
        <w:numPr>
          <w:ilvl w:val="0"/>
          <w:numId w:val="7"/>
        </w:numPr>
        <w:spacing w:after="60" w:line="270"/>
      </w:pPr>
      <w:r>
        <w:t xml:space="preserve"/>
      </w:r>
      <w:r>
        <w:rPr>
          <w:b/>
          <w:bCs/>
        </w:rPr>
        <w:t xml:space="preserve">Survivorship bias:</w:t>
      </w:r>
      <w:r>
        <w:t xml:space="preserve"> backtestear solo empresas que existen hoy — las que quebraron (y que tu estrategia habría elegido) desaparecieron del universo.</w:t>
      </w:r>
    </w:p>
    <w:p>
      <w:pPr>
        <w:pStyle w:val="ListParagraph"/>
        <w:numPr>
          <w:ilvl w:val="0"/>
          <w:numId w:val="7"/>
        </w:numPr>
        <w:spacing w:after="60" w:line="270"/>
      </w:pPr>
      <w:r>
        <w:t xml:space="preserve"/>
      </w:r>
      <w:r>
        <w:rPr>
          <w:b/>
          <w:bCs/>
        </w:rPr>
        <w:t xml:space="preserve">Overfitting:</w:t>
      </w:r>
      <w:r>
        <w:t xml:space="preserve"> tantos parámetros que la estrategia “calza” el pasado pero no generaliza. Síntoma: Sharpe in-sample 3+, out-of-sample ≈0 o negativo.</w:t>
      </w:r>
    </w:p>
    <w:p>
      <w:pPr>
        <w:pStyle w:val="ListParagraph"/>
        <w:numPr>
          <w:ilvl w:val="0"/>
          <w:numId w:val="7"/>
        </w:numPr>
        <w:spacing w:after="60" w:line="270"/>
      </w:pPr>
      <w:r>
        <w:t xml:space="preserve"/>
      </w:r>
      <w:r>
        <w:rPr>
          <w:b/>
          <w:bCs/>
        </w:rPr>
        <w:t xml:space="preserve">Data snooping:</w:t>
      </w:r>
      <w:r>
        <w:t xml:space="preserve"> probar 1000 ideas y reportar solo la que funcionó; por azar, el 5% “funciona”.</w:t>
      </w:r>
    </w:p>
    <w:p>
      <w:pPr>
        <w:pStyle w:val="Heading2"/>
      </w:pPr>
      <w:r>
        <w:t xml:space="preserve">12.6 Costos de transacción</w:t>
      </w:r>
    </w:p>
    <w:p>
      <w:pPr>
        <w:spacing w:after="120" w:line="276"/>
      </w:pPr>
      <w:r>
        <w:t xml:space="preserve">Parecen chicos por trade, pero acumulados sobre cientos de operaciones transforman un Sharpe de 2 en 0,5. Tres componentes: </w:t>
      </w:r>
      <w:r>
        <w:rPr>
          <w:b/>
          <w:bCs/>
        </w:rPr>
        <w:t xml:space="preserve">comisiones</w:t>
      </w:r>
      <w:r>
        <w:t xml:space="preserve"> (retail ~10 bps), </w:t>
      </w:r>
      <w:r>
        <w:rPr>
          <w:b/>
          <w:bCs/>
        </w:rPr>
        <w:t xml:space="preserve">slippage</w:t>
      </w:r>
      <w:r>
        <w:t xml:space="preserve"> (precio cotizado vs ejecutado, 2-50 bps) e </w:t>
      </w:r>
      <w:r>
        <w:rPr>
          <w:b/>
          <w:bCs/>
        </w:rPr>
        <w:t xml:space="preserve">impacto</w:t>
      </w:r>
      <w:r>
        <w:t xml:space="preserve"> (órdenes grandes mueven el mercado). Una estrategia con turnover anual de 500% y 10 bps/trade pierde ~50% del retorno bruto en costos.</w:t>
      </w:r>
    </w:p>
    <w:p>
      <w:pPr>
        <w:pStyle w:val="Heading2"/>
      </w:pPr>
      <w:r>
        <w:t xml:space="preserve">12.7 Validación — IS/OOS y Walk-Forward</w:t>
      </w:r>
    </w:p>
    <w:p>
      <w:pPr>
        <w:spacing w:after="120" w:line="276"/>
      </w:pPr>
      <w:r>
        <w:t xml:space="preserve"/>
      </w:r>
      <w:r>
        <w:rPr>
          <w:b/>
          <w:bCs/>
        </w:rPr>
        <w:t xml:space="preserve">Principio fundamental:</w:t>
      </w:r>
      <w:r>
        <w:t xml:space="preserve"> nunca evaluar una estrategia sobre los mismos datos con los que se ajustó; si no, medís memoria, no desempeño. División típica 70/30 (o 80/20): el </w:t>
      </w:r>
      <w:r>
        <w:rPr>
          <w:b/>
          <w:bCs/>
        </w:rPr>
        <w:t xml:space="preserve">in-sample</w:t>
      </w:r>
      <w:r>
        <w:t xml:space="preserve"> ajusta parámetros, el </w:t>
      </w:r>
      <w:r>
        <w:rPr>
          <w:b/>
          <w:bCs/>
        </w:rPr>
        <w:t xml:space="preserve">out-of-sample</w:t>
      </w:r>
      <w:r>
        <w:t xml:space="preserve"> valida </w:t>
      </w:r>
      <w:r>
        <w:rPr>
          <w:b/>
          <w:bCs/>
        </w:rPr>
        <w:t xml:space="preserve">una sola vez</w:t>
      </w:r>
      <w:r>
        <w:t xml:space="preserve">. El tablero aplica esto en Trend (optimiza IS, evalúa OOS, reporta el </w:t>
      </w:r>
      <w:r>
        <w:rPr>
          <w:b/>
          <w:bCs/>
        </w:rPr>
        <w:t xml:space="preserve">overfitting gap</w:t>
      </w:r>
      <w:r>
        <w:t xml:space="preserve">).</w:t>
      </w:r>
    </w:p>
    <w:p>
      <w:pPr>
        <w:spacing w:after="120" w:line="276"/>
      </w:pPr>
      <w:r>
        <w:t xml:space="preserve">El </w:t>
      </w:r>
      <w:r>
        <w:rPr>
          <w:b/>
          <w:bCs/>
        </w:rPr>
        <w:t xml:space="preserve">Walk-Forward Analysis</w:t>
      </w:r>
      <w:r>
        <w:t xml:space="preserve"> extiende la idea: en vez de una sola división, hace muchas, deslizando una ventana y reentrenando — simula el deployment real, donde el modelo se reajusta cada cierto tiempo. Es la validación más robusta y la que usa la estrategia ML del tablero. Su costo: es computacionalmente caro (reentrena miles de modelos).</w:t>
      </w:r>
    </w:p>
    <w:p>
      <w:pPr>
        <w:spacing w:after="120" w:line="276"/>
      </w:pPr>
      <w:r>
        <w:t xml:space="preserve">Finalmente, una estrategia debe probarse en </w:t>
      </w:r>
      <w:r>
        <w:rPr>
          <w:b/>
          <w:bCs/>
        </w:rPr>
        <w:t xml:space="preserve">múltiples ciclos de mercado</w:t>
      </w:r>
      <w:r>
        <w:t xml:space="preserve"> (alcista, bajista y lateral): una validada solo en un bull market no está validada. El equilibrio entre underfitting (modelo demasiado simple, no capta el patrón) y overfitting (memoriza el ruido) es lo que distingue una estrategia de un artefacto estadístico.</w:t>
      </w:r>
    </w:p>
    <w:p>
      <w:pPr>
        <w:pStyle w:val="Heading1"/>
      </w:pPr>
      <w:r>
        <w:t xml:space="preserve">13. Glosario de métricas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Métrica</w:t>
            </w:r>
          </w:p>
        </w:tc>
        <w:tc>
          <w:tcPr>
            <w:tcW w:type="dxa" w:w="64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Qué mide</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CAGR</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Tasa de crecimiento anual compuesta.</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Volatilidad (anual)</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Desvío estándar de los retornos × √252.</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Sharpe</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(Retorno − R_f) / volatilidad total. Retorno por unidad de riesgo.</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Sortino</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Como Sharpe, pero solo penaliza la volatilidad a la baja.</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Max Drawdown</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Peor caída desde un máximo previo.</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Calmar</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CAGR / |Max DD|.</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Hit Ratio</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 de días o trades ganadores.</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VaR</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Pérdida máxima esperada a un nivel de confianza y horizonte.</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CVaR / Expected Shortfall</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Pérdida media en los peores escenarios (más allá del VaR).</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Beta (β)</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Sensibilidad al mercado (riesgo sistemático).</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Alpha (α)</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Retorno en exceso sobre lo que predice el CAPM.</w:t>
            </w:r>
          </w:p>
        </w:tc>
      </w:tr>
      <w:tr>
        <w:trPr>
          <w:tblHeader w:val="false"/>
        </w:trPr>
        <w:tc>
          <w:tcPr>
            <w:tcW w:type="dxa" w:w="29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Overfitting gap</w:t>
            </w:r>
          </w:p>
        </w:tc>
        <w:tc>
          <w:tcPr>
            <w:tcW w:type="dxa" w:w="64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CAGR in-sample − CAGR out-of-sample. &gt;15 pp sugiere sobreajuste.</w:t>
            </w:r>
          </w:p>
        </w:tc>
      </w:tr>
    </w:tbl>
    <w:p>
      <w:pPr>
        <w:pStyle w:val="Heading1"/>
      </w:pPr>
      <w:r>
        <w:t xml:space="preserve">14. Buenas prácticas, sesgos y advertencias</w:t>
      </w:r>
    </w:p>
    <w:p>
      <w:pPr>
        <w:pStyle w:val="ListParagraph"/>
        <w:numPr>
          <w:ilvl w:val="0"/>
          <w:numId w:val="3"/>
        </w:numPr>
        <w:spacing w:after="60" w:line="270"/>
      </w:pPr>
      <w:r>
        <w:t xml:space="preserve"/>
      </w:r>
      <w:r>
        <w:rPr>
          <w:b/>
          <w:bCs/>
        </w:rPr>
        <w:t xml:space="preserve">Look-ahead bias:</w:t>
      </w:r>
      <w:r>
        <w:t xml:space="preserve"> nunca usar información del futuro. Los backtests aplican shift(1).</w:t>
      </w:r>
    </w:p>
    <w:p>
      <w:pPr>
        <w:pStyle w:val="ListParagraph"/>
        <w:numPr>
          <w:ilvl w:val="0"/>
          <w:numId w:val="3"/>
        </w:numPr>
        <w:spacing w:after="60" w:line="270"/>
      </w:pPr>
      <w:r>
        <w:t xml:space="preserve"/>
      </w:r>
      <w:r>
        <w:rPr>
          <w:b/>
          <w:bCs/>
        </w:rPr>
        <w:t xml:space="preserve">Overfitting / data snooping:</w:t>
      </w:r>
      <w:r>
        <w:t xml:space="preserve"> separar IS/OOS, reportar el overfitting gap, desconfiar de Sharpe in-sample altísimos.</w:t>
      </w:r>
    </w:p>
    <w:p>
      <w:pPr>
        <w:pStyle w:val="ListParagraph"/>
        <w:numPr>
          <w:ilvl w:val="0"/>
          <w:numId w:val="3"/>
        </w:numPr>
        <w:spacing w:after="60" w:line="270"/>
      </w:pPr>
      <w:r>
        <w:t xml:space="preserve"/>
      </w:r>
      <w:r>
        <w:rPr>
          <w:b/>
          <w:bCs/>
        </w:rPr>
        <w:t xml:space="preserve">Survivorship bias:</w:t>
      </w:r>
      <w:r>
        <w:t xml:space="preserve"> los universos de ejemplo son sobrevivientes; faltan las empresas que quebraron.</w:t>
      </w:r>
    </w:p>
    <w:p>
      <w:pPr>
        <w:pStyle w:val="ListParagraph"/>
        <w:numPr>
          <w:ilvl w:val="0"/>
          <w:numId w:val="3"/>
        </w:numPr>
        <w:spacing w:after="60" w:line="270"/>
      </w:pPr>
      <w:r>
        <w:t xml:space="preserve"/>
      </w:r>
      <w:r>
        <w:rPr>
          <w:b/>
          <w:bCs/>
        </w:rPr>
        <w:t xml:space="preserve">Costos:</w:t>
      </w:r>
      <w:r>
        <w:t xml:space="preserve"> sin comisiones ni slippage cualquier Sharpe es ficción (el tablero cobra 15 bps por defecto).</w:t>
      </w:r>
    </w:p>
    <w:p>
      <w:pPr>
        <w:pStyle w:val="ListParagraph"/>
        <w:numPr>
          <w:ilvl w:val="0"/>
          <w:numId w:val="3"/>
        </w:numPr>
        <w:spacing w:after="60" w:line="270"/>
      </w:pPr>
      <w:r>
        <w:t xml:space="preserve"/>
      </w:r>
      <w:r>
        <w:rPr>
          <w:b/>
          <w:bCs/>
        </w:rPr>
        <w:t xml:space="preserve">Colas gordas:</w:t>
      </w:r>
      <w:r>
        <w:t xml:space="preserve"> los retornos reales no son normales; el VaR paramétrico subestima eventos extremos (lección de 2008).</w:t>
      </w:r>
    </w:p>
    <w:p>
      <w:pPr>
        <w:pStyle w:val="ListParagraph"/>
        <w:numPr>
          <w:ilvl w:val="0"/>
          <w:numId w:val="3"/>
        </w:numPr>
        <w:spacing w:after="60" w:line="270"/>
      </w:pPr>
      <w:r>
        <w:t xml:space="preserve"/>
      </w:r>
      <w:r>
        <w:rPr>
          <w:b/>
          <w:bCs/>
        </w:rPr>
        <w:t xml:space="preserve">Múltiplos y correlaciones:</w:t>
      </w:r>
      <w:r>
        <w:t xml:space="preserve"> solo comparables entre peers; las correlaciones cambian en crisis.</w:t>
      </w:r>
    </w:p>
    <w:p>
      <w:pPr>
        <w:pStyle w:val="ListParagraph"/>
        <w:numPr>
          <w:ilvl w:val="0"/>
          <w:numId w:val="3"/>
        </w:numPr>
        <w:spacing w:after="60" w:line="270"/>
      </w:pPr>
      <w:r>
        <w:t xml:space="preserve"/>
      </w:r>
      <w:r>
        <w:rPr>
          <w:b/>
          <w:bCs/>
        </w:rPr>
        <w:t xml:space="preserve">No es asesoramiento financiero:</w:t>
      </w:r>
      <w:r>
        <w:t xml:space="preserve"> la herramienta es pedagógica. “No inviertas en nada que no entiendas” (Buffett).</w:t>
      </w:r>
    </w:p>
    <w:p>
      <w:pPr>
        <w:pStyle w:val="Heading1"/>
      </w:pPr>
      <w:r>
        <w:t xml:space="preserve">15. Resolución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Síntoma</w:t>
            </w:r>
          </w:p>
        </w:tc>
        <w:tc>
          <w:tcPr>
            <w:tcW w:type="dxa" w:w="6660"/>
            <w:tcBorders>
              <w:top w:val="single" w:color="C9C0B0" w:sz="1"/>
              <w:left w:val="single" w:color="C9C0B0" w:sz="1"/>
              <w:bottom w:val="single" w:color="C9C0B0" w:sz="1"/>
              <w:right w:val="single" w:color="C9C0B0" w:sz="1"/>
            </w:tcBorders>
            <w:shd w:fill="2A4365" w:val="clear"/>
            <w:tcMar>
              <w:top w:type="dxa" w:w="60"/>
              <w:left w:type="dxa" w:w="110"/>
              <w:bottom w:type="dxa" w:w="60"/>
              <w:right w:type="dxa" w:w="110"/>
            </w:tcMar>
            <w:vAlign w:val="center"/>
          </w:tcPr>
          <w:p>
            <w:pPr>
              <w:spacing w:after="0" w:line="248"/>
            </w:pPr>
            <w:r>
              <w:rPr>
                <w:b/>
                <w:bCs/>
                <w:color w:val="FFFFFF"/>
                <w:sz w:val="18"/>
                <w:szCs w:val="18"/>
              </w:rPr>
              <w:t xml:space="preserve">Causa probable y solución</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GLOBAL muestra “···” en índices/commodities</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Yahoo está rate-limitando la IP. FX y crypto siguen vivos; el resto se completa solo en minutos. Si urge, reiniciá el router o usá otra red.</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Los precios no laten</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Si la pestaña del navegador está oculta o minimizada, el navegador pausa las actualizaciones. Volvé a la pestaña.</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Un ticker no trae datos</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Revisá la notación de Yahoo (acciones argentinas terminan en .BA). Probá la búsqueda FMP.</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El ML tarda mucho</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Reentrena miles de modelos. XGBoost/SVM ~1 min la primera vez; luego queda cacheado.</w:t>
            </w:r>
          </w:p>
        </w:tc>
      </w:tr>
      <w:tr>
        <w:trPr>
          <w:tblHeader w:val="false"/>
        </w:trPr>
        <w:tc>
          <w:tcPr>
            <w:tcW w:type="dxa" w:w="270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Fundamentales vacíos</w:t>
            </w:r>
          </w:p>
        </w:tc>
        <w:tc>
          <w:tcPr>
            <w:tcW w:type="dxa" w:w="6660"/>
            <w:tcBorders>
              <w:top w:val="single" w:color="C9C0B0" w:sz="1"/>
              <w:left w:val="single" w:color="C9C0B0" w:sz="1"/>
              <w:bottom w:val="single" w:color="C9C0B0" w:sz="1"/>
              <w:right w:val="single" w:color="C9C0B0" w:sz="1"/>
            </w:tcBorders>
            <w:shd w:fill="FFFFFF" w:val="clear"/>
            <w:tcMar>
              <w:top w:type="dxa" w:w="60"/>
              <w:left w:type="dxa" w:w="110"/>
              <w:bottom w:type="dxa" w:w="60"/>
              <w:right w:type="dxa" w:w="110"/>
            </w:tcMar>
            <w:vAlign w:val="center"/>
          </w:tcPr>
          <w:p>
            <w:pPr>
              <w:spacing w:after="0" w:line="248"/>
            </w:pPr>
            <w:r>
              <w:rPr>
                <w:b w:val="false"/>
                <w:bCs w:val="false"/>
                <w:color w:val="1A1A1A"/>
                <w:sz w:val="18"/>
                <w:szCs w:val="18"/>
              </w:rPr>
              <w:t xml:space="preserve">Se agotó la cuota diaria de la API FMP o el ticker no está cubierto.</w:t>
            </w:r>
          </w:p>
        </w:tc>
      </w:tr>
    </w:tbl>
    <w:p>
      <w:pPr>
        <w:pBdr>
          <w:top w:val="single" w:color="B7410E" w:sz="6" w:space="8"/>
        </w:pBdr>
        <w:spacing w:before="280"/>
        <w:jc w:val="center"/>
      </w:pPr>
      <w:r>
        <w:rPr>
          <w:i/>
          <w:iCs/>
          <w:color w:val="555555"/>
          <w:sz w:val="18"/>
          <w:szCs w:val="18"/>
        </w:rPr>
        <w:t xml:space="preserve">ACI I Terminal · Manual de uso y marco teórico · Documento para uso académico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ACI I Terminal · Manual de uso y marco teórico     —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abstractNum w:abstractNumId="6" w15:restartNumberingAfterBreak="0">
    <w:multiLevelType w:val="hybridMultilevel"/>
    <w:lvl w:ilvl="0" w15:tentative="1">
      <w:start w:val="1"/>
      <w:numFmt w:val="decimal"/>
      <w:lvlText w:val="%1."/>
      <w:lvlJc w:val="left"/>
      <w:pPr>
        <w:ind w:left="540" w:hanging="280"/>
      </w:pPr>
    </w:lvl>
  </w:abstractNum>
  <w:abstractNum w:abstractNumId="7" w15:restartNumberingAfterBreak="0">
    <w:multiLevelType w:val="hybridMultilevel"/>
    <w:lvl w:ilvl="0" w15:tentative="1">
      <w:start w:val="1"/>
      <w:numFmt w:val="decimal"/>
      <w:lvlText w:val="%1."/>
      <w:lvlJc w:val="left"/>
      <w:pPr>
        <w:ind w:left="540" w:hanging="280"/>
      </w:pPr>
    </w:lvl>
  </w:abstractNum>
  <w:abstractNum w:abstractNumId="8" w15:restartNumberingAfterBreak="0">
    <w:multiLevelType w:val="hybridMultilevel"/>
    <w:lvl w:ilvl="0" w15:tentative="1">
      <w:start w:val="1"/>
      <w:numFmt w:val="decimal"/>
      <w:lvlText w:val="%1."/>
      <w:lvlJc w:val="left"/>
      <w:pPr>
        <w:ind w:left="540" w:hanging="280"/>
      </w:pPr>
    </w:lvl>
  </w:abstractNum>
  <w:abstractNum w:abstractNumId="9" w15:restartNumberingAfterBreak="0">
    <w:multiLevelType w:val="hybridMultilevel"/>
    <w:lvl w:ilvl="0" w15:tentative="1">
      <w:start w:val="1"/>
      <w:numFmt w:val="decimal"/>
      <w:lvlText w:val="%1."/>
      <w:lvlJc w:val="left"/>
      <w:pPr>
        <w:ind w:left="540" w:hanging="280"/>
      </w:pPr>
    </w:lvl>
  </w:abstractNum>
  <w:abstractNum w:abstractNumId="10" w15:restartNumberingAfterBreak="0">
    <w:multiLevelType w:val="hybridMultilevel"/>
    <w:lvl w:ilvl="0" w15:tentative="1">
      <w:start w:val="1"/>
      <w:numFmt w:val="decimal"/>
      <w:lvlText w:val="%1."/>
      <w:lvlJc w:val="left"/>
      <w:pPr>
        <w:ind w:left="540" w:hanging="280"/>
      </w:pPr>
    </w:lvl>
  </w:abstractNum>
  <w:abstractNum w:abstractNumId="11" w15:restartNumberingAfterBreak="0">
    <w:multiLevelType w:val="hybridMultilevel"/>
    <w:lvl w:ilvl="0" w15:tentative="1">
      <w:start w:val="1"/>
      <w:numFmt w:val="decimal"/>
      <w:lvlText w:val="%1."/>
      <w:lvlJc w:val="left"/>
      <w:pPr>
        <w:ind w:left="540" w:hanging="280"/>
      </w:pPr>
    </w:lvl>
  </w:abstractNum>
  <w:abstractNum w:abstractNumId="12" w15:restartNumberingAfterBreak="0">
    <w:multiLevelType w:val="hybridMultilevel"/>
    <w:lvl w:ilvl="0" w15:tentative="1">
      <w:start w:val="1"/>
      <w:numFmt w:val="decimal"/>
      <w:lvlText w:val="%1."/>
      <w:lvlJc w:val="left"/>
      <w:pPr>
        <w:ind w:left="540" w:hanging="280"/>
      </w:pPr>
    </w:lvl>
  </w:abstractNum>
  <w:abstractNum w:abstractNumId="13" w15:restartNumberingAfterBreak="0">
    <w:multiLevelType w:val="hybridMultilevel"/>
    <w:lvl w:ilvl="0" w15:tentative="1">
      <w:start w:val="1"/>
      <w:numFmt w:val="decimal"/>
      <w:lvlText w:val="%1."/>
      <w:lvlJc w:val="left"/>
      <w:pPr>
        <w:ind w:left="540" w:hanging="280"/>
      </w:pPr>
    </w:lvl>
  </w:abstractNum>
  <w:abstractNum w:abstractNumId="14"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CCB4" w:sz="4" w:space="4"/>
      </w:pBdr>
      <w:spacing w:after="160" w:before="320"/>
      <w:outlineLvl w:val="0"/>
    </w:pPr>
    <w:rPr>
      <w:rFonts w:ascii="Arial" w:cs="Arial" w:eastAsia="Arial" w:hAnsi="Arial"/>
      <w:b/>
      <w:bCs/>
      <w:color w:val="1F3A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B7410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8B6F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2026-06-18T01:13:51.456Z</dcterms:created>
  <dcterms:modified xsi:type="dcterms:W3CDTF">2026-06-18T01:13:51.464Z</dcterms:modified>
</cp:coreProperties>
</file>

<file path=docProps/custom.xml><?xml version="1.0" encoding="utf-8"?>
<Properties xmlns="http://schemas.openxmlformats.org/officeDocument/2006/custom-properties" xmlns:vt="http://schemas.openxmlformats.org/officeDocument/2006/docPropsVTypes"/>
</file>