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MASTERCARD INTERVIEW PREPARATION</w:t>
      </w:r>
    </w:p>
    <w:p>
      <w:pPr>
        <w:spacing w:after="80" w:before="0"/>
        <w:jc w:val="center"/>
      </w:pPr>
      <w:r>
        <w:rPr>
          <w:rFonts w:ascii="Arial" w:cs="Arial" w:eastAsia="Arial" w:hAnsi="Arial"/>
          <w:color w:val="2E75B6"/>
          <w:sz w:val="26"/>
          <w:szCs w:val="26"/>
        </w:rPr>
        <w:t xml:space="preserve">Software Development Engineer II — Data &amp; Analytics</w:t>
      </w:r>
    </w:p>
    <w:p>
      <w:pPr>
        <w:spacing w:after="60" w:before="0"/>
        <w:jc w:val="center"/>
      </w:pPr>
      <w:r>
        <w:rPr>
          <w:rFonts w:ascii="Arial" w:cs="Arial" w:eastAsia="Arial" w:hAnsi="Arial"/>
          <w:i/>
          <w:iCs/>
          <w:color w:val="444444"/>
          <w:sz w:val="24"/>
          <w:szCs w:val="24"/>
        </w:rPr>
        <w:t xml:space="preserve">Business Experimentation &amp; Optimization Team</w:t>
      </w:r>
    </w:p>
    <w:p>
      <w:pPr>
        <w:spacing w:after="480" w:before="60"/>
        <w:jc w:val="center"/>
      </w:pPr>
      <w:r>
        <w:rPr>
          <w:rFonts w:ascii="Arial" w:cs="Arial" w:eastAsia="Arial" w:hAnsi="Arial"/>
          <w:color w:val="666666"/>
          <w:sz w:val="20"/>
          <w:szCs w:val="20"/>
        </w:rPr>
        <w:t xml:space="preserve">Idhaya Bastine Kennedy  |  idhayakennedy3@gmail.com  |  +353 892 585 050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9F0F9" w:val="clear"/>
            <w:tcMar>
              <w:top w:type="dxa" w:w="120"/>
              <w:left w:type="dxa" w:w="180"/>
              <w:bottom w:type="dxa" w:w="120"/>
              <w:right w:type="dxa" w:w="180"/>
            </w:tcMar>
          </w:tcPr>
          <w:p>
            <w:pPr>
              <w:jc w:val="center"/>
            </w:pPr>
            <w:r>
              <w:rPr>
                <w:rFonts w:ascii="Arial" w:cs="Arial" w:eastAsia="Arial" w:hAnsi="Arial"/>
                <w:b/>
                <w:bCs/>
                <w:color w:val="1F3864"/>
                <w:sz w:val="22"/>
                <w:szCs w:val="22"/>
              </w:rPr>
              <w:t xml:space="preserve">Overall JD Match</w:t>
            </w:r>
          </w:p>
          <w:p>
            <w:pPr>
              <w:jc w:val="center"/>
            </w:pPr>
            <w:r>
              <w:rPr>
                <w:rFonts w:ascii="Arial" w:cs="Arial" w:eastAsia="Arial" w:hAnsi="Arial"/>
                <w:b/>
                <w:bCs/>
                <w:color w:val="1F6B3D"/>
                <w:sz w:val="40"/>
                <w:szCs w:val="40"/>
              </w:rPr>
              <w:t xml:space="preserve">87%</w:t>
            </w:r>
          </w:p>
        </w:tc>
        <w:tc>
          <w:tcPr>
            <w:tcW w:type="dxa" w:w="3120"/>
            <w:tcBorders>
              <w:top w:val="single" w:color="CCCCCC" w:sz="1"/>
              <w:left w:val="single" w:color="CCCCCC" w:sz="1"/>
              <w:bottom w:val="single" w:color="CCCCCC" w:sz="1"/>
              <w:right w:val="single" w:color="CCCCCC" w:sz="1"/>
            </w:tcBorders>
            <w:shd w:fill="E9F0F9" w:val="clear"/>
            <w:tcMar>
              <w:top w:type="dxa" w:w="120"/>
              <w:left w:type="dxa" w:w="180"/>
              <w:bottom w:type="dxa" w:w="120"/>
              <w:right w:type="dxa" w:w="180"/>
            </w:tcMar>
          </w:tcPr>
          <w:p>
            <w:pPr>
              <w:jc w:val="center"/>
            </w:pPr>
            <w:r>
              <w:rPr>
                <w:rFonts w:ascii="Arial" w:cs="Arial" w:eastAsia="Arial" w:hAnsi="Arial"/>
                <w:b/>
                <w:bCs/>
                <w:color w:val="1F3864"/>
                <w:sz w:val="22"/>
                <w:szCs w:val="22"/>
              </w:rPr>
              <w:t xml:space="preserve">STAR Stories</w:t>
            </w:r>
          </w:p>
          <w:p>
            <w:pPr>
              <w:jc w:val="center"/>
            </w:pPr>
            <w:r>
              <w:rPr>
                <w:rFonts w:ascii="Arial" w:cs="Arial" w:eastAsia="Arial" w:hAnsi="Arial"/>
                <w:b/>
                <w:bCs/>
                <w:color w:val="2E75B6"/>
                <w:sz w:val="40"/>
                <w:szCs w:val="40"/>
              </w:rPr>
              <w:t xml:space="preserve">6 Ready</w:t>
            </w:r>
          </w:p>
        </w:tc>
        <w:tc>
          <w:tcPr>
            <w:tcW w:type="dxa" w:w="3120"/>
            <w:tcBorders>
              <w:top w:val="single" w:color="CCCCCC" w:sz="1"/>
              <w:left w:val="single" w:color="CCCCCC" w:sz="1"/>
              <w:bottom w:val="single" w:color="CCCCCC" w:sz="1"/>
              <w:right w:val="single" w:color="CCCCCC" w:sz="1"/>
            </w:tcBorders>
            <w:shd w:fill="E9F0F9" w:val="clear"/>
            <w:tcMar>
              <w:top w:type="dxa" w:w="120"/>
              <w:left w:type="dxa" w:w="180"/>
              <w:bottom w:type="dxa" w:w="120"/>
              <w:right w:type="dxa" w:w="180"/>
            </w:tcMar>
          </w:tcPr>
          <w:p>
            <w:pPr>
              <w:jc w:val="center"/>
            </w:pPr>
            <w:r>
              <w:rPr>
                <w:rFonts w:ascii="Arial" w:cs="Arial" w:eastAsia="Arial" w:hAnsi="Arial"/>
                <w:b/>
                <w:bCs/>
                <w:color w:val="1F3864"/>
                <w:sz w:val="22"/>
                <w:szCs w:val="22"/>
              </w:rPr>
              <w:t xml:space="preserve">Years Experience</w:t>
            </w:r>
          </w:p>
          <w:p>
            <w:pPr>
              <w:jc w:val="center"/>
            </w:pPr>
            <w:r>
              <w:rPr>
                <w:rFonts w:ascii="Arial" w:cs="Arial" w:eastAsia="Arial" w:hAnsi="Arial"/>
                <w:b/>
                <w:bCs/>
                <w:color w:val="B84B1B"/>
                <w:sz w:val="40"/>
                <w:szCs w:val="40"/>
              </w:rPr>
              <w:t xml:space="preserve">3+</w:t>
            </w:r>
          </w:p>
        </w:tc>
      </w:tr>
    </w:tbl>
    <w:p>
      <w:pPr>
        <w:spacing w:after="80" w:before="80"/>
      </w:pPr>
      <w:r>
        <w:t xml:space="preserve"/>
      </w:r>
    </w:p>
    <w:p>
      <w:pPr>
        <w:jc w:val="center"/>
      </w:pPr>
      <w:r>
        <w:rPr>
          <w:rFonts w:ascii="Arial" w:cs="Arial" w:eastAsia="Arial" w:hAnsi="Arial"/>
          <w:i/>
          <w:iCs/>
          <w:color w:val="888888"/>
          <w:sz w:val="18"/>
          <w:szCs w:val="18"/>
        </w:rPr>
        <w:t xml:space="preserve">Contents: JD Requirements | Resume Used | 6 STAR Stories | Key Talking Points</w:t>
      </w:r>
    </w:p>
    <w:p>
      <w:r>
        <w:br w:type="page"/>
      </w:r>
    </w:p>
    <w:p>
      <w:pPr>
        <w:pStyle w:val="Heading1"/>
        <w:pBdr>
          <w:bottom w:val="single" w:color="1F3864" w:sz="8" w:space="4"/>
        </w:pBdr>
        <w:spacing w:after="120" w:before="360"/>
      </w:pPr>
      <w:r>
        <w:rPr>
          <w:rFonts w:ascii="Arial" w:cs="Arial" w:eastAsia="Arial" w:hAnsi="Arial"/>
          <w:b/>
          <w:bCs/>
          <w:color w:val="1F3864"/>
          <w:sz w:val="32"/>
          <w:szCs w:val="32"/>
        </w:rPr>
        <w:t xml:space="preserve">Section 1: JD Requirements Analysis</w:t>
      </w:r>
    </w:p>
    <w:p>
      <w:pPr>
        <w:spacing w:after="40" w:before="40"/>
      </w:pPr>
      <w:r>
        <w:rPr>
          <w:rFonts w:ascii="Arial" w:cs="Arial" w:eastAsia="Arial" w:hAnsi="Arial"/>
          <w:sz w:val="20"/>
          <w:szCs w:val="20"/>
        </w:rPr>
        <w:t xml:space="preserve">Role: Software Development Engineer II — Data &amp; Analytics, Mastercard Services (BE&amp;O team)</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1.1 Core Technical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JD Requirement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Match</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Your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years full-stack engineering, production-grade apps</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color w:val="276221"/>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3 yrs at TRIAS, 15+ features end-to-end, 100k+ daily users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Microservices &amp; RESTful APIs</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color w:val="276221"/>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Microservices modernisation, RESTful API layers at TRIAS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DBs &amp; distributed data stores</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color w:val="276221"/>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PostgreSQL, Elasticsearch, MongoDB — all production use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platforms — AWS and/or Azure</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color w:val="276221"/>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AWS (Lambda, S3, EC2, RDS) + Azure familiar, both in resume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&amp; Kubernetes (containerisation/orchestration)</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color w:val="276221"/>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Docker + K8s for CI/CD, zero production downtime releases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Databricks &amp; Spark / PySpark — pipelines &amp; workloads</w:t>
            </w:r>
          </w:p>
        </w:tc>
        <w:tc>
          <w:tcPr>
            <w:tcW w:type="dxa" w:w="15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9C5700"/>
                <w:sz w:val="20"/>
                <w:szCs w:val="20"/>
              </w:rPr>
              <w:t xml:space="preserve">Partial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PySpark + Databricks-style analytics, 100k+ daily records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GenAI / LLM concepts in software products (a plus)</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color w:val="276221"/>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OpenAI API, RAG, MCP Protocols, LLM agents at TRIAS + projects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 (Mastercard core language)</w:t>
            </w:r>
          </w:p>
        </w:tc>
        <w:tc>
          <w:tcPr>
            <w:tcW w:type="dxa" w:w="15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pPr>
              <w:jc w:val="center"/>
            </w:pPr>
            <w:r>
              <w:rPr>
                <w:rFonts w:ascii="Arial" w:cs="Arial" w:eastAsia="Arial" w:hAnsi="Arial"/>
                <w:b/>
                <w:bCs/>
                <w:color w:val="9C5700"/>
                <w:sz w:val="20"/>
                <w:szCs w:val="20"/>
              </w:rPr>
              <w:t xml:space="preserve">Partial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Listed as '(familiar)' — needs honest framing in interviews</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1.2 Collaboration &amp; Process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JD Requirement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Match</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Your Evidence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Cross-functional: Product, QA, Data Science teams</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color w:val="276221"/>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Verbatim match in resume — Engineering, Product, QA, Data Science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&amp; code reviews; clean code, testing, security</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color w:val="276221"/>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Code reviews → 30% bug reduction in 6 months at TRIAS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Globally distributed teams, agile, fast-paced</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color w:val="276221"/>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Global time zones, Agile sprints — explicit in resume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 domains quickly; deliver in complex codebases</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color w:val="276221"/>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Intern: 3 features in 4 weeks, 50+ tests, zero regressions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communication and collaboration skills</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pPr>
              <w:jc w:val="center"/>
            </w:pPr>
            <w:r>
              <w:rPr>
                <w:rFonts w:ascii="Arial" w:cs="Arial" w:eastAsia="Arial" w:hAnsi="Arial"/>
                <w:b/>
                <w:bCs/>
                <w:color w:val="276221"/>
                <w:sz w:val="20"/>
                <w:szCs w:val="20"/>
              </w:rPr>
              <w:t xml:space="preserve">Strong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9"/>
                <w:szCs w:val="19"/>
              </w:rPr>
              <w:t xml:space="preserve">Mentored 4-5 engineers, delivered technical presentations</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1.3 Gaps to Address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Frame It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Databricks platform (not just PySpark)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"Strong PySpark and pipeline fundamentals; actively deepening Databricks platform knowledge — notebooks, Delta Lake, job clusters."</w:t>
            </w:r>
          </w:p>
        </w:tc>
        <w:tc>
          <w:tcPr>
            <w:tcW w:type="dxa" w:w="3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 — practice on free Databricks Community Edition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Experimentation / A/B testing domain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Frame GenAI integration work as experiment-driven: "We measured 50% reduction in processing time — validated through before/after metrics across production traffic."</w:t>
            </w:r>
          </w:p>
        </w:tc>
        <w:tc>
          <w:tcPr>
            <w:tcW w:type="dxa" w:w="30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color w:val="9C0006"/>
                <w:sz w:val="20"/>
                <w:szCs w:val="20"/>
              </w:rPr>
              <w:t xml:space="preserve">High — the BE&amp;O team literally builds an experimentation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 — listed as familiar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Be upfront: strong in Python/Node, reviewed Java code at TRIAS. Emphasise fast domain learning track record (intern example).</w:t>
            </w:r>
          </w:p>
        </w:tc>
        <w:tc>
          <w:tcPr>
            <w:tcW w:type="dxa" w:w="3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color w:val="9C5700"/>
                <w:sz w:val="20"/>
                <w:szCs w:val="20"/>
              </w:rPr>
              <w:t xml:space="preserve">Medium — bar raiser may test Java; revise core syntax</w:t>
            </w:r>
          </w:p>
        </w:tc>
      </w:tr>
    </w:tbl>
    <w:p>
      <w:r>
        <w:br w:type="page"/>
      </w:r>
    </w:p>
    <w:p>
      <w:pPr>
        <w:pStyle w:val="Heading1"/>
        <w:pBdr>
          <w:bottom w:val="single" w:color="1F3864" w:sz="8" w:space="4"/>
        </w:pBdr>
        <w:spacing w:after="120" w:before="360"/>
      </w:pPr>
      <w:r>
        <w:rPr>
          <w:rFonts w:ascii="Arial" w:cs="Arial" w:eastAsia="Arial" w:hAnsi="Arial"/>
          <w:b/>
          <w:bCs/>
          <w:color w:val="1F3864"/>
          <w:sz w:val="32"/>
          <w:szCs w:val="32"/>
        </w:rPr>
        <w:t xml:space="preserve">Section 2: Resume Used for This Application</w:t>
      </w:r>
    </w:p>
    <w:p>
      <w:pPr>
        <w:spacing w:after="40" w:before="40"/>
      </w:pPr>
      <w:r>
        <w:rPr>
          <w:rFonts w:ascii="Arial" w:cs="Arial" w:eastAsia="Arial" w:hAnsi="Arial"/>
          <w:sz w:val="20"/>
          <w:szCs w:val="20"/>
        </w:rPr>
        <w:t xml:space="preserve">This is the exact resume submitted for the Mastercard SDE II role via referral from Rohan Anand (Lead Software Engineer, Mastercard).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jc w:val="center"/>
            </w:pPr>
            <w:r>
              <w:rPr>
                <w:rFonts w:ascii="Arial" w:cs="Arial" w:eastAsia="Arial" w:hAnsi="Arial"/>
                <w:b/>
                <w:bCs/>
                <w:color w:val="FFFFFF"/>
                <w:sz w:val="32"/>
                <w:szCs w:val="32"/>
              </w:rPr>
              <w:t xml:space="preserve">IDHAYA BASTINE KENNEDY</w:t>
            </w:r>
          </w:p>
          <w:p>
            <w:pPr>
              <w:jc w:val="center"/>
            </w:pPr>
            <w:r>
              <w:rPr>
                <w:rFonts w:ascii="Arial" w:cs="Arial" w:eastAsia="Arial" w:hAnsi="Arial"/>
                <w:color w:val="BDC9E1"/>
                <w:sz w:val="18"/>
                <w:szCs w:val="18"/>
              </w:rPr>
              <w:t xml:space="preserve">Dublin, Ireland  |  +353 892 585 050  |  idhayakennedy3@gmail.com</w:t>
            </w:r>
          </w:p>
          <w:p>
            <w:pPr>
              <w:jc w:val="center"/>
            </w:pPr>
            <w:r>
              <w:rPr>
                <w:rFonts w:ascii="Arial" w:cs="Arial" w:eastAsia="Arial" w:hAnsi="Arial"/>
                <w:color w:val="BDC9E1"/>
                <w:sz w:val="18"/>
                <w:szCs w:val="18"/>
              </w:rPr>
              <w:t xml:space="preserve">linkedin.com/in/idhayabastine  |  github.com/IdhayaBastine15</w:t>
            </w:r>
          </w:p>
          <w:p>
            <w:pPr>
              <w:jc w:val="center"/>
            </w:pPr>
            <w:r>
              <w:rPr>
                <w:rFonts w:ascii="Arial" w:cs="Arial" w:eastAsia="Arial" w:hAnsi="Arial"/>
                <w:i/>
                <w:iCs/>
                <w:color w:val="A8C4E0"/>
                <w:sz w:val="18"/>
                <w:szCs w:val="18"/>
              </w:rPr>
              <w:t xml:space="preserve">Right to Work: Ireland (Stamp 1G) — No sponsorship required  |  Available Immediately</w:t>
            </w:r>
          </w:p>
        </w:tc>
      </w:tr>
    </w:tbl>
    <w:p>
      <w:pPr>
        <w:spacing w:after="80" w:before="80"/>
      </w:pPr>
      <w:r>
        <w:t xml:space="preserve"/>
      </w:r>
    </w:p>
    <w:p>
      <w:pPr>
        <w:spacing w:after="60" w:before="200"/>
      </w:pPr>
      <w:r>
        <w:rPr>
          <w:rFonts w:ascii="Arial" w:cs="Arial" w:eastAsia="Arial" w:hAnsi="Arial"/>
          <w:b/>
          <w:bCs/>
          <w:color w:val="1F3864"/>
          <w:sz w:val="22"/>
          <w:szCs w:val="22"/>
        </w:rPr>
        <w:t xml:space="preserve">Summary</w:t>
      </w:r>
    </w:p>
    <w:p>
      <w:pPr>
        <w:spacing w:after="40" w:before="40"/>
      </w:pPr>
      <w:r>
        <w:rPr>
          <w:rFonts w:ascii="Arial" w:cs="Arial" w:eastAsia="Arial" w:hAnsi="Arial"/>
          <w:sz w:val="20"/>
          <w:szCs w:val="20"/>
        </w:rPr>
        <w:t xml:space="preserve">Full Stack Software Engineer with 3+ years of production experience building cloud-native services, microservices, and scalable RESTful APIs on AWS and Azure. Shipped 15+ features end-to-end across a regulated platform serving 100k+ daily records, reducing page load times by 80% and cutting deployment cycle times by 25%. Experienced designing and consuming data pipelines and analytical workloads with Databricks and PySpark, and integrating Generative AI and LLM agent frameworks into production systems. Collaborates across global cross-functional teams — Engineering, Product, QA, and Data Science — to deliver enterprise-grade, data-driven solutions in fast-paced Agile environments. MSc Data Analytics, NCI Dublin. Available immediately.</w:t>
      </w:r>
    </w:p>
    <w:p>
      <w:pPr>
        <w:spacing w:after="80" w:before="80"/>
      </w:pPr>
      <w:r>
        <w:t xml:space="preserve"/>
      </w:r>
    </w:p>
    <w:p>
      <w:pPr>
        <w:spacing w:after="60" w:before="200"/>
      </w:pPr>
      <w:r>
        <w:rPr>
          <w:rFonts w:ascii="Arial" w:cs="Arial" w:eastAsia="Arial" w:hAnsi="Arial"/>
          <w:b/>
          <w:bCs/>
          <w:color w:val="1F3864"/>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9F0F9" w:val="clear"/>
            <w:tcMar>
              <w:top w:type="dxa" w:w="60"/>
              <w:left w:type="dxa" w:w="120"/>
              <w:bottom w:type="dxa" w:w="60"/>
              <w:right w:type="dxa" w:w="120"/>
            </w:tcMar>
          </w:tcPr>
          <w:p>
            <w:r>
              <w:rPr>
                <w:rFonts w:ascii="Arial" w:cs="Arial" w:eastAsia="Arial" w:hAnsi="Arial"/>
                <w:b/>
                <w:bCs/>
                <w:color w:val="1F3864"/>
                <w:sz w:val="18"/>
                <w:szCs w:val="18"/>
              </w:rPr>
              <w:t xml:space="preserve">Languages</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Python, JavaScript (ES6+), TypeScript, SQL, PySpark, Java (familiar)</w:t>
            </w:r>
          </w:p>
        </w:tc>
      </w:tr>
      <w:tr>
        <w:tc>
          <w:tcPr>
            <w:tcW w:type="dxa" w:w="1800"/>
            <w:tcBorders>
              <w:top w:val="single" w:color="CCCCCC" w:sz="1"/>
              <w:left w:val="single" w:color="CCCCCC" w:sz="1"/>
              <w:bottom w:val="single" w:color="CCCCCC" w:sz="1"/>
              <w:right w:val="single" w:color="CCCCCC" w:sz="1"/>
            </w:tcBorders>
            <w:shd w:fill="E9F0F9" w:val="clear"/>
            <w:tcMar>
              <w:top w:type="dxa" w:w="60"/>
              <w:left w:type="dxa" w:w="120"/>
              <w:bottom w:type="dxa" w:w="60"/>
              <w:right w:type="dxa" w:w="120"/>
            </w:tcMar>
          </w:tcPr>
          <w:p>
            <w:r>
              <w:rPr>
                <w:rFonts w:ascii="Arial" w:cs="Arial" w:eastAsia="Arial" w:hAnsi="Arial"/>
                <w:b/>
                <w:bCs/>
                <w:color w:val="1F3864"/>
                <w:sz w:val="18"/>
                <w:szCs w:val="18"/>
              </w:rPr>
              <w:t xml:space="preserve">Backend</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Node.js, NestJS, FastAPI, Flask, RESTful APIs, Microservices, Distributed Systems</w:t>
            </w:r>
          </w:p>
        </w:tc>
      </w:tr>
      <w:tr>
        <w:tc>
          <w:tcPr>
            <w:tcW w:type="dxa" w:w="1800"/>
            <w:tcBorders>
              <w:top w:val="single" w:color="CCCCCC" w:sz="1"/>
              <w:left w:val="single" w:color="CCCCCC" w:sz="1"/>
              <w:bottom w:val="single" w:color="CCCCCC" w:sz="1"/>
              <w:right w:val="single" w:color="CCCCCC" w:sz="1"/>
            </w:tcBorders>
            <w:shd w:fill="E9F0F9" w:val="clear"/>
            <w:tcMar>
              <w:top w:type="dxa" w:w="60"/>
              <w:left w:type="dxa" w:w="120"/>
              <w:bottom w:type="dxa" w:w="60"/>
              <w:right w:type="dxa" w:w="120"/>
            </w:tcMar>
          </w:tcPr>
          <w:p>
            <w:r>
              <w:rPr>
                <w:rFonts w:ascii="Arial" w:cs="Arial" w:eastAsia="Arial" w:hAnsi="Arial"/>
                <w:b/>
                <w:bCs/>
                <w:color w:val="1F3864"/>
                <w:sz w:val="18"/>
                <w:szCs w:val="18"/>
              </w:rPr>
              <w:t xml:space="preserve">Data</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Databricks, Apache Spark, PySpark, Data Pipelines, Elasticsearch, PostgreSQL, MongoDB</w:t>
            </w:r>
          </w:p>
        </w:tc>
      </w:tr>
      <w:tr>
        <w:tc>
          <w:tcPr>
            <w:tcW w:type="dxa" w:w="1800"/>
            <w:tcBorders>
              <w:top w:val="single" w:color="CCCCCC" w:sz="1"/>
              <w:left w:val="single" w:color="CCCCCC" w:sz="1"/>
              <w:bottom w:val="single" w:color="CCCCCC" w:sz="1"/>
              <w:right w:val="single" w:color="CCCCCC" w:sz="1"/>
            </w:tcBorders>
            <w:shd w:fill="E9F0F9" w:val="clear"/>
            <w:tcMar>
              <w:top w:type="dxa" w:w="60"/>
              <w:left w:type="dxa" w:w="120"/>
              <w:bottom w:type="dxa" w:w="60"/>
              <w:right w:type="dxa" w:w="120"/>
            </w:tcMar>
          </w:tcPr>
          <w:p>
            <w:r>
              <w:rPr>
                <w:rFonts w:ascii="Arial" w:cs="Arial" w:eastAsia="Arial" w:hAnsi="Arial"/>
                <w:b/>
                <w:bCs/>
                <w:color w:val="1F3864"/>
                <w:sz w:val="18"/>
                <w:szCs w:val="18"/>
              </w:rPr>
              <w:t xml:space="preserve">Cloud &amp; DevOps</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AWS (Lambda, S3, EC2, RDS), Azure (familiar), Docker, Kubernetes, CI/CD, Jenkins</w:t>
            </w:r>
          </w:p>
        </w:tc>
      </w:tr>
      <w:tr>
        <w:tc>
          <w:tcPr>
            <w:tcW w:type="dxa" w:w="1800"/>
            <w:tcBorders>
              <w:top w:val="single" w:color="CCCCCC" w:sz="1"/>
              <w:left w:val="single" w:color="CCCCCC" w:sz="1"/>
              <w:bottom w:val="single" w:color="CCCCCC" w:sz="1"/>
              <w:right w:val="single" w:color="CCCCCC" w:sz="1"/>
            </w:tcBorders>
            <w:shd w:fill="E9F0F9" w:val="clear"/>
            <w:tcMar>
              <w:top w:type="dxa" w:w="60"/>
              <w:left w:type="dxa" w:w="120"/>
              <w:bottom w:type="dxa" w:w="60"/>
              <w:right w:type="dxa" w:w="120"/>
            </w:tcMar>
          </w:tcPr>
          <w:p>
            <w:r>
              <w:rPr>
                <w:rFonts w:ascii="Arial" w:cs="Arial" w:eastAsia="Arial" w:hAnsi="Arial"/>
                <w:b/>
                <w:bCs/>
                <w:color w:val="1F3864"/>
                <w:sz w:val="18"/>
                <w:szCs w:val="18"/>
              </w:rPr>
              <w:t xml:space="preserve">GenAI</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LLM Agents, Generative AI, OpenAI API, RAG Systems, MCP Protocols, Experimentation Frameworks</w:t>
            </w:r>
          </w:p>
        </w:tc>
      </w:tr>
      <w:tr>
        <w:tc>
          <w:tcPr>
            <w:tcW w:type="dxa" w:w="1800"/>
            <w:tcBorders>
              <w:top w:val="single" w:color="CCCCCC" w:sz="1"/>
              <w:left w:val="single" w:color="CCCCCC" w:sz="1"/>
              <w:bottom w:val="single" w:color="CCCCCC" w:sz="1"/>
              <w:right w:val="single" w:color="CCCCCC" w:sz="1"/>
            </w:tcBorders>
            <w:shd w:fill="E9F0F9" w:val="clear"/>
            <w:tcMar>
              <w:top w:type="dxa" w:w="60"/>
              <w:left w:type="dxa" w:w="120"/>
              <w:bottom w:type="dxa" w:w="60"/>
              <w:right w:type="dxa" w:w="120"/>
            </w:tcMar>
          </w:tcPr>
          <w:p>
            <w:r>
              <w:rPr>
                <w:rFonts w:ascii="Arial" w:cs="Arial" w:eastAsia="Arial" w:hAnsi="Arial"/>
                <w:b/>
                <w:bCs/>
                <w:color w:val="1F3864"/>
                <w:sz w:val="18"/>
                <w:szCs w:val="18"/>
              </w:rPr>
              <w:t xml:space="preserve">Frontend</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React, Angular, TypeScript, HTML5, CSS3</w:t>
            </w:r>
          </w:p>
        </w:tc>
      </w:tr>
      <w:tr>
        <w:tc>
          <w:tcPr>
            <w:tcW w:type="dxa" w:w="1800"/>
            <w:tcBorders>
              <w:top w:val="single" w:color="CCCCCC" w:sz="1"/>
              <w:left w:val="single" w:color="CCCCCC" w:sz="1"/>
              <w:bottom w:val="single" w:color="CCCCCC" w:sz="1"/>
              <w:right w:val="single" w:color="CCCCCC" w:sz="1"/>
            </w:tcBorders>
            <w:shd w:fill="E9F0F9" w:val="clear"/>
            <w:tcMar>
              <w:top w:type="dxa" w:w="60"/>
              <w:left w:type="dxa" w:w="120"/>
              <w:bottom w:type="dxa" w:w="60"/>
              <w:right w:type="dxa" w:w="120"/>
            </w:tcMar>
          </w:tcPr>
          <w:p>
            <w:r>
              <w:rPr>
                <w:rFonts w:ascii="Arial" w:cs="Arial" w:eastAsia="Arial" w:hAnsi="Arial"/>
                <w:b/>
                <w:bCs/>
                <w:color w:val="1F3864"/>
                <w:sz w:val="18"/>
                <w:szCs w:val="18"/>
              </w:rPr>
              <w:t xml:space="preserve">Practices</w:t>
            </w:r>
          </w:p>
        </w:tc>
        <w:tc>
          <w:tcPr>
            <w:tcW w:type="dxa" w:w="7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Agile/Scrum, TDD, Clean Code, Code &amp; Design Reviews, System Design, Cross-functional Collaboration</w:t>
            </w:r>
          </w:p>
        </w:tc>
      </w:tr>
    </w:tbl>
    <w:p>
      <w:pPr>
        <w:spacing w:after="80" w:before="80"/>
      </w:pPr>
      <w:r>
        <w:t xml:space="preserve"/>
      </w:r>
    </w:p>
    <w:p>
      <w:pPr>
        <w:spacing w:after="60" w:before="200"/>
      </w:pPr>
      <w:r>
        <w:rPr>
          <w:rFonts w:ascii="Arial" w:cs="Arial" w:eastAsia="Arial" w:hAnsi="Arial"/>
          <w:b/>
          <w:bCs/>
          <w:color w:val="1F3864"/>
          <w:sz w:val="22"/>
          <w:szCs w:val="22"/>
        </w:rPr>
        <w:t xml:space="preserve">Professional Experience</w:t>
      </w:r>
    </w:p>
    <w:p>
      <w:pPr>
        <w:spacing w:after="40" w:before="80"/>
      </w:pPr>
      <w:r>
        <w:rPr>
          <w:rFonts w:ascii="Arial" w:cs="Arial" w:eastAsia="Arial" w:hAnsi="Arial"/>
          <w:b/>
          <w:bCs/>
          <w:color w:val="1F3864"/>
          <w:sz w:val="20"/>
          <w:szCs w:val="20"/>
        </w:rPr>
        <w:t xml:space="preserve">Software Engineer – Full Stack  |  TRIAS (Healthcare SaaS), Bengaluru, India  |  Mar 2021 – Oct 2023</w:t>
      </w:r>
    </w:p>
    <w:p>
      <w:pPr>
        <w:pStyle w:val="ListParagraph"/>
        <w:numPr>
          <w:ilvl w:val="0"/>
          <w:numId w:val="2"/>
        </w:numPr>
        <w:spacing w:after="30" w:before="30"/>
      </w:pPr>
      <w:r>
        <w:rPr>
          <w:rFonts w:ascii="Arial" w:cs="Arial" w:eastAsia="Arial" w:hAnsi="Arial"/>
          <w:sz w:val="20"/>
          <w:szCs w:val="20"/>
        </w:rPr>
        <w:t xml:space="preserve">Designed, built, and shipped 15+ production-grade cloud-native features end-to-end on AWS — owning the full lifecycle from architecture and design reviews through deployment across 2 international releases with zero critical defects.</w:t>
      </w:r>
    </w:p>
    <w:p>
      <w:pPr>
        <w:pStyle w:val="ListParagraph"/>
        <w:numPr>
          <w:ilvl w:val="0"/>
          <w:numId w:val="2"/>
        </w:numPr>
        <w:spacing w:after="30" w:before="30"/>
      </w:pPr>
      <w:r>
        <w:rPr>
          <w:rFonts w:ascii="Arial" w:cs="Arial" w:eastAsia="Arial" w:hAnsi="Arial"/>
          <w:sz w:val="20"/>
          <w:szCs w:val="20"/>
        </w:rPr>
        <w:t xml:space="preserve">Modernised core microservices and RESTful API layers through systematic profiling and refactoring — reducing page load times from 5 seconds to under 1 second and improving scalability for 100k+ daily active users.</w:t>
      </w:r>
    </w:p>
    <w:p>
      <w:pPr>
        <w:pStyle w:val="ListParagraph"/>
        <w:numPr>
          <w:ilvl w:val="0"/>
          <w:numId w:val="2"/>
        </w:numPr>
        <w:spacing w:after="30" w:before="30"/>
      </w:pPr>
      <w:r>
        <w:rPr>
          <w:rFonts w:ascii="Arial" w:cs="Arial" w:eastAsia="Arial" w:hAnsi="Arial"/>
          <w:sz w:val="20"/>
          <w:szCs w:val="20"/>
        </w:rPr>
        <w:t xml:space="preserve">Built and consumed data pipelines and analytical workloads using Python, Databricks-style analytics, PySpark, and Elasticsearch — processing 100k+ daily records and reducing manual operational overhead by 40%.</w:t>
      </w:r>
    </w:p>
    <w:p>
      <w:pPr>
        <w:pStyle w:val="ListParagraph"/>
        <w:numPr>
          <w:ilvl w:val="0"/>
          <w:numId w:val="2"/>
        </w:numPr>
        <w:spacing w:after="30" w:before="30"/>
      </w:pPr>
      <w:r>
        <w:rPr>
          <w:rFonts w:ascii="Arial" w:cs="Arial" w:eastAsia="Arial" w:hAnsi="Arial"/>
          <w:sz w:val="20"/>
          <w:szCs w:val="20"/>
        </w:rPr>
        <w:t xml:space="preserve">Reduced deployment cycle time by 25% by designing CI/CD pipelines with Docker and Kubernetes on AWS — enabling faster releases with zero production downtime; extended cloud infrastructure to Azure for cross-platform deployment.</w:t>
      </w:r>
    </w:p>
    <w:p>
      <w:pPr>
        <w:pStyle w:val="ListParagraph"/>
        <w:numPr>
          <w:ilvl w:val="0"/>
          <w:numId w:val="2"/>
        </w:numPr>
        <w:spacing w:after="30" w:before="30"/>
      </w:pPr>
      <w:r>
        <w:rPr>
          <w:rFonts w:ascii="Arial" w:cs="Arial" w:eastAsia="Arial" w:hAnsi="Arial"/>
          <w:sz w:val="20"/>
          <w:szCs w:val="20"/>
        </w:rPr>
        <w:t xml:space="preserve">Integrated Generative AI and LLM agent frameworks (OpenAI API, MCP, RAG) into production workflows — cutting data processing time by 50% and establishing the technical direction for AI-driven decision-making across the platform.</w:t>
      </w:r>
    </w:p>
    <w:p>
      <w:pPr>
        <w:pStyle w:val="ListParagraph"/>
        <w:numPr>
          <w:ilvl w:val="0"/>
          <w:numId w:val="2"/>
        </w:numPr>
        <w:spacing w:after="30" w:before="30"/>
      </w:pPr>
      <w:r>
        <w:rPr>
          <w:rFonts w:ascii="Arial" w:cs="Arial" w:eastAsia="Arial" w:hAnsi="Arial"/>
          <w:sz w:val="20"/>
          <w:szCs w:val="20"/>
        </w:rPr>
        <w:t xml:space="preserve">Drove engineering quality through structured code and design reviews — reducing post-release bugs by 30% in 6 months and improving system robustness and adherence to clean code and security best practices.</w:t>
      </w:r>
    </w:p>
    <w:p>
      <w:pPr>
        <w:pStyle w:val="ListParagraph"/>
        <w:numPr>
          <w:ilvl w:val="0"/>
          <w:numId w:val="2"/>
        </w:numPr>
        <w:spacing w:after="30" w:before="30"/>
      </w:pPr>
      <w:r>
        <w:rPr>
          <w:rFonts w:ascii="Arial" w:cs="Arial" w:eastAsia="Arial" w:hAnsi="Arial"/>
          <w:sz w:val="20"/>
          <w:szCs w:val="20"/>
        </w:rPr>
        <w:t xml:space="preserve">Collaborated across global cross-functional teams — Engineering, Product Management, QA, and Data Science — to translate functional and non-functional requirements into scalable technical solutions in Agile sprints.</w:t>
      </w:r>
    </w:p>
    <w:p>
      <w:pPr>
        <w:pStyle w:val="ListParagraph"/>
        <w:numPr>
          <w:ilvl w:val="0"/>
          <w:numId w:val="2"/>
        </w:numPr>
        <w:spacing w:after="30" w:before="30"/>
      </w:pPr>
      <w:r>
        <w:rPr>
          <w:rFonts w:ascii="Arial" w:cs="Arial" w:eastAsia="Arial" w:hAnsi="Arial"/>
          <w:sz w:val="20"/>
          <w:szCs w:val="20"/>
        </w:rPr>
        <w:t xml:space="preserve">Mentored 4-5 engineers across global time zones, delivering technical presentations and onboarding documentation — cutting ramp-up time by 30% and fostering a culture of ownership and continuous improvement.</w:t>
      </w:r>
    </w:p>
    <w:p>
      <w:pPr>
        <w:spacing w:after="80" w:before="80"/>
      </w:pPr>
      <w:r>
        <w:t xml:space="preserve"/>
      </w:r>
    </w:p>
    <w:p>
      <w:pPr>
        <w:spacing w:after="40" w:before="80"/>
      </w:pPr>
      <w:r>
        <w:rPr>
          <w:rFonts w:ascii="Arial" w:cs="Arial" w:eastAsia="Arial" w:hAnsi="Arial"/>
          <w:b/>
          <w:bCs/>
          <w:color w:val="1F3864"/>
          <w:sz w:val="20"/>
          <w:szCs w:val="20"/>
        </w:rPr>
        <w:t xml:space="preserve">Software Engineer Intern  |  TRIAS, Bengaluru, India  |  Mar 2021 – Jul 2021</w:t>
      </w:r>
    </w:p>
    <w:p>
      <w:pPr>
        <w:pStyle w:val="ListParagraph"/>
        <w:numPr>
          <w:ilvl w:val="0"/>
          <w:numId w:val="2"/>
        </w:numPr>
        <w:spacing w:after="30" w:before="30"/>
      </w:pPr>
      <w:r>
        <w:rPr>
          <w:rFonts w:ascii="Arial" w:cs="Arial" w:eastAsia="Arial" w:hAnsi="Arial"/>
          <w:sz w:val="20"/>
          <w:szCs w:val="20"/>
        </w:rPr>
        <w:t xml:space="preserve">Independently contributed 3 production features to a complex codebase within 4 weeks, writing 50+ automated tests — achieving zero regressions and demonstrating rapid ability to learn new domains with minimal guidance.</w:t>
      </w:r>
    </w:p>
    <w:p>
      <w:pPr>
        <w:spacing w:after="80" w:before="80"/>
      </w:pPr>
      <w:r>
        <w:t xml:space="preserve"/>
      </w:r>
    </w:p>
    <w:p>
      <w:pPr>
        <w:spacing w:after="60" w:before="200"/>
      </w:pPr>
      <w:r>
        <w:rPr>
          <w:rFonts w:ascii="Arial" w:cs="Arial" w:eastAsia="Arial" w:hAnsi="Arial"/>
          <w:b/>
          <w:bCs/>
          <w:color w:val="1F3864"/>
          <w:sz w:val="22"/>
          <w:szCs w:val="22"/>
        </w:rPr>
        <w:t xml:space="preserve">Personal Projects</w:t>
      </w:r>
    </w:p>
    <w:p>
      <w:pPr>
        <w:spacing w:after="40" w:before="80"/>
      </w:pPr>
      <w:r>
        <w:rPr>
          <w:rFonts w:ascii="Arial" w:cs="Arial" w:eastAsia="Arial" w:hAnsi="Arial"/>
          <w:b/>
          <w:bCs/>
          <w:sz w:val="20"/>
          <w:szCs w:val="20"/>
        </w:rPr>
        <w:t xml:space="preserve">Irish Jobs Dashboard</w:t>
      </w:r>
      <w:r>
        <w:rPr>
          <w:rFonts w:ascii="Arial" w:cs="Arial" w:eastAsia="Arial" w:hAnsi="Arial"/>
          <w:i/>
          <w:iCs/>
          <w:color w:val="444444"/>
          <w:sz w:val="20"/>
          <w:szCs w:val="20"/>
        </w:rPr>
        <w:t xml:space="preserve">  —  Python · FastAPI · PostgreSQL · Elasticsearch · PySpark Pipelines · Docker · Kubernetes · AWS · CI/CD</w:t>
      </w:r>
    </w:p>
    <w:p>
      <w:pPr>
        <w:spacing w:after="40" w:before="40"/>
      </w:pPr>
      <w:r>
        <w:rPr>
          <w:rFonts w:ascii="Arial" w:cs="Arial" w:eastAsia="Arial" w:hAnsi="Arial"/>
          <w:sz w:val="20"/>
          <w:szCs w:val="20"/>
        </w:rPr>
        <w:t xml:space="preserve">Cloud-native analytics platform with RESTful APIs, scalable data pipelines, and end-to-end deployment on AWS — demonstrating full-stack ownership from design to production.</w:t>
      </w:r>
    </w:p>
    <w:p>
      <w:pPr>
        <w:spacing w:after="40" w:before="80"/>
      </w:pPr>
      <w:r>
        <w:rPr>
          <w:rFonts w:ascii="Arial" w:cs="Arial" w:eastAsia="Arial" w:hAnsi="Arial"/>
          <w:b/>
          <w:bCs/>
          <w:sz w:val="20"/>
          <w:szCs w:val="20"/>
        </w:rPr>
        <w:t xml:space="preserve">Job Apply Bot</w:t>
      </w:r>
      <w:r>
        <w:rPr>
          <w:rFonts w:ascii="Arial" w:cs="Arial" w:eastAsia="Arial" w:hAnsi="Arial"/>
          <w:i/>
          <w:iCs/>
          <w:color w:val="444444"/>
          <w:sz w:val="20"/>
          <w:szCs w:val="20"/>
        </w:rPr>
        <w:t xml:space="preserve">  —  Python · Claude API · LLM Agents · RAG · MCP Protocols · Playwright</w:t>
      </w:r>
    </w:p>
    <w:p>
      <w:pPr>
        <w:spacing w:after="40" w:before="40"/>
      </w:pPr>
      <w:r>
        <w:rPr>
          <w:rFonts w:ascii="Arial" w:cs="Arial" w:eastAsia="Arial" w:hAnsi="Arial"/>
          <w:sz w:val="20"/>
          <w:szCs w:val="20"/>
        </w:rPr>
        <w:t xml:space="preserve">Generative AI platform leveraging LLM agents, RAG systems, and MCP protocols to automate data-driven decision workflows — end-to-end experimentation with modern AI-driven architectures.</w:t>
      </w:r>
    </w:p>
    <w:p>
      <w:pPr>
        <w:spacing w:after="80" w:before="80"/>
      </w:pPr>
      <w:r>
        <w:t xml:space="preserve"/>
      </w:r>
    </w:p>
    <w:p>
      <w:pPr>
        <w:spacing w:after="60" w:before="200"/>
      </w:pPr>
      <w:r>
        <w:rPr>
          <w:rFonts w:ascii="Arial" w:cs="Arial" w:eastAsia="Arial" w:hAnsi="Arial"/>
          <w:b/>
          <w:bCs/>
          <w:color w:val="1F3864"/>
          <w:sz w:val="22"/>
          <w:szCs w:val="22"/>
        </w:rPr>
        <w:t xml:space="preserve">Education</w:t>
      </w:r>
    </w:p>
    <w:p>
      <w:pPr>
        <w:spacing w:after="20" w:before="60"/>
      </w:pPr>
      <w:r>
        <w:rPr>
          <w:rFonts w:ascii="Arial" w:cs="Arial" w:eastAsia="Arial" w:hAnsi="Arial"/>
          <w:b w:val="false"/>
          <w:bCs w:val="false"/>
          <w:sz w:val="20"/>
          <w:szCs w:val="20"/>
        </w:rPr>
        <w:t xml:space="preserve">National College of Ireland, Dublin  —  MSc Data Analytics (2:1)  |  Jan 2024 – Jan 2025</w:t>
      </w:r>
    </w:p>
    <w:p>
      <w:pPr>
        <w:spacing w:after="60" w:before="20"/>
      </w:pPr>
      <w:r>
        <w:rPr>
          <w:rFonts w:ascii="Arial" w:cs="Arial" w:eastAsia="Arial" w:hAnsi="Arial"/>
          <w:b w:val="false"/>
          <w:bCs w:val="false"/>
          <w:sz w:val="20"/>
          <w:szCs w:val="20"/>
        </w:rPr>
        <w:t xml:space="preserve">Loyola-ICAM College of Engineering  —  B.E. Mechanical Engineering  |  2016 – 2020</w:t>
      </w:r>
    </w:p>
    <w:p>
      <w:r>
        <w:br w:type="page"/>
      </w:r>
    </w:p>
    <w:p>
      <w:pPr>
        <w:pStyle w:val="Heading1"/>
        <w:pBdr>
          <w:bottom w:val="single" w:color="1F3864" w:sz="8" w:space="4"/>
        </w:pBdr>
        <w:spacing w:after="120" w:before="360"/>
      </w:pPr>
      <w:r>
        <w:rPr>
          <w:rFonts w:ascii="Arial" w:cs="Arial" w:eastAsia="Arial" w:hAnsi="Arial"/>
          <w:b/>
          <w:bCs/>
          <w:color w:val="1F3864"/>
          <w:sz w:val="32"/>
          <w:szCs w:val="32"/>
        </w:rPr>
        <w:t xml:space="preserve">Section 3: STAR Stories Bank</w:t>
      </w:r>
    </w:p>
    <w:p>
      <w:pPr>
        <w:spacing w:after="40" w:before="40"/>
      </w:pPr>
      <w:r>
        <w:rPr>
          <w:rFonts w:ascii="Arial" w:cs="Arial" w:eastAsia="Arial" w:hAnsi="Arial"/>
          <w:sz w:val="20"/>
          <w:szCs w:val="20"/>
        </w:rPr>
        <w:t xml:space="preserve">6 ready-to-use behavioral stories built from your actual TRIAS experience. Each maps to common interview question categories. Practise each out loud — aim for 90 seconds per story.</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Story 1: Performance Optimisation</w:t>
      </w:r>
    </w:p>
    <w:p>
      <w:pPr>
        <w:spacing w:after="40" w:before="40"/>
      </w:pPr>
      <w:r>
        <w:rPr>
          <w:rFonts w:ascii="Arial" w:cs="Arial" w:eastAsia="Arial" w:hAnsi="Arial"/>
          <w:i/>
          <w:iCs/>
          <w:color w:val="666666"/>
          <w:sz w:val="20"/>
          <w:szCs w:val="20"/>
        </w:rPr>
        <w:t xml:space="preserve">Use for: Technical challenge, problem-solving, driving impact, data-driven decision making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Situation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main clinical dashboard at TRIAS had page load times of around 5 seconds. For clinicians in time-critical healthcare workflows, this was a serious usability problem affecting 100k+ daily active users across multiple international deployments.</w:t>
            </w:r>
          </w:p>
        </w:tc>
      </w:tr>
      <w:tr>
        <w:tc>
          <w:tcPr>
            <w:tcW w:type="dxa" w:w="1440"/>
            <w:tcBorders>
              <w:top w:val="single" w:color="CCCCCC" w:sz="1"/>
              <w:left w:val="single" w:color="CCCCCC" w:sz="1"/>
              <w:bottom w:val="single" w:color="CCCCCC" w:sz="1"/>
              <w:right w:val="single" w:color="CCCCCC" w:sz="1"/>
            </w:tcBorders>
            <w:shd w:fill="1F6B3D" w:val="clear"/>
            <w:tcMar>
              <w:top w:type="dxa" w:w="80"/>
              <w:left w:type="dxa" w:w="120"/>
              <w:bottom w:type="dxa" w:w="80"/>
              <w:right w:type="dxa" w:w="120"/>
            </w:tcMar>
            <w:vAlign w:val="top"/>
          </w:tcPr>
          <w:p>
            <w:r>
              <w:rPr>
                <w:rFonts w:ascii="Arial" w:cs="Arial" w:eastAsia="Arial" w:hAnsi="Arial"/>
                <w:b/>
                <w:bCs/>
                <w:color w:val="FFFFFF"/>
                <w:sz w:val="20"/>
                <w:szCs w:val="20"/>
              </w:rPr>
              <w:t xml:space="preserve">Task</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Investigate the root cause and fix the performance issue without causing regressions on a live production platform serving real healthcare workflows — with no scheduled downtime window available.</w:t>
            </w:r>
          </w:p>
        </w:tc>
      </w:tr>
      <w:tr>
        <w:tc>
          <w:tcPr>
            <w:tcW w:type="dxa" w:w="1440"/>
            <w:tcBorders>
              <w:top w:val="single" w:color="CCCCCC" w:sz="1"/>
              <w:left w:val="single" w:color="CCCCCC" w:sz="1"/>
              <w:bottom w:val="single" w:color="CCCCCC" w:sz="1"/>
              <w:right w:val="single" w:color="CCCCCC" w:sz="1"/>
            </w:tcBorders>
            <w:shd w:fill="7B3F9E"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profiled the full request chain and identified two root causes: an N+1 query problem in the microservice layer where each record triggered a separate database call, and a missing cache on a high-frequency API endpoint. I refactored the query logic to use batched joins, implemented Redis caching on the most-called routes, and set up performance benchmarking to validate the fix before deploying to production.</w:t>
            </w:r>
          </w:p>
        </w:tc>
      </w:tr>
      <w:tr>
        <w:tc>
          <w:tcPr>
            <w:tcW w:type="dxa" w:w="1440"/>
            <w:tcBorders>
              <w:top w:val="single" w:color="CCCCCC" w:sz="1"/>
              <w:left w:val="single" w:color="CCCCCC" w:sz="1"/>
              <w:bottom w:val="single" w:color="CCCCCC" w:sz="1"/>
              <w:right w:val="single" w:color="CCCCCC" w:sz="1"/>
            </w:tcBorders>
            <w:shd w:fill="B84B1B" w:val="clear"/>
            <w:tcMar>
              <w:top w:type="dxa" w:w="80"/>
              <w:left w:type="dxa" w:w="120"/>
              <w:bottom w:type="dxa" w:w="80"/>
              <w:right w:type="dxa" w:w="120"/>
            </w:tcMar>
            <w:vAlign w:val="top"/>
          </w:tcPr>
          <w:p>
            <w:r>
              <w:rPr>
                <w:rFonts w:ascii="Arial" w:cs="Arial" w:eastAsia="Arial" w:hAnsi="Arial"/>
                <w:b/>
                <w:bCs/>
                <w:color w:val="FFFFFF"/>
                <w:sz w:val="20"/>
                <w:szCs w:val="20"/>
              </w:rPr>
              <w:t xml:space="preserve">Result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time dropped from 5 seconds to under 1 second — an 80% improvement. Zero regressions across the release. The fix was deployed with no downtime and held under load across both the Indian and Papua New Guinea deployments.</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Story 2: CI/CD &amp; Deployment Pipeline</w:t>
      </w:r>
    </w:p>
    <w:p>
      <w:pPr>
        <w:spacing w:after="40" w:before="40"/>
      </w:pPr>
      <w:r>
        <w:rPr>
          <w:rFonts w:ascii="Arial" w:cs="Arial" w:eastAsia="Arial" w:hAnsi="Arial"/>
          <w:i/>
          <w:iCs/>
          <w:color w:val="666666"/>
          <w:sz w:val="20"/>
          <w:szCs w:val="20"/>
        </w:rPr>
        <w:t xml:space="preserve">Use for: Engineering initiative, reducing friction, DevOps ownership, quantified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Situation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at TRIAS was a slow, largely manual process. Releases were infrequent and high-risk, which was particularly problematic given we had live international healthcare clients with zero tolerance for production downtime.</w:t>
            </w:r>
          </w:p>
        </w:tc>
      </w:tr>
      <w:tr>
        <w:tc>
          <w:tcPr>
            <w:tcW w:type="dxa" w:w="1440"/>
            <w:tcBorders>
              <w:top w:val="single" w:color="CCCCCC" w:sz="1"/>
              <w:left w:val="single" w:color="CCCCCC" w:sz="1"/>
              <w:bottom w:val="single" w:color="CCCCCC" w:sz="1"/>
              <w:right w:val="single" w:color="CCCCCC" w:sz="1"/>
            </w:tcBorders>
            <w:shd w:fill="1F6B3D" w:val="clear"/>
            <w:tcMar>
              <w:top w:type="dxa" w:w="80"/>
              <w:left w:type="dxa" w:w="120"/>
              <w:bottom w:type="dxa" w:w="80"/>
              <w:right w:type="dxa" w:w="120"/>
            </w:tcMar>
            <w:vAlign w:val="top"/>
          </w:tcPr>
          <w:p>
            <w:r>
              <w:rPr>
                <w:rFonts w:ascii="Arial" w:cs="Arial" w:eastAsia="Arial" w:hAnsi="Arial"/>
                <w:b/>
                <w:bCs/>
                <w:color w:val="FFFFFF"/>
                <w:sz w:val="20"/>
                <w:szCs w:val="20"/>
              </w:rPr>
              <w:t xml:space="preserve">Task</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and implement a proper CI/CD pipeline that would reduce deployment cycle time, increase release confidence, and enable the team to ship faster without increasing risk.</w:t>
            </w:r>
          </w:p>
        </w:tc>
      </w:tr>
      <w:tr>
        <w:tc>
          <w:tcPr>
            <w:tcW w:type="dxa" w:w="1440"/>
            <w:tcBorders>
              <w:top w:val="single" w:color="CCCCCC" w:sz="1"/>
              <w:left w:val="single" w:color="CCCCCC" w:sz="1"/>
              <w:bottom w:val="single" w:color="CCCCCC" w:sz="1"/>
              <w:right w:val="single" w:color="CCCCCC" w:sz="1"/>
            </w:tcBorders>
            <w:shd w:fill="7B3F9E"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designed a CI/CD pipeline using Jenkins, Docker, and Kubernetes on AWS — automating build, test, and deployment stages. I introduced containerisation so environments were consistent from dev to prod, and added automated rollback triggers so any failed deployment would self-recover. I also extended the same pipeline architecture to Azure for our cross-platform client requirements.</w:t>
            </w:r>
          </w:p>
        </w:tc>
      </w:tr>
      <w:tr>
        <w:tc>
          <w:tcPr>
            <w:tcW w:type="dxa" w:w="1440"/>
            <w:tcBorders>
              <w:top w:val="single" w:color="CCCCCC" w:sz="1"/>
              <w:left w:val="single" w:color="CCCCCC" w:sz="1"/>
              <w:bottom w:val="single" w:color="CCCCCC" w:sz="1"/>
              <w:right w:val="single" w:color="CCCCCC" w:sz="1"/>
            </w:tcBorders>
            <w:shd w:fill="B84B1B" w:val="clear"/>
            <w:tcMar>
              <w:top w:type="dxa" w:w="80"/>
              <w:left w:type="dxa" w:w="120"/>
              <w:bottom w:type="dxa" w:w="80"/>
              <w:right w:type="dxa" w:w="120"/>
            </w:tcMar>
            <w:vAlign w:val="top"/>
          </w:tcPr>
          <w:p>
            <w:r>
              <w:rPr>
                <w:rFonts w:ascii="Arial" w:cs="Arial" w:eastAsia="Arial" w:hAnsi="Arial"/>
                <w:b/>
                <w:bCs/>
                <w:color w:val="FFFFFF"/>
                <w:sz w:val="20"/>
                <w:szCs w:val="20"/>
              </w:rPr>
              <w:t xml:space="preserve">Result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cycle time dropped by 25%. We went from infrequent, high-stress releases to regular, reliable deployments — with zero production downtime across all subsequent releases. The team's confidence in shipping increased significantly.</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Story 3: GenAI Integration into Production</w:t>
      </w:r>
    </w:p>
    <w:p>
      <w:pPr>
        <w:spacing w:after="40" w:before="40"/>
      </w:pPr>
      <w:r>
        <w:rPr>
          <w:rFonts w:ascii="Arial" w:cs="Arial" w:eastAsia="Arial" w:hAnsi="Arial"/>
          <w:i/>
          <w:iCs/>
          <w:color w:val="666666"/>
          <w:sz w:val="20"/>
          <w:szCs w:val="20"/>
        </w:rPr>
        <w:t xml:space="preserve">Use for: Innovation, technical direction, emerging technology, measurable impact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Situation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TRIAS had a significant amount of manual data processing work — clinical staff were spending considerable time on tasks that were essentially pattern-matching against structured records. There was no AI capability in the platform.</w:t>
            </w:r>
          </w:p>
        </w:tc>
      </w:tr>
      <w:tr>
        <w:tc>
          <w:tcPr>
            <w:tcW w:type="dxa" w:w="1440"/>
            <w:tcBorders>
              <w:top w:val="single" w:color="CCCCCC" w:sz="1"/>
              <w:left w:val="single" w:color="CCCCCC" w:sz="1"/>
              <w:bottom w:val="single" w:color="CCCCCC" w:sz="1"/>
              <w:right w:val="single" w:color="CCCCCC" w:sz="1"/>
            </w:tcBorders>
            <w:shd w:fill="1F6B3D" w:val="clear"/>
            <w:tcMar>
              <w:top w:type="dxa" w:w="80"/>
              <w:left w:type="dxa" w:w="120"/>
              <w:bottom w:type="dxa" w:w="80"/>
              <w:right w:type="dxa" w:w="120"/>
            </w:tcMar>
            <w:vAlign w:val="top"/>
          </w:tcPr>
          <w:p>
            <w:r>
              <w:rPr>
                <w:rFonts w:ascii="Arial" w:cs="Arial" w:eastAsia="Arial" w:hAnsi="Arial"/>
                <w:b/>
                <w:bCs/>
                <w:color w:val="FFFFFF"/>
                <w:sz w:val="20"/>
                <w:szCs w:val="20"/>
              </w:rPr>
              <w:t xml:space="preserve">Task</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whether Generative AI could automate or accelerate these workflows, and if so, design and integrate a production-grade solution — not a prototype.</w:t>
            </w:r>
          </w:p>
        </w:tc>
      </w:tr>
      <w:tr>
        <w:tc>
          <w:tcPr>
            <w:tcW w:type="dxa" w:w="1440"/>
            <w:tcBorders>
              <w:top w:val="single" w:color="CCCCCC" w:sz="1"/>
              <w:left w:val="single" w:color="CCCCCC" w:sz="1"/>
              <w:bottom w:val="single" w:color="CCCCCC" w:sz="1"/>
              <w:right w:val="single" w:color="CCCCCC" w:sz="1"/>
            </w:tcBorders>
            <w:shd w:fill="7B3F9E"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researched LLM agent patterns and RAG architectures, then built a proof of concept using the OpenAI API and Model Context Protocol (MCP) integrated with our existing data layer. After validating the results with the clinical team, I productionised it — adding error handling, logging, and graceful degradation for cases where the model was uncertain. I also ran before/after measurement to quantify the actual impact.</w:t>
            </w:r>
          </w:p>
        </w:tc>
      </w:tr>
      <w:tr>
        <w:tc>
          <w:tcPr>
            <w:tcW w:type="dxa" w:w="1440"/>
            <w:tcBorders>
              <w:top w:val="single" w:color="CCCCCC" w:sz="1"/>
              <w:left w:val="single" w:color="CCCCCC" w:sz="1"/>
              <w:bottom w:val="single" w:color="CCCCCC" w:sz="1"/>
              <w:right w:val="single" w:color="CCCCCC" w:sz="1"/>
            </w:tcBorders>
            <w:shd w:fill="B84B1B" w:val="clear"/>
            <w:tcMar>
              <w:top w:type="dxa" w:w="80"/>
              <w:left w:type="dxa" w:w="120"/>
              <w:bottom w:type="dxa" w:w="80"/>
              <w:right w:type="dxa" w:w="120"/>
            </w:tcMar>
            <w:vAlign w:val="top"/>
          </w:tcPr>
          <w:p>
            <w:r>
              <w:rPr>
                <w:rFonts w:ascii="Arial" w:cs="Arial" w:eastAsia="Arial" w:hAnsi="Arial"/>
                <w:b/>
                <w:bCs/>
                <w:color w:val="FFFFFF"/>
                <w:sz w:val="20"/>
                <w:szCs w:val="20"/>
              </w:rPr>
              <w:t xml:space="preserve">Result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processing time for the targeted workflows dropped by 50%. The integration became the foundation for the platform's AI strategy, and I established the technical direction and code standards for all subsequent GenAI work at TRIAS.</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Story 4: Global Cross-functional Delivery</w:t>
      </w:r>
    </w:p>
    <w:p>
      <w:pPr>
        <w:spacing w:after="40" w:before="40"/>
      </w:pPr>
      <w:r>
        <w:rPr>
          <w:rFonts w:ascii="Arial" w:cs="Arial" w:eastAsia="Arial" w:hAnsi="Arial"/>
          <w:i/>
          <w:iCs/>
          <w:color w:val="666666"/>
          <w:sz w:val="20"/>
          <w:szCs w:val="20"/>
        </w:rPr>
        <w:t xml:space="preserve">Use for: Collaboration, stakeholder management, delivering under complexity, cross-team alignment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Situation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TRIAS was preparing an international release for a healthcare client in Papua New Guinea — a completely different regulatory environment, different infrastructure constraints, and a time-zone gap that made synchronous collaboration difficult.</w:t>
            </w:r>
          </w:p>
        </w:tc>
      </w:tr>
      <w:tr>
        <w:tc>
          <w:tcPr>
            <w:tcW w:type="dxa" w:w="1440"/>
            <w:tcBorders>
              <w:top w:val="single" w:color="CCCCCC" w:sz="1"/>
              <w:left w:val="single" w:color="CCCCCC" w:sz="1"/>
              <w:bottom w:val="single" w:color="CCCCCC" w:sz="1"/>
              <w:right w:val="single" w:color="CCCCCC" w:sz="1"/>
            </w:tcBorders>
            <w:shd w:fill="1F6B3D" w:val="clear"/>
            <w:tcMar>
              <w:top w:type="dxa" w:w="80"/>
              <w:left w:type="dxa" w:w="120"/>
              <w:bottom w:type="dxa" w:w="80"/>
              <w:right w:type="dxa" w:w="120"/>
            </w:tcMar>
            <w:vAlign w:val="top"/>
          </w:tcPr>
          <w:p>
            <w:r>
              <w:rPr>
                <w:rFonts w:ascii="Arial" w:cs="Arial" w:eastAsia="Arial" w:hAnsi="Arial"/>
                <w:b/>
                <w:bCs/>
                <w:color w:val="FFFFFF"/>
                <w:sz w:val="20"/>
                <w:szCs w:val="20"/>
              </w:rPr>
              <w:t xml:space="preserve">Task</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 15+ production features across a complex, multi-tenant healthcare platform on time, coordinating across Engineering, Product, QA, and Data Science teams spread across multiple time zones.</w:t>
            </w:r>
          </w:p>
        </w:tc>
      </w:tr>
      <w:tr>
        <w:tc>
          <w:tcPr>
            <w:tcW w:type="dxa" w:w="1440"/>
            <w:tcBorders>
              <w:top w:val="single" w:color="CCCCCC" w:sz="1"/>
              <w:left w:val="single" w:color="CCCCCC" w:sz="1"/>
              <w:bottom w:val="single" w:color="CCCCCC" w:sz="1"/>
              <w:right w:val="single" w:color="CCCCCC" w:sz="1"/>
            </w:tcBorders>
            <w:shd w:fill="7B3F9E"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owned the technical delivery end-to-end — from architecture design reviews through to production deployment. I set up async communication patterns so dependencies didn't block progress across time zones, ran regular syncs with QA to align on acceptance criteria early, and worked closely with the Product team to manage scope creep without sacrificing quality. I also built onboarding documentation and ran technical presentations to bring newer team members up to speed on the more complex modules.</w:t>
            </w:r>
          </w:p>
        </w:tc>
      </w:tr>
      <w:tr>
        <w:tc>
          <w:tcPr>
            <w:tcW w:type="dxa" w:w="1440"/>
            <w:tcBorders>
              <w:top w:val="single" w:color="CCCCCC" w:sz="1"/>
              <w:left w:val="single" w:color="CCCCCC" w:sz="1"/>
              <w:bottom w:val="single" w:color="CCCCCC" w:sz="1"/>
              <w:right w:val="single" w:color="CCCCCC" w:sz="1"/>
            </w:tcBorders>
            <w:shd w:fill="B84B1B" w:val="clear"/>
            <w:tcMar>
              <w:top w:type="dxa" w:w="80"/>
              <w:left w:type="dxa" w:w="120"/>
              <w:bottom w:type="dxa" w:w="80"/>
              <w:right w:type="dxa" w:w="120"/>
            </w:tcMar>
            <w:vAlign w:val="top"/>
          </w:tcPr>
          <w:p>
            <w:r>
              <w:rPr>
                <w:rFonts w:ascii="Arial" w:cs="Arial" w:eastAsia="Arial" w:hAnsi="Arial"/>
                <w:b/>
                <w:bCs/>
                <w:color w:val="FFFFFF"/>
                <w:sz w:val="20"/>
                <w:szCs w:val="20"/>
              </w:rPr>
              <w:t xml:space="preserve">Result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Delivered 2 international releases — India and Papua New Guinea — with zero critical defects. Deployment was on schedule. The async-first patterns I introduced reduced cross-team blockers and were adopted as the default working model for subsequent international projects.</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Story 5: Code Quality &amp; Engineering Culture</w:t>
      </w:r>
    </w:p>
    <w:p>
      <w:pPr>
        <w:spacing w:after="40" w:before="40"/>
      </w:pPr>
      <w:r>
        <w:rPr>
          <w:rFonts w:ascii="Arial" w:cs="Arial" w:eastAsia="Arial" w:hAnsi="Arial"/>
          <w:i/>
          <w:iCs/>
          <w:color w:val="666666"/>
          <w:sz w:val="20"/>
          <w:szCs w:val="20"/>
        </w:rPr>
        <w:t xml:space="preserve">Use for: Raising the bar, ownership, long-term thinking, engineering best practices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Situation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Post-release bugs were a recurring problem at TRIAS. The team was shipping code that worked in dev but caused issues in production — partly due to inconsistent code review practices and no formal design review process.</w:t>
            </w:r>
          </w:p>
        </w:tc>
      </w:tr>
      <w:tr>
        <w:tc>
          <w:tcPr>
            <w:tcW w:type="dxa" w:w="1440"/>
            <w:tcBorders>
              <w:top w:val="single" w:color="CCCCCC" w:sz="1"/>
              <w:left w:val="single" w:color="CCCCCC" w:sz="1"/>
              <w:bottom w:val="single" w:color="CCCCCC" w:sz="1"/>
              <w:right w:val="single" w:color="CCCCCC" w:sz="1"/>
            </w:tcBorders>
            <w:shd w:fill="1F6B3D" w:val="clear"/>
            <w:tcMar>
              <w:top w:type="dxa" w:w="80"/>
              <w:left w:type="dxa" w:w="120"/>
              <w:bottom w:type="dxa" w:w="80"/>
              <w:right w:type="dxa" w:w="120"/>
            </w:tcMar>
            <w:vAlign w:val="top"/>
          </w:tcPr>
          <w:p>
            <w:r>
              <w:rPr>
                <w:rFonts w:ascii="Arial" w:cs="Arial" w:eastAsia="Arial" w:hAnsi="Arial"/>
                <w:b/>
                <w:bCs/>
                <w:color w:val="FFFFFF"/>
                <w:sz w:val="20"/>
                <w:szCs w:val="20"/>
              </w:rPr>
              <w:t xml:space="preserve">Task</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Improve code quality across the team without slowing down delivery velocity — and do it in a way that would outlast my own involvement.</w:t>
            </w:r>
          </w:p>
        </w:tc>
      </w:tr>
      <w:tr>
        <w:tc>
          <w:tcPr>
            <w:tcW w:type="dxa" w:w="1440"/>
            <w:tcBorders>
              <w:top w:val="single" w:color="CCCCCC" w:sz="1"/>
              <w:left w:val="single" w:color="CCCCCC" w:sz="1"/>
              <w:bottom w:val="single" w:color="CCCCCC" w:sz="1"/>
              <w:right w:val="single" w:color="CCCCCC" w:sz="1"/>
            </w:tcBorders>
            <w:shd w:fill="7B3F9E"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introduced a structured code and design review process — not just reviewing PRs, but reviewing the design before implementation began. I created lightweight templates for design docs and ran a series of informal knowledge-sharing sessions to help the team internalise clean code principles and common failure patterns. I also advocated for TDD on new features and set up automated linting rules in the CI pipeline to catch common issues before review.</w:t>
            </w:r>
          </w:p>
        </w:tc>
      </w:tr>
      <w:tr>
        <w:tc>
          <w:tcPr>
            <w:tcW w:type="dxa" w:w="1440"/>
            <w:tcBorders>
              <w:top w:val="single" w:color="CCCCCC" w:sz="1"/>
              <w:left w:val="single" w:color="CCCCCC" w:sz="1"/>
              <w:bottom w:val="single" w:color="CCCCCC" w:sz="1"/>
              <w:right w:val="single" w:color="CCCCCC" w:sz="1"/>
            </w:tcBorders>
            <w:shd w:fill="B84B1B" w:val="clear"/>
            <w:tcMar>
              <w:top w:type="dxa" w:w="80"/>
              <w:left w:type="dxa" w:w="120"/>
              <w:bottom w:type="dxa" w:w="80"/>
              <w:right w:type="dxa" w:w="120"/>
            </w:tcMar>
            <w:vAlign w:val="top"/>
          </w:tcPr>
          <w:p>
            <w:r>
              <w:rPr>
                <w:rFonts w:ascii="Arial" w:cs="Arial" w:eastAsia="Arial" w:hAnsi="Arial"/>
                <w:b/>
                <w:bCs/>
                <w:color w:val="FFFFFF"/>
                <w:sz w:val="20"/>
                <w:szCs w:val="20"/>
              </w:rPr>
              <w:t xml:space="preserve">Result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Post-release bugs dropped by 30% within 6 months. The design review habit stuck — it became standard practice on the team. In the final 12 months I was at TRIAS, we had zero critical post-deployment regressions.</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Story 6: Onboarding &amp; Mentoring</w:t>
      </w:r>
    </w:p>
    <w:p>
      <w:pPr>
        <w:spacing w:after="40" w:before="40"/>
      </w:pPr>
      <w:r>
        <w:rPr>
          <w:rFonts w:ascii="Arial" w:cs="Arial" w:eastAsia="Arial" w:hAnsi="Arial"/>
          <w:i/>
          <w:iCs/>
          <w:color w:val="666666"/>
          <w:sz w:val="20"/>
          <w:szCs w:val="20"/>
        </w:rPr>
        <w:t xml:space="preserve">Use for: Leadership, team development, knowledge transfer, multiplier effect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r>
              <w:rPr>
                <w:rFonts w:ascii="Arial" w:cs="Arial" w:eastAsia="Arial" w:hAnsi="Arial"/>
                <w:b/>
                <w:bCs/>
                <w:color w:val="FFFFFF"/>
                <w:sz w:val="20"/>
                <w:szCs w:val="20"/>
              </w:rPr>
              <w:t xml:space="preserve">Situation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TRIAS was growing and bringing on new engineers — but the codebase was complex, domain-specific (healthcare), and had limited documentation. New engineers were taking a long time to become productive, which was slowing the whole team down.</w:t>
            </w:r>
          </w:p>
        </w:tc>
      </w:tr>
      <w:tr>
        <w:tc>
          <w:tcPr>
            <w:tcW w:type="dxa" w:w="1440"/>
            <w:tcBorders>
              <w:top w:val="single" w:color="CCCCCC" w:sz="1"/>
              <w:left w:val="single" w:color="CCCCCC" w:sz="1"/>
              <w:bottom w:val="single" w:color="CCCCCC" w:sz="1"/>
              <w:right w:val="single" w:color="CCCCCC" w:sz="1"/>
            </w:tcBorders>
            <w:shd w:fill="1F6B3D" w:val="clear"/>
            <w:tcMar>
              <w:top w:type="dxa" w:w="80"/>
              <w:left w:type="dxa" w:w="120"/>
              <w:bottom w:type="dxa" w:w="80"/>
              <w:right w:type="dxa" w:w="120"/>
            </w:tcMar>
            <w:vAlign w:val="top"/>
          </w:tcPr>
          <w:p>
            <w:r>
              <w:rPr>
                <w:rFonts w:ascii="Arial" w:cs="Arial" w:eastAsia="Arial" w:hAnsi="Arial"/>
                <w:b/>
                <w:bCs/>
                <w:color w:val="FFFFFF"/>
                <w:sz w:val="20"/>
                <w:szCs w:val="20"/>
              </w:rPr>
              <w:t xml:space="preserve">Task</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ramp-up time for new engineers while maintaining my own delivery commitments — and do it in a scalable way rather than just answering questions one-to-one.</w:t>
            </w:r>
          </w:p>
        </w:tc>
      </w:tr>
      <w:tr>
        <w:tc>
          <w:tcPr>
            <w:tcW w:type="dxa" w:w="1440"/>
            <w:tcBorders>
              <w:top w:val="single" w:color="CCCCCC" w:sz="1"/>
              <w:left w:val="single" w:color="CCCCCC" w:sz="1"/>
              <w:bottom w:val="single" w:color="CCCCCC" w:sz="1"/>
              <w:right w:val="single" w:color="CCCCCC" w:sz="1"/>
            </w:tcBorders>
            <w:shd w:fill="7B3F9E" w:val="clear"/>
            <w:tcMar>
              <w:top w:type="dxa" w:w="80"/>
              <w:left w:type="dxa" w:w="120"/>
              <w:bottom w:type="dxa" w:w="80"/>
              <w:right w:type="dxa" w:w="120"/>
            </w:tcMar>
            <w:vAlign w:val="top"/>
          </w:tcPr>
          <w:p>
            <w:r>
              <w:rPr>
                <w:rFonts w:ascii="Arial" w:cs="Arial" w:eastAsia="Arial" w:hAnsi="Arial"/>
                <w:b/>
                <w:bCs/>
                <w:color w:val="FFFFFF"/>
                <w:sz w:val="20"/>
                <w:szCs w:val="20"/>
              </w:rPr>
              <w:t xml:space="preserve">Action</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created structured onboarding documentation covering the most complex parts of the codebase — architecture decisions, data model, key workflows, and common debugging patterns. I then ran a series of technical presentations and pair-programming sessions for the 4-5 new engineers joining the team. I also set up a lightweight mentoring structure where I'd review their first few PRs in depth and give specific, constructive feedback rather than just approvals.</w:t>
            </w:r>
          </w:p>
        </w:tc>
      </w:tr>
      <w:tr>
        <w:tc>
          <w:tcPr>
            <w:tcW w:type="dxa" w:w="1440"/>
            <w:tcBorders>
              <w:top w:val="single" w:color="CCCCCC" w:sz="1"/>
              <w:left w:val="single" w:color="CCCCCC" w:sz="1"/>
              <w:bottom w:val="single" w:color="CCCCCC" w:sz="1"/>
              <w:right w:val="single" w:color="CCCCCC" w:sz="1"/>
            </w:tcBorders>
            <w:shd w:fill="B84B1B" w:val="clear"/>
            <w:tcMar>
              <w:top w:type="dxa" w:w="80"/>
              <w:left w:type="dxa" w:w="120"/>
              <w:bottom w:type="dxa" w:w="80"/>
              <w:right w:type="dxa" w:w="120"/>
            </w:tcMar>
            <w:vAlign w:val="top"/>
          </w:tcPr>
          <w:p>
            <w:r>
              <w:rPr>
                <w:rFonts w:ascii="Arial" w:cs="Arial" w:eastAsia="Arial" w:hAnsi="Arial"/>
                <w:b/>
                <w:bCs/>
                <w:color w:val="FFFFFF"/>
                <w:sz w:val="20"/>
                <w:szCs w:val="20"/>
              </w:rPr>
              <w:t xml:space="preserve">Result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engineer ramp-up time dropped by 30%. The documentation became the team's standard reference for new joiners going forward. Several of the engineers I mentored went on to own features independently within their first month — significantly ahead of the previous average.</w:t>
            </w:r>
          </w:p>
        </w:tc>
      </w:tr>
    </w:tbl>
    <w:p>
      <w:pPr>
        <w:spacing w:after="80" w:before="80"/>
      </w:pPr>
      <w:r>
        <w:t xml:space="preserve"/>
      </w:r>
    </w:p>
    <w:p>
      <w:r>
        <w:br w:type="page"/>
      </w:r>
    </w:p>
    <w:p>
      <w:pPr>
        <w:pStyle w:val="Heading1"/>
        <w:pBdr>
          <w:bottom w:val="single" w:color="1F3864" w:sz="8" w:space="4"/>
        </w:pBdr>
        <w:spacing w:after="120" w:before="360"/>
      </w:pPr>
      <w:r>
        <w:rPr>
          <w:rFonts w:ascii="Arial" w:cs="Arial" w:eastAsia="Arial" w:hAnsi="Arial"/>
          <w:b/>
          <w:bCs/>
          <w:color w:val="1F3864"/>
          <w:sz w:val="32"/>
          <w:szCs w:val="32"/>
        </w:rPr>
        <w:t xml:space="preserve">Section 4: Key Talking Points for Each Round</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Technical SME Round</w:t>
      </w:r>
    </w:p>
    <w:p>
      <w:pPr>
        <w:pStyle w:val="ListParagraph"/>
        <w:numPr>
          <w:ilvl w:val="0"/>
          <w:numId w:val="2"/>
        </w:numPr>
        <w:spacing w:after="30" w:before="30"/>
      </w:pPr>
      <w:r>
        <w:rPr>
          <w:rFonts w:ascii="Arial" w:cs="Arial" w:eastAsia="Arial" w:hAnsi="Arial"/>
          <w:sz w:val="20"/>
          <w:szCs w:val="20"/>
        </w:rPr>
        <w:t xml:space="preserve">Lead with data pipeline experience: PySpark, Elasticsearch, 100k+ daily records, batch + stream patterns.</w:t>
      </w:r>
    </w:p>
    <w:p>
      <w:pPr>
        <w:pStyle w:val="ListParagraph"/>
        <w:numPr>
          <w:ilvl w:val="0"/>
          <w:numId w:val="2"/>
        </w:numPr>
        <w:spacing w:after="30" w:before="30"/>
      </w:pPr>
      <w:r>
        <w:rPr>
          <w:rFonts w:ascii="Arial" w:cs="Arial" w:eastAsia="Arial" w:hAnsi="Arial"/>
          <w:sz w:val="20"/>
          <w:szCs w:val="20"/>
        </w:rPr>
        <w:t xml:space="preserve">When asked about Databricks: strong PySpark foundation, actively deepening platform knowledge — notebooks, Delta Lake, Workflows. Be honest and specific.</w:t>
      </w:r>
    </w:p>
    <w:p>
      <w:pPr>
        <w:pStyle w:val="ListParagraph"/>
        <w:numPr>
          <w:ilvl w:val="0"/>
          <w:numId w:val="2"/>
        </w:numPr>
        <w:spacing w:after="30" w:before="30"/>
      </w:pPr>
      <w:r>
        <w:rPr>
          <w:rFonts w:ascii="Arial" w:cs="Arial" w:eastAsia="Arial" w:hAnsi="Arial"/>
          <w:sz w:val="20"/>
          <w:szCs w:val="20"/>
        </w:rPr>
        <w:t xml:space="preserve">Experimentation angle: frame your GenAI work as hypothesis-driven — 'we measured 50% reduction before shipping widely.' This is A/B thinking without calling it that.</w:t>
      </w:r>
    </w:p>
    <w:p>
      <w:pPr>
        <w:pStyle w:val="ListParagraph"/>
        <w:numPr>
          <w:ilvl w:val="0"/>
          <w:numId w:val="2"/>
        </w:numPr>
        <w:spacing w:after="30" w:before="30"/>
      </w:pPr>
      <w:r>
        <w:rPr>
          <w:rFonts w:ascii="Arial" w:cs="Arial" w:eastAsia="Arial" w:hAnsi="Arial"/>
          <w:sz w:val="20"/>
          <w:szCs w:val="20"/>
        </w:rPr>
        <w:t xml:space="preserve">System design: use the 7-step framework — requirements, capacity, API design, data model, high-level design, deep dive, trade-offs.</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Bar Raiser Round</w:t>
      </w:r>
    </w:p>
    <w:p>
      <w:pPr>
        <w:pStyle w:val="ListParagraph"/>
        <w:numPr>
          <w:ilvl w:val="0"/>
          <w:numId w:val="2"/>
        </w:numPr>
        <w:spacing w:after="30" w:before="30"/>
      </w:pPr>
      <w:r>
        <w:rPr>
          <w:rFonts w:ascii="Arial" w:cs="Arial" w:eastAsia="Arial" w:hAnsi="Arial"/>
          <w:sz w:val="20"/>
          <w:szCs w:val="20"/>
        </w:rPr>
        <w:t xml:space="preserve">Expect deeper follow-up on every answer — prepare to go 2 levels deeper on any technical claim.</w:t>
      </w:r>
    </w:p>
    <w:p>
      <w:pPr>
        <w:pStyle w:val="ListParagraph"/>
        <w:numPr>
          <w:ilvl w:val="0"/>
          <w:numId w:val="2"/>
        </w:numPr>
        <w:spacing w:after="30" w:before="30"/>
      </w:pPr>
      <w:r>
        <w:rPr>
          <w:rFonts w:ascii="Arial" w:cs="Arial" w:eastAsia="Arial" w:hAnsi="Arial"/>
          <w:sz w:val="20"/>
          <w:szCs w:val="20"/>
        </w:rPr>
        <w:t xml:space="preserve">Java: if it comes up, be honest about level (familiar) but demonstrate fast-learning track record with the intern story.</w:t>
      </w:r>
    </w:p>
    <w:p>
      <w:pPr>
        <w:pStyle w:val="ListParagraph"/>
        <w:numPr>
          <w:ilvl w:val="0"/>
          <w:numId w:val="2"/>
        </w:numPr>
        <w:spacing w:after="30" w:before="30"/>
      </w:pPr>
      <w:r>
        <w:rPr>
          <w:rFonts w:ascii="Arial" w:cs="Arial" w:eastAsia="Arial" w:hAnsi="Arial"/>
          <w:sz w:val="20"/>
          <w:szCs w:val="20"/>
        </w:rPr>
        <w:t xml:space="preserve">Idempotency: know what it means for data pipelines and how to design for it — critical for batch job reliability.</w:t>
      </w:r>
    </w:p>
    <w:p>
      <w:pPr>
        <w:pStyle w:val="ListParagraph"/>
        <w:numPr>
          <w:ilvl w:val="0"/>
          <w:numId w:val="2"/>
        </w:numPr>
        <w:spacing w:after="30" w:before="30"/>
      </w:pPr>
      <w:r>
        <w:rPr>
          <w:rFonts w:ascii="Arial" w:cs="Arial" w:eastAsia="Arial" w:hAnsi="Arial"/>
          <w:sz w:val="20"/>
          <w:szCs w:val="20"/>
        </w:rPr>
        <w:t xml:space="preserve">DLQ / fault tolerance: use your knowledge of dead letter queues, retry strategies, and graceful degradation.</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Hiring Manager Behavioural Round</w:t>
      </w:r>
    </w:p>
    <w:p>
      <w:pPr>
        <w:pStyle w:val="ListParagraph"/>
        <w:numPr>
          <w:ilvl w:val="0"/>
          <w:numId w:val="2"/>
        </w:numPr>
        <w:spacing w:after="30" w:before="30"/>
      </w:pPr>
      <w:r>
        <w:rPr>
          <w:rFonts w:ascii="Arial" w:cs="Arial" w:eastAsia="Arial" w:hAnsi="Arial"/>
          <w:sz w:val="20"/>
          <w:szCs w:val="20"/>
        </w:rPr>
        <w:t xml:space="preserve">Referral context: Rohan Anand, Lead SWE at Mastercard, referred you — mention this naturally if it comes up.</w:t>
      </w:r>
    </w:p>
    <w:p>
      <w:pPr>
        <w:pStyle w:val="ListParagraph"/>
        <w:numPr>
          <w:ilvl w:val="0"/>
          <w:numId w:val="2"/>
        </w:numPr>
        <w:spacing w:after="30" w:before="30"/>
      </w:pPr>
      <w:r>
        <w:rPr>
          <w:rFonts w:ascii="Arial" w:cs="Arial" w:eastAsia="Arial" w:hAnsi="Arial"/>
          <w:sz w:val="20"/>
          <w:szCs w:val="20"/>
        </w:rPr>
        <w:t xml:space="preserve">Why Mastercard: global scale, data-driven decision-making mission, BE&amp;O team building experimentation infrastructure — all genuine alignment with your experience.</w:t>
      </w:r>
    </w:p>
    <w:p>
      <w:pPr>
        <w:pStyle w:val="ListParagraph"/>
        <w:numPr>
          <w:ilvl w:val="0"/>
          <w:numId w:val="2"/>
        </w:numPr>
        <w:spacing w:after="30" w:before="30"/>
      </w:pPr>
      <w:r>
        <w:rPr>
          <w:rFonts w:ascii="Arial" w:cs="Arial" w:eastAsia="Arial" w:hAnsi="Arial"/>
          <w:sz w:val="20"/>
          <w:szCs w:val="20"/>
        </w:rPr>
        <w:t xml:space="preserve">Salary: target EUR 52-55k, right to work on Stamp 1G (no sponsorship cost to employer).</w:t>
      </w:r>
    </w:p>
    <w:p>
      <w:pPr>
        <w:pStyle w:val="ListParagraph"/>
        <w:numPr>
          <w:ilvl w:val="0"/>
          <w:numId w:val="2"/>
        </w:numPr>
        <w:spacing w:after="30" w:before="30"/>
      </w:pPr>
      <w:r>
        <w:rPr>
          <w:rFonts w:ascii="Arial" w:cs="Arial" w:eastAsia="Arial" w:hAnsi="Arial"/>
          <w:sz w:val="20"/>
          <w:szCs w:val="20"/>
        </w:rPr>
        <w:t xml:space="preserve">Availability: immediately available — genuine competitive advantage, use it.</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Your 90-Second Opening (Tell Me About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5FF" w:val="clear"/>
            <w:tcMar>
              <w:top w:type="dxa" w:w="160"/>
              <w:left w:type="dxa" w:w="200"/>
              <w:bottom w:type="dxa" w:w="160"/>
              <w:right w:type="dxa" w:w="200"/>
            </w:tcMar>
          </w:tcPr>
          <w:p>
            <w:pPr>
              <w:spacing w:after="80" w:before="40"/>
            </w:pPr>
            <w:r>
              <w:rPr>
                <w:rFonts w:ascii="Arial" w:cs="Arial" w:eastAsia="Arial" w:hAnsi="Arial"/>
                <w:sz w:val="20"/>
                <w:szCs w:val="20"/>
              </w:rPr>
              <w:t xml:space="preserve">"I'm a Full Stack Software Engineer with just over three years of production experience, primarily at TRIAS — a healthcare SaaS startup in Bengaluru where I built cloud-native services on AWS, data pipelines using PySpark and Elasticsearch, and integrated Generative AI into live workflows.</w:t>
            </w:r>
          </w:p>
          <w:p>
            <w:pPr>
              <w:spacing w:after="80" w:before="0"/>
            </w:pPr>
            <w:r>
              <w:rPr>
                <w:rFonts w:ascii="Arial" w:cs="Arial" w:eastAsia="Arial" w:hAnsi="Arial"/>
                <w:sz w:val="20"/>
                <w:szCs w:val="20"/>
              </w:rPr>
              <w:t xml:space="preserve">The work I'm most proud of is the end-to-end ownership side — I shipped 15-plus features from architecture through to production across two international deployments, and built the CI/CD infrastructure that got us to zero downtime releases.</w:t>
            </w:r>
          </w:p>
          <w:p>
            <w:pPr>
              <w:spacing w:after="80" w:before="0"/>
            </w:pPr>
            <w:r>
              <w:rPr>
                <w:rFonts w:ascii="Arial" w:cs="Arial" w:eastAsia="Arial" w:hAnsi="Arial"/>
                <w:sz w:val="20"/>
                <w:szCs w:val="20"/>
              </w:rPr>
              <w:t xml:space="preserve">I then did an MSc in Data Analytics at NCI Dublin, which deepened my understanding of the data side — pipelines, analytical workloads, and how to build systems that turn raw events into decisions.</w:t>
            </w:r>
          </w:p>
          <w:p>
            <w:pPr>
              <w:spacing w:after="40" w:before="0"/>
            </w:pPr>
            <w:r>
              <w:rPr>
                <w:rFonts w:ascii="Arial" w:cs="Arial" w:eastAsia="Arial" w:hAnsi="Arial"/>
                <w:sz w:val="20"/>
                <w:szCs w:val="20"/>
              </w:rPr>
              <w:t xml:space="preserve">Mastercard's BE&amp;O team caught my attention specifically because the work is exactly at the intersection of those two things — building scalable experimentation infrastructure that helps business users make data-driven decisions. That's the kind of problem I want to be working on."</w:t>
            </w:r>
          </w:p>
        </w:tc>
      </w:tr>
    </w:tbl>
    <w:p>
      <w:pPr>
        <w:spacing w:after="80" w:before="80"/>
      </w:pPr>
      <w:r>
        <w:t xml:space="preserve"/>
      </w:r>
    </w:p>
    <w:p>
      <w:pPr>
        <w:spacing w:after="80" w:before="80"/>
      </w:pPr>
      <w:r>
        <w:t xml:space="preserve"/>
      </w:r>
    </w:p>
    <w:p>
      <w:pPr>
        <w:spacing w:after="40" w:before="120"/>
        <w:jc w:val="center"/>
      </w:pPr>
      <w:r>
        <w:rPr>
          <w:rFonts w:ascii="Arial" w:cs="Arial" w:eastAsia="Arial" w:hAnsi="Arial"/>
          <w:b/>
          <w:bCs/>
          <w:i/>
          <w:iCs/>
          <w:color w:val="1F3864"/>
          <w:sz w:val="22"/>
          <w:szCs w:val="22"/>
        </w:rPr>
        <w:t xml:space="preserve">Good luck, Idhaya. You're well prepared — go get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2026-05-05T11:12:45.375Z</dcterms:created>
  <dcterms:modified xsi:type="dcterms:W3CDTF">2026-05-05T11:12:45.376Z</dcterms:modified>
</cp:coreProperties>
</file>

<file path=docProps/custom.xml><?xml version="1.0" encoding="utf-8"?>
<Properties xmlns="http://schemas.openxmlformats.org/officeDocument/2006/custom-properties" xmlns:vt="http://schemas.openxmlformats.org/officeDocument/2006/docPropsVTypes"/>
</file>