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8BF31">
      <w:pPr>
        <w:numPr>
          <w:ilvl w:val="0"/>
          <w:numId w:val="1"/>
        </w:numPr>
      </w:pPr>
      <w:r>
        <w:rPr>
          <w:rFonts w:hint="default"/>
        </w:rPr>
        <w:t>Introduction</w:t>
      </w:r>
    </w:p>
    <w:p w14:paraId="3B45977E">
      <w:pPr>
        <w:numPr>
          <w:ilvl w:val="0"/>
          <w:numId w:val="1"/>
        </w:numPr>
      </w:pPr>
      <w:r>
        <w:rPr>
          <w:rFonts w:hint="default"/>
        </w:rPr>
        <w:t>Background</w:t>
      </w:r>
    </w:p>
    <w:p w14:paraId="6831CEA3">
      <w:pPr>
        <w:numPr>
          <w:ilvl w:val="0"/>
          <w:numId w:val="1"/>
        </w:numPr>
      </w:pPr>
      <w:r>
        <w:rPr>
          <w:rFonts w:hint="default"/>
        </w:rPr>
        <w:t>Method</w:t>
      </w:r>
    </w:p>
    <w:p w14:paraId="3682C895">
      <w:pPr>
        <w:numPr>
          <w:ilvl w:val="0"/>
          <w:numId w:val="1"/>
        </w:numPr>
      </w:pPr>
      <w:r>
        <w:rPr>
          <w:rFonts w:hint="default"/>
        </w:rPr>
        <w:t>Results</w:t>
      </w:r>
    </w:p>
    <w:p w14:paraId="587C14A3">
      <w:pPr>
        <w:numPr>
          <w:ilvl w:val="0"/>
          <w:numId w:val="1"/>
        </w:numPr>
      </w:pPr>
      <w:r>
        <w:rPr>
          <w:rFonts w:hint="default"/>
        </w:rPr>
        <w:t>Discussion</w:t>
      </w:r>
    </w:p>
    <w:p w14:paraId="243162C8">
      <w:pPr>
        <w:numPr>
          <w:ilvl w:val="0"/>
          <w:numId w:val="1"/>
        </w:numPr>
      </w:pPr>
      <w:r>
        <w:rPr>
          <w:rFonts w:hint="default"/>
        </w:rPr>
        <w:t>Conclusion</w:t>
      </w:r>
    </w:p>
    <w:p w14:paraId="5F4F8EE3">
      <w:pPr>
        <w:widowControl w:val="0"/>
        <w:numPr>
          <w:numId w:val="0"/>
        </w:numPr>
        <w:jc w:val="both"/>
        <w:rPr>
          <w:rFonts w:hint="default"/>
        </w:rPr>
      </w:pPr>
    </w:p>
    <w:p w14:paraId="23ADBC54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>Context : evaluation de la transparance et estimer l’imapct environnemental (consomation energitique du co2 ) de la recherche en ia musical presentées a la conference ISMIR 2017-2023</w:t>
      </w:r>
    </w:p>
    <w:p w14:paraId="2777575C">
      <w:pPr>
        <w:widowControl w:val="0"/>
        <w:numPr>
          <w:numId w:val="0"/>
        </w:numPr>
        <w:jc w:val="both"/>
        <w:rPr>
          <w:rFonts w:hint="default"/>
          <w:lang w:val="fr-FR"/>
        </w:rPr>
      </w:pPr>
    </w:p>
    <w:p w14:paraId="04D99E33">
      <w:pPr>
        <w:widowControl w:val="0"/>
        <w:numPr>
          <w:numId w:val="0"/>
        </w:numPr>
        <w:jc w:val="both"/>
        <w:rPr>
          <w:rFonts w:hint="default"/>
          <w:lang w:val="fr-FR"/>
        </w:rPr>
      </w:pPr>
    </w:p>
    <w:p w14:paraId="67E60C91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</w:rPr>
        <w:t>Méthodologie</w:t>
      </w:r>
      <w:r>
        <w:rPr>
          <w:rFonts w:hint="default"/>
          <w:lang w:val="fr-FR"/>
        </w:rPr>
        <w:t>:</w:t>
      </w:r>
    </w:p>
    <w:p w14:paraId="2CC2E590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Corpus 1 (N=80) : </w:t>
      </w:r>
    </w:p>
    <w:p w14:paraId="4D00F9E9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- Articles ISMIR 2017-2023 présentant des modèles de génération musicale automatique (AMG)</w:t>
      </w:r>
    </w:p>
    <w:p w14:paraId="15598BBD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Exclusion des papiers pré-2017 (modèles non-deep learning) </w:t>
      </w:r>
    </w:p>
    <w:p w14:paraId="48355788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  <w:lang w:val="fr-FR"/>
        </w:rPr>
        <w:t>c</w:t>
      </w:r>
      <w:r>
        <w:rPr>
          <w:rFonts w:hint="default"/>
        </w:rPr>
        <w:t>orpus 2 (N=33) :</w:t>
      </w:r>
    </w:p>
    <w:p w14:paraId="539D288A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Articles ISMIR 2022-2023 présentant des modèles d'analyse musicale avec GPU</w:t>
      </w:r>
    </w:p>
    <w:p w14:paraId="130BAF0E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Complément pour avoir une vision au-delà de la génération</w:t>
      </w:r>
    </w:p>
    <w:p w14:paraId="3BB2CD4C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Données collectées :</w:t>
      </w:r>
    </w:p>
    <w:p w14:paraId="31C999D1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Temps d'entraînement</w:t>
      </w:r>
    </w:p>
    <w:p w14:paraId="55EF4E5E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Type et nombre de GPU/TPU </w:t>
      </w:r>
    </w:p>
    <w:p w14:paraId="36D35BFF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- Nombre de paramètres </w:t>
      </w:r>
    </w:p>
    <w:p w14:paraId="35186EF0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- Affiliations (pays, entreprises)</w:t>
      </w:r>
    </w:p>
    <w:p w14:paraId="01A94C24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Financements</w:t>
      </w:r>
    </w:p>
    <w:p w14:paraId="000D403B">
      <w:pPr>
        <w:widowControl w:val="0"/>
        <w:numPr>
          <w:numId w:val="0"/>
        </w:numPr>
        <w:jc w:val="both"/>
        <w:rPr>
          <w:rFonts w:hint="default"/>
        </w:rPr>
      </w:pPr>
    </w:p>
    <w:p w14:paraId="131686DF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Calcul énergétique : </w:t>
      </w:r>
    </w:p>
    <w:p w14:paraId="7F540567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Énergie (kWh) = Nb GPU × Temps (heures) × TDP (puissance thermique) </w:t>
      </w:r>
    </w:p>
    <w:p w14:paraId="7B70FA4D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</w:rPr>
        <w:t>Résultats clés</w:t>
      </w:r>
      <w:r>
        <w:rPr>
          <w:rFonts w:hint="default"/>
          <w:lang w:val="fr-FR"/>
        </w:rPr>
        <w:t>:</w:t>
      </w:r>
    </w:p>
    <w:p w14:paraId="56DE69B3">
      <w:pPr>
        <w:widowControl w:val="0"/>
        <w:numPr>
          <w:numId w:val="0"/>
        </w:numPr>
        <w:ind w:firstLine="708" w:firstLineChars="0"/>
        <w:jc w:val="both"/>
        <w:rPr>
          <w:rFonts w:hint="default"/>
        </w:rPr>
      </w:pPr>
      <w:r>
        <w:rPr>
          <w:rFonts w:hint="default"/>
          <w:lang w:val="fr-FR"/>
        </w:rPr>
        <w:t>-</w:t>
      </w:r>
      <w:r>
        <w:rPr>
          <w:rFonts w:hint="default"/>
        </w:rPr>
        <w:t>Transparence catastrophique :- 75% des papiers (60/80)</w:t>
      </w:r>
    </w:p>
    <w:p w14:paraId="4B5A9DCC">
      <w:pPr>
        <w:widowControl w:val="0"/>
        <w:numPr>
          <w:numId w:val="0"/>
        </w:numPr>
        <w:ind w:firstLine="708" w:firstLineChars="0"/>
        <w:jc w:val="both"/>
        <w:rPr>
          <w:rFonts w:hint="default"/>
        </w:rPr>
      </w:pPr>
      <w:r>
        <w:rPr>
          <w:rFonts w:hint="default"/>
        </w:rPr>
        <w:t xml:space="preserve"> ne donnent AUCUNE info sur le matériel/temps d'entraînement </w:t>
      </w:r>
    </w:p>
    <w:p w14:paraId="6622C086">
      <w:pPr>
        <w:widowControl w:val="0"/>
        <w:numPr>
          <w:numId w:val="0"/>
        </w:numPr>
        <w:ind w:firstLine="708" w:firstLineChars="0"/>
        <w:jc w:val="both"/>
        <w:rPr>
          <w:rFonts w:hint="default"/>
        </w:rPr>
      </w:pPr>
      <w:r>
        <w:rPr>
          <w:rFonts w:hint="default"/>
        </w:rPr>
        <w:t xml:space="preserve">- Seulement 23% des 113 papiers sont complètement transparents </w:t>
      </w:r>
    </w:p>
    <w:p w14:paraId="31DCC61F">
      <w:pPr>
        <w:widowControl w:val="0"/>
        <w:numPr>
          <w:numId w:val="0"/>
        </w:numPr>
        <w:ind w:firstLine="708" w:firstLineChars="0"/>
        <w:jc w:val="both"/>
        <w:rPr>
          <w:rFonts w:hint="default"/>
        </w:rPr>
      </w:pPr>
      <w:r>
        <w:rPr>
          <w:rFonts w:hint="default"/>
        </w:rPr>
        <w:t xml:space="preserve">- 0 mention des mots "environment", "sustainability", "carbon", "energy" dans tous les corpus </w:t>
      </w:r>
    </w:p>
    <w:p w14:paraId="5FC34785">
      <w:pPr>
        <w:widowControl w:val="0"/>
        <w:numPr>
          <w:numId w:val="0"/>
        </w:numPr>
        <w:jc w:val="both"/>
        <w:rPr>
          <w:rFonts w:hint="default"/>
        </w:rPr>
      </w:pPr>
    </w:p>
    <w:p w14:paraId="3FD0C299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Énergie par modèle (N=26 avec infos complètes) :</w:t>
      </w:r>
    </w:p>
    <w:p w14:paraId="53D6E413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Moyenne : 224.8 kWh </w:t>
      </w:r>
    </w:p>
    <w:p w14:paraId="3827C5C2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Médiane : 18.46 kWh </w:t>
      </w:r>
    </w:p>
    <w:p w14:paraId="3F49798F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Minimum : 0.2 kWh </w:t>
      </w:r>
    </w:p>
    <w:p w14:paraId="3CFC3B65">
      <w:pPr>
        <w:widowControl w:val="0"/>
        <w:numPr>
          <w:numId w:val="0"/>
        </w:numPr>
        <w:ind w:firstLine="105" w:firstLineChars="50"/>
        <w:jc w:val="both"/>
        <w:rPr>
          <w:rFonts w:hint="default"/>
        </w:rPr>
      </w:pPr>
      <w:r>
        <w:rPr>
          <w:rFonts w:hint="default"/>
        </w:rPr>
        <w:t>-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Maximum : 4375 kWh (Hawthorne et al 2022)</w:t>
      </w:r>
    </w:p>
    <w:p w14:paraId="72F4001A">
      <w:pPr>
        <w:widowControl w:val="0"/>
        <w:numPr>
          <w:numId w:val="0"/>
        </w:numPr>
        <w:ind w:firstLine="105" w:firstLineChars="50"/>
        <w:jc w:val="both"/>
        <w:rPr>
          <w:rFonts w:hint="default"/>
        </w:rPr>
      </w:pPr>
      <w:r>
        <w:rPr>
          <w:rFonts w:hint="default"/>
        </w:rPr>
        <w:t>Top 3 plus énergivores :</w:t>
      </w:r>
    </w:p>
    <w:p w14:paraId="5DB01900">
      <w:pPr>
        <w:widowControl w:val="0"/>
        <w:numPr>
          <w:ilvl w:val="0"/>
          <w:numId w:val="2"/>
        </w:numPr>
        <w:ind w:left="858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Hawthorne et al 2022 : 4375 kWh (Google) </w:t>
      </w:r>
    </w:p>
    <w:p w14:paraId="44BC17D0">
      <w:pPr>
        <w:widowControl w:val="0"/>
        <w:numPr>
          <w:ilvl w:val="0"/>
          <w:numId w:val="2"/>
        </w:numPr>
        <w:ind w:left="858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McCallum et al 2022 : 444 kWh (industrie)</w:t>
      </w:r>
    </w:p>
    <w:p w14:paraId="53CA45B4">
      <w:pPr>
        <w:widowControl w:val="0"/>
        <w:numPr>
          <w:ilvl w:val="0"/>
          <w:numId w:val="2"/>
        </w:numPr>
        <w:ind w:left="858" w:leftChars="0" w:firstLine="0" w:firstLineChars="0"/>
        <w:jc w:val="both"/>
        <w:rPr>
          <w:rFonts w:hint="default"/>
        </w:rPr>
      </w:pPr>
      <w:r>
        <w:rPr>
          <w:rFonts w:hint="default"/>
        </w:rPr>
        <w:t xml:space="preserve"> Toyama et al 2023 : 296 kWh (Sony) </w:t>
      </w:r>
    </w:p>
    <w:p w14:paraId="7DF62932">
      <w:pPr>
        <w:widowControl w:val="0"/>
        <w:numPr>
          <w:numId w:val="0"/>
        </w:numPr>
        <w:ind w:left="858" w:leftChars="0"/>
        <w:jc w:val="both"/>
        <w:rPr>
          <w:rFonts w:hint="default"/>
        </w:rPr>
      </w:pPr>
    </w:p>
    <w:p w14:paraId="0237F2DB">
      <w:pPr>
        <w:widowControl w:val="0"/>
        <w:numPr>
          <w:numId w:val="0"/>
        </w:numPr>
        <w:ind w:left="858" w:leftChars="0"/>
        <w:jc w:val="both"/>
        <w:rPr>
          <w:rFonts w:hint="default"/>
        </w:rPr>
      </w:pPr>
    </w:p>
    <w:p w14:paraId="2C8343A0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Rôle de l'industrie :</w:t>
      </w:r>
    </w:p>
    <w:p w14:paraId="5A4BC605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- 40% des papiers AMG (2020-2023) ont des co-auteurs d'entreprises privées</w:t>
      </w:r>
    </w:p>
    <w:p w14:paraId="5D28D523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Les papiers avec affiliations industrielles = 89% de la consommation énergétique Totale</w:t>
      </w:r>
    </w:p>
    <w:p w14:paraId="4A9F8E33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Très peu de transparence sur le financement corporate</w:t>
      </w:r>
    </w:p>
    <w:p w14:paraId="5739C643">
      <w:pPr>
        <w:widowControl w:val="0"/>
        <w:numPr>
          <w:numId w:val="0"/>
        </w:numPr>
        <w:jc w:val="both"/>
        <w:rPr>
          <w:rFonts w:hint="default"/>
        </w:rPr>
      </w:pPr>
    </w:p>
    <w:p w14:paraId="2395028C">
      <w:pPr>
        <w:widowControl w:val="0"/>
        <w:numPr>
          <w:numId w:val="0"/>
        </w:numPr>
        <w:jc w:val="both"/>
        <w:rPr>
          <w:rFonts w:hint="default"/>
        </w:rPr>
      </w:pPr>
    </w:p>
    <w:p w14:paraId="0FDEC7F6">
      <w:pPr>
        <w:widowControl w:val="0"/>
        <w:numPr>
          <w:numId w:val="0"/>
        </w:numPr>
        <w:jc w:val="both"/>
        <w:rPr>
          <w:rFonts w:hint="default"/>
        </w:rPr>
      </w:pPr>
    </w:p>
    <w:p w14:paraId="0A6FC97F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-USA : 20 papiers (1er)</w:t>
      </w:r>
    </w:p>
    <w:p w14:paraId="765034BE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-Chine : 16 papiers (2e)</w:t>
      </w:r>
    </w:p>
    <w:p w14:paraId="2A3318E0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Taiwan : 11 papiers</w:t>
      </w:r>
    </w:p>
    <w:p w14:paraId="453C65BB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Japon : 11 papiers</w:t>
      </w:r>
    </w:p>
    <w:p w14:paraId="6CB8F458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UK : 8 papiers </w:t>
      </w:r>
    </w:p>
    <w:p w14:paraId="3E7F2B4C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Ces 5 pays = 60% des publications AMG </w:t>
      </w:r>
    </w:p>
    <w:p w14:paraId="3A043A41">
      <w:pPr>
        <w:widowControl w:val="0"/>
        <w:numPr>
          <w:numId w:val="0"/>
        </w:numPr>
        <w:jc w:val="both"/>
        <w:rPr>
          <w:rFonts w:hint="default"/>
        </w:rPr>
      </w:pPr>
    </w:p>
    <w:p w14:paraId="18F6185A">
      <w:pPr>
        <w:widowControl w:val="0"/>
        <w:numPr>
          <w:numId w:val="0"/>
        </w:numPr>
        <w:jc w:val="both"/>
        <w:rPr>
          <w:rFonts w:hint="default"/>
        </w:rPr>
      </w:pPr>
    </w:p>
    <w:p w14:paraId="66391B20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Estimation CO2 pour ISMIR 2023 :</w:t>
      </w:r>
    </w:p>
    <w:p w14:paraId="7C1A36AD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- Hypothèses : 50% des papiers entraînent des modèles DL, médiane = 18.46 kWh, facteur 20 pour le cycle complet de R&amp;D </w:t>
      </w:r>
    </w:p>
    <w:p w14:paraId="2036195E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- Énergie totale : 19.20 MWh</w:t>
      </w:r>
    </w:p>
    <w:p w14:paraId="76B10299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- CO2 total : ~7.6 tonnes de CO2</w:t>
      </w:r>
    </w:p>
    <w:p w14:paraId="79DED45C">
      <w:pPr>
        <w:widowControl w:val="0"/>
        <w:numPr>
          <w:numId w:val="0"/>
        </w:numPr>
        <w:jc w:val="both"/>
        <w:rPr>
          <w:rFonts w:hint="default"/>
        </w:rPr>
      </w:pPr>
    </w:p>
    <w:p w14:paraId="07F78D1D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Comparaison : GPT-3 seul = 85 tonnes de CO2 (10× plus qu'ISMIR entier) </w:t>
      </w:r>
    </w:p>
    <w:p w14:paraId="09C6963B">
      <w:pPr>
        <w:widowControl w:val="0"/>
        <w:numPr>
          <w:numId w:val="0"/>
        </w:numPr>
        <w:jc w:val="both"/>
        <w:rPr>
          <w:rFonts w:hint="default"/>
        </w:rPr>
      </w:pPr>
    </w:p>
    <w:p w14:paraId="54C909C3">
      <w:pPr>
        <w:widowControl w:val="0"/>
        <w:numPr>
          <w:numId w:val="0"/>
        </w:numPr>
        <w:jc w:val="both"/>
        <w:rPr>
          <w:rFonts w:hint="default"/>
          <w:lang w:val="fr-FR"/>
        </w:rPr>
      </w:pPr>
      <w:r>
        <w:rPr>
          <w:rFonts w:hint="default"/>
        </w:rPr>
        <w:t xml:space="preserve">Points intéressants </w:t>
      </w:r>
      <w:r>
        <w:rPr>
          <w:rFonts w:hint="default"/>
          <w:lang w:val="fr-FR"/>
        </w:rPr>
        <w:t>:</w:t>
      </w:r>
    </w:p>
    <w:p w14:paraId="6958FB01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Augmentation de l'intérêt corporate pour la génération musicale (40% des papiers vs 27% avant 2020) </w:t>
      </w:r>
    </w:p>
    <w:p w14:paraId="205D2D84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Pas de différence entre modèles génératifs et analytiques en termes d'énergie </w:t>
      </w:r>
    </w:p>
    <w:p w14:paraId="16028CD3">
      <w:pPr>
        <w:widowControl w:val="0"/>
        <w:numPr>
          <w:numId w:val="0"/>
        </w:numPr>
        <w:jc w:val="both"/>
        <w:rPr>
          <w:rFonts w:hint="default"/>
        </w:rPr>
      </w:pPr>
    </w:p>
    <w:p w14:paraId="31CD5A19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Aucune discussion environnementale dans les 113 papiers analysés</w:t>
      </w:r>
    </w:p>
    <w:p w14:paraId="685384FA">
      <w:pPr>
        <w:widowControl w:val="0"/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Manque de standardisation : contrairement à NeurIPS qui impose de documenter les ressources</w:t>
      </w:r>
    </w:p>
    <w:p w14:paraId="55BC27F9">
      <w:pPr>
        <w:widowControl w:val="0"/>
        <w:numPr>
          <w:numId w:val="0"/>
        </w:numPr>
        <w:jc w:val="both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F853F7"/>
    <w:multiLevelType w:val="singleLevel"/>
    <w:tmpl w:val="ECF853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D780218"/>
    <w:multiLevelType w:val="singleLevel"/>
    <w:tmpl w:val="6D780218"/>
    <w:lvl w:ilvl="0" w:tentative="0">
      <w:start w:val="1"/>
      <w:numFmt w:val="decimal"/>
      <w:suff w:val="space"/>
      <w:lvlText w:val="%1."/>
      <w:lvlJc w:val="left"/>
      <w:pPr>
        <w:ind w:left="858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409EA"/>
    <w:rsid w:val="4AE53317"/>
    <w:rsid w:val="7103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2026-02-03T19:33:13Z</dcterms:created>
  <dc:creator>pc</dc:creator>
  <cp:lastModifiedBy>pc</cp:lastModifiedBy>
  <dcterms:modified xsi:type="dcterms:W3CDTF">2026-02-03T20:02:54Z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C70CF7DF46FE4EC89818AFF7AD897115_12</vt:lpwstr>
  </property>
</Properties>
</file>