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Prisma — vendere l'app ad altri studi</w:t>
      </w:r>
    </w:p>
    <w:p>
      <w:pPr>
        <w:spacing w:after="80"/>
      </w:pPr>
      <w:r>
        <w:rPr>
          <w:i/>
          <w:iCs/>
          <w:color w:val="5A6472"/>
        </w:rPr>
        <w:t xml:space="preserve">Privacy/GDPR, protezione del codice sorgente, sicurezza informatica e aspetti contrattuali — sintesi operativa</w:t>
      </w:r>
    </w:p>
    <w:p>
      <w:pPr>
        <w:spacing w:after="360"/>
      </w:pPr>
      <w:r>
        <w:rPr>
          <w:color w:val="5A6472"/>
          <w:sz w:val="18"/>
          <w:szCs w:val="18"/>
        </w:rPr>
        <w:t xml:space="preserve">Ricerca preparata per Matteo Palombo — Studio Quadra, Vicenza · settembre 2026</w:t>
      </w:r>
    </w:p>
    <w:p>
      <w:pPr>
        <w:pStyle w:val="Heading1"/>
        <w:spacing w:after="160" w:before="320"/>
      </w:pPr>
      <w:r>
        <w:t xml:space="preserve">Premessa e sintesi</w:t>
      </w:r>
    </w:p>
    <w:p>
      <w:pPr>
        <w:spacing w:after="160"/>
      </w:pPr>
      <w:r>
        <w:rPr>
          <w:b w:val="false"/>
          <w:bCs w:val="false"/>
          <w:i w:val="false"/>
          <w:iCs w:val="false"/>
        </w:rPr>
        <w:t xml:space="preserve">Prisma oggi gira sul PC dello studio, con dati che restano lì (o su un server locale). Venderlo ad altri studi commercialisti cambia lo scenario: il codice arriva fisicamente sul PC di qualcun altro, con pieno accesso da amministratore — e questo pone un limite tecnico reale a "impedire di vedere/modificare il codice" (punto 2 sotto). Le tre cose davvero ottenibili, in ordine di importanza pratica:</w:t>
      </w:r>
    </w:p>
    <w:p>
      <w:pPr>
        <w:pStyle w:val="ListParagraph"/>
        <w:numPr>
          <w:ilvl w:val="0"/>
          <w:numId w:val="1"/>
        </w:numPr>
        <w:spacing w:after="80"/>
      </w:pPr>
      <w:r>
        <w:t xml:space="preserve">Un contratto di licenza (EULA) scritto bene, che protegga legalmente anche se la protezione tecnica non è perfetta al 100%.</w:t>
      </w:r>
    </w:p>
    <w:p>
      <w:pPr>
        <w:pStyle w:val="ListParagraph"/>
        <w:numPr>
          <w:ilvl w:val="0"/>
          <w:numId w:val="1"/>
        </w:numPr>
        <w:spacing w:after="80"/>
      </w:pPr>
      <w:r>
        <w:t xml:space="preserve">Una postura di sicurezza informatica solida (molto già fatto in Prisma: portale password-protetto, licensing, backup, HTTPS su ngrok).</w:t>
      </w:r>
    </w:p>
    <w:p>
      <w:pPr>
        <w:pStyle w:val="ListParagraph"/>
        <w:numPr>
          <w:ilvl w:val="0"/>
          <w:numId w:val="1"/>
        </w:numPr>
        <w:spacing w:after="80"/>
      </w:pPr>
      <w:r>
        <w:t xml:space="preserve">Una protezione del codice "onesta": rendere la manomissione scomoda e rilevabile, non pretendere di renderla impossibile.</w:t>
      </w:r>
    </w:p>
    <w:p>
      <w:pPr>
        <w:spacing w:after="160"/>
      </w:pPr>
      <w:r>
        <w:rPr>
          <w:b w:val="false"/>
          <w:bCs w:val="false"/>
          <w:i w:val="false"/>
          <w:iCs w:val="false"/>
        </w:rPr>
        <w:t xml:space="preserve">Sul fronte GDPR il punto centrale è diverso da come sembra a prima vista: Prisma non tratta MAI direttamente i dati (li tratta lo studio cliente sul proprio PC/server), quindi come software house Matteo non diventa "responsabile del trattamento" nel senso classico dell'art. 28 — a meno di introdurre servizi cloud/hosting centralizzati. Il dettaglio è nella sezione 1.</w:t>
      </w:r>
    </w:p>
    <w:p>
      <w:pPr>
        <w:pStyle w:val="Heading1"/>
        <w:spacing w:after="160" w:before="320"/>
      </w:pPr>
      <w:r>
        <w:t xml:space="preserve">1. Privacy e GDPR</w:t>
      </w:r>
    </w:p>
    <w:p>
      <w:pPr>
        <w:pStyle w:val="Heading2"/>
        <w:spacing w:after="120" w:before="240"/>
      </w:pPr>
      <w:r>
        <w:t xml:space="preserve">1.1 — Il ruolo di chi vende Prisma cambia in base all'architettura</w:t>
      </w:r>
    </w:p>
    <w:p>
      <w:pPr>
        <w:spacing w:after="160"/>
      </w:pPr>
      <w:r>
        <w:rPr>
          <w:b w:val="false"/>
          <w:bCs w:val="false"/>
          <w:i w:val="false"/>
          <w:iCs w:val="false"/>
        </w:rPr>
        <w:t xml:space="preserve">Con l'architettura attuale (server locale sul PC del cliente-studio, dati-studio.json sul suo disco, nessun dato che passa o si ferma su server di Matteo) Prisma è più simile a un software "on-premise" venduto con licenza, non a un servizio SaaS. In questo scenario lo studio-cliente resta l'unico titolare del trattamento dei dati dei SUOI clienti fiscali, ed è lui a dover fare le proprie nomine e adempimenti (registro dei trattamenti, informativa, ecc.) — non cambia nulla per lui rispetto a un gestionale desktop "tradizionale".</w:t>
      </w:r>
    </w:p>
    <w:p>
      <w:pPr>
        <w:spacing w:after="160"/>
      </w:pPr>
      <w:r>
        <w:rPr>
          <w:b w:val="false"/>
          <w:bCs w:val="false"/>
          <w:i w:val="false"/>
          <w:iCs w:val="false"/>
        </w:rPr>
        <w:t xml:space="preserve">Il fornitore del software (Matteo/Idle Souls) diventa invece "responsabile del trattamento" ex art. 28 GDPR solo se/quando fornisce un servizio che comporta un ACCESSO ai dati dello studio-cliente — tipicamente: assistenza remota con accesso ai dati, hosting/backup centralizzato dei dati su server proprio, oppure un componente cloud (es. se in futuro Prisma salvasse dati su un server di Matteo invece che su quello del singolo studio). Il licensing-server attuale (attivazione/controllo licenza) tratta dati minimi (fingerprint macchina, nome studio, scadenza) — verificare che non ecceda questo perimetro.</w:t>
      </w:r>
    </w:p>
    <w:p>
      <w:pPr>
        <w:pStyle w:val="Heading2"/>
        <w:spacing w:after="120" w:before="240"/>
      </w:pPr>
      <w:r>
        <w:t xml:space="preserve">1.2 — Cosa serve comunque, anche restando "solo fornitore di software"</w:t>
      </w:r>
    </w:p>
    <w:p>
      <w:pPr>
        <w:pStyle w:val="ListParagraph"/>
        <w:numPr>
          <w:ilvl w:val="0"/>
          <w:numId w:val="1"/>
        </w:numPr>
        <w:spacing w:after="80"/>
      </w:pPr>
      <w:r>
        <w:t xml:space="preserve">Un contratto/EULA che dichiari esplicitamente questo perimetro: Prisma non trasmette né conserva presso terzi i dati dei clienti dello studio, salvo le eccezioni esplicite (licensing, aggiornamenti automatici — vedi sotto) da elencare una per una.</w:t>
      </w:r>
    </w:p>
    <w:p>
      <w:pPr>
        <w:pStyle w:val="ListParagraph"/>
        <w:numPr>
          <w:ilvl w:val="0"/>
          <w:numId w:val="1"/>
        </w:numPr>
        <w:spacing w:after="80"/>
      </w:pPr>
      <w:r>
        <w:t xml:space="preserve">Se in futuro si offre assistenza remota con accesso ai dati (TeamViewer/AnyDesk, come già previsto in Impostazioni), serve comunque un mini-DPA (nomina a responsabile del trattamento art. 28) da far firmare allo studio-cliente prima della prima sessione — un template semplice, non serve un contratto lungo.</w:t>
      </w:r>
    </w:p>
    <w:p>
      <w:pPr>
        <w:pStyle w:val="ListParagraph"/>
        <w:numPr>
          <w:ilvl w:val="0"/>
          <w:numId w:val="1"/>
        </w:numPr>
        <w:spacing w:after="80"/>
      </w:pPr>
      <w:r>
        <w:t xml:space="preserve">Il sistema di controllo aggiornamenti (che contatta GitHub) e il licensing online vanno dichiarati nell'informativa/EULA come "dati tecnici trasmessi" (versione installata, fingerprint macchina) — sono dati che NON riguardano i clienti fiscali dello studio, ma vanno comunque menzionati per trasparenza.</w:t>
      </w:r>
    </w:p>
    <w:p>
      <w:pPr>
        <w:pStyle w:val="ListParagraph"/>
        <w:numPr>
          <w:ilvl w:val="0"/>
          <w:numId w:val="1"/>
        </w:numPr>
        <w:spacing w:after="80"/>
      </w:pPr>
      <w:r>
        <w:t xml:space="preserve">Misure di sicurezza "adeguate allo stato dell'arte" (art. 32 GDPR) restano comunque richieste allo studio-cliente che usa Prisma — è utile fornirgli una scheda con le impostazioni consigliate (password sul portale cliente, password sull'accesso remoto team, backup attivi) da consegnare come "misure minime raccomandate", così lo studio ha già pronto cosa scrivere nel proprio registro dei trattamenti.</w:t>
      </w:r>
    </w:p>
    <w:p>
      <w:pPr>
        <w:spacing w:after="160"/>
      </w:pPr>
      <w:r>
        <w:rPr>
          <w:b w:val="false"/>
          <w:bCs w:val="false"/>
          <w:i w:val="false"/>
          <w:iCs w:val="false"/>
        </w:rPr>
        <w:t xml:space="preserve">Fonti: Legiscope — nomina del responsabile del trattamento art. 28; Agenda Digitale — GDPR e commercialisti.</w:t>
      </w:r>
    </w:p>
    <w:p>
      <w:pPr>
        <w:pStyle w:val="Heading1"/>
        <w:spacing w:after="160" w:before="320"/>
      </w:pPr>
      <w:r>
        <w:t xml:space="preserve">2. Protezione del codice sorgente — cosa è realistico ottenere</w:t>
      </w:r>
    </w:p>
    <w:p>
      <w:pPr>
        <w:spacing w:after="160"/>
      </w:pPr>
      <w:r>
        <w:rPr>
          <w:b w:val="false"/>
          <w:bCs w:val="false"/>
          <w:i w:val="false"/>
          <w:iCs w:val="false"/>
        </w:rPr>
        <w:t xml:space="preserve">Va detto con franchezza: nessuna protezione tecnica rende un'app Electron davvero "impossibile da vedere o modificare" per chi ha accesso da amministratore al proprio PC, che è esattamente la situazione di un cliente che compra Prisma e lo installa sul proprio computer. Anche i sistemi più aggressivi (bytecode V8, offuscamento) vengono aggirati da strumenti di decompilazione dedicati nel giro di ore, secondo le analisi tecniche più recenti sul tema. L'obiettivo realistico non è "impossibile", è "abbastanza scomodo e rilevabile da scoraggiare il 99% dei casi" — più la parte legale (sezione 4) a coprire il resto.</w:t>
      </w:r>
    </w:p>
    <w:p>
      <w:pPr>
        <w:pStyle w:val="Heading2"/>
        <w:spacing w:after="120" w:before="240"/>
      </w:pPr>
      <w:r>
        <w:t xml:space="preserve">2.1 — Livelli di protezione tecnica, in ordine di sforzo/efficacia</w:t>
      </w:r>
    </w:p>
    <w:p>
      <w:pPr>
        <w:pStyle w:val="ListParagraph"/>
        <w:numPr>
          <w:ilvl w:val="0"/>
          <w:numId w:val="1"/>
        </w:numPr>
        <w:spacing w:after="80"/>
      </w:pPr>
      <w:r>
        <w:t xml:space="preserve">ASAR packaging (Electron): impacchetta i file dell'app in un unico archivio invece di lasciarli come cartella di file .htm/.js leggibili — il minimo indispensabile, praticamente gratuito da attivare in fase di build, ma bypassabile in pochi secondi da chiunque sappia cosa cercare.</w:t>
      </w:r>
    </w:p>
    <w:p>
      <w:pPr>
        <w:pStyle w:val="ListParagraph"/>
        <w:numPr>
          <w:ilvl w:val="0"/>
          <w:numId w:val="1"/>
        </w:numPr>
        <w:spacing w:after="80"/>
      </w:pPr>
      <w:r>
        <w:t xml:space="preserve">Minificazione + offuscamento del JavaScript (es. javascript-obfuscator): rende il codice illeggibile a occhio nudo — richiede qualche ora di lavoro (pipeline di build), aggira un curioso qualunque ma non un tecnico deciso.</w:t>
      </w:r>
    </w:p>
    <w:p>
      <w:pPr>
        <w:pStyle w:val="ListParagraph"/>
        <w:numPr>
          <w:ilvl w:val="0"/>
          <w:numId w:val="1"/>
        </w:numPr>
        <w:spacing w:after="80"/>
      </w:pPr>
      <w:r>
        <w:t xml:space="preserve">Compilazione a bytecode V8 (electron-vite lo offre integrato): un passo oltre l'offuscamento — più solido, ma anche questo è stato reso reversibile da decompilatori dedicati pubblicati nel 2025-2026 (vedi jscdecompiler.com).</w:t>
      </w:r>
    </w:p>
    <w:p>
      <w:pPr>
        <w:pStyle w:val="ListParagraph"/>
        <w:numPr>
          <w:ilvl w:val="0"/>
          <w:numId w:val="1"/>
        </w:numPr>
        <w:spacing w:after="80"/>
      </w:pPr>
      <w:r>
        <w:t xml:space="preserve">Integrità ASAR + firma del codice (code signing): non impedisce di leggere il codice, ma impedisce che l'app SI AVVII se qualcuno ha modificato i file — è la difesa più efficace contro la manomissione (diverso dalla lettura): se un cliente altera gestionale.htm per, es., disattivare il controllo licenza, l'app smette di partire invece di partire "modificata".</w:t>
      </w:r>
    </w:p>
    <w:p>
      <w:pPr>
        <w:spacing w:after="160"/>
      </w:pPr>
      <w:r>
        <w:rPr>
          <w:b w:val="false"/>
          <w:bCs w:val="false"/>
          <w:i w:val="false"/>
          <w:iCs w:val="false"/>
        </w:rPr>
        <w:t xml:space="preserve">Raccomandazione pratica: dato lo sforzo/beneficio, vale la pena fare ASAR + minificazione/offuscamento leggero + integrità ASAR con firma del codice quando si passa a una build "commerciale" per la vendita esterna (oggi Prisma.exe/electron-app è pensato per uso interno allo studio, dove questo non serve). Bytecode V8 è opzionale, un investimento in più per un beneficio marginale contro un attaccante davvero motivato.</w:t>
      </w:r>
    </w:p>
    <w:p>
      <w:pPr>
        <w:pStyle w:val="Heading2"/>
        <w:spacing w:after="120" w:before="240"/>
      </w:pPr>
      <w:r>
        <w:t xml:space="preserve">2.2 — Cosa NON serve reinventare: quello che c'è già</w:t>
      </w:r>
    </w:p>
    <w:p>
      <w:pPr>
        <w:spacing w:after="160"/>
      </w:pPr>
      <w:r>
        <w:rPr>
          <w:b w:val="false"/>
          <w:bCs w:val="false"/>
          <w:i w:val="false"/>
          <w:iCs w:val="false"/>
        </w:rPr>
        <w:t xml:space="preserve">Il sistema di licensing (licensing-server/, chiave pubblica/privata, controllo periodico, modalità sola-lettura se la licenza non è valida) è già la difesa più forte ed efficace che esiste per questo tipo di software: anche se qualcuno leggesse o copiasse il codice, senza una licenza valida emessa dal server di Matteo l'app resta bloccata in sola lettura. Va solo esteso quando si passa alla vendita esterna: oggi la chiave è pensata per lo studio stesso, andrà gestito un catalogo di licenze per-cliente (una chiave/codice per ogni studio che acquista, revocabile singolarmente in caso di problemi — es. mancato pagamento, o sospetto di redistribuzione non autorizzata).</w:t>
      </w:r>
    </w:p>
    <w:p>
      <w:pPr>
        <w:spacing w:after="160"/>
      </w:pPr>
      <w:r>
        <w:rPr>
          <w:b w:val="false"/>
          <w:bCs w:val="false"/>
          <w:i w:val="false"/>
          <w:iCs w:val="false"/>
        </w:rPr>
        <w:t xml:space="preserve">Fonti: electron-vite — Source Code Protection; JSC Decompiler — Electron Source Code Protection is Broken.</w:t>
      </w:r>
    </w:p>
    <w:p>
      <w:pPr>
        <w:pStyle w:val="Heading1"/>
        <w:spacing w:after="160" w:before="320"/>
      </w:pPr>
      <w:r>
        <w:t xml:space="preserve">3. Sicurezza informatica (hardening)</w:t>
      </w:r>
    </w:p>
    <w:p>
      <w:pPr>
        <w:spacing w:after="160"/>
      </w:pPr>
      <w:r>
        <w:rPr>
          <w:b w:val="false"/>
          <w:bCs w:val="false"/>
          <w:i w:val="false"/>
          <w:iCs w:val="false"/>
        </w:rPr>
        <w:t xml:space="preserve">Buona parte del lavoro è già fatto in Prisma. Riassunto di cosa c'è e cosa aggiungere prima di distribuirlo fuori dallo studio:</w:t>
      </w:r>
    </w:p>
    <w:p>
      <w:pPr>
        <w:pStyle w:val="Heading2"/>
        <w:spacing w:after="120" w:before="240"/>
      </w:pPr>
      <w:r>
        <w:t xml:space="preserve">3.1 — Già presente</w:t>
      </w:r>
    </w:p>
    <w:p>
      <w:pPr>
        <w:pStyle w:val="ListParagraph"/>
        <w:numPr>
          <w:ilvl w:val="0"/>
          <w:numId w:val="1"/>
        </w:numPr>
        <w:spacing w:after="80"/>
      </w:pPr>
      <w:r>
        <w:t xml:space="preserve">Server interno (porta 8420) pensato per restare SOLO su rete locale/fidata, mai esposto direttamente a internet — architettura corretta.</w:t>
      </w:r>
    </w:p>
    <w:p>
      <w:pPr>
        <w:pStyle w:val="ListParagraph"/>
        <w:numPr>
          <w:ilvl w:val="0"/>
          <w:numId w:val="1"/>
        </w:numPr>
        <w:spacing w:after="80"/>
      </w:pPr>
      <w:r>
        <w:t xml:space="preserve">Portale cliente esterno (porta 8421) e accesso remoto team (porta 8422) separati, ciascuno con la propria password HTTP Basic Auth — corretto tenerli isolati dal server interno "pieno".</w:t>
      </w:r>
    </w:p>
    <w:p>
      <w:pPr>
        <w:pStyle w:val="ListParagraph"/>
        <w:numPr>
          <w:ilvl w:val="0"/>
          <w:numId w:val="1"/>
        </w:numPr>
        <w:spacing w:after="80"/>
      </w:pPr>
      <w:r>
        <w:t xml:space="preserve">Licensing con chiave pubblica/privata (crittografia asimmetrica) per validare le attivazioni — approccio standard e solido.</w:t>
      </w:r>
    </w:p>
    <w:p>
      <w:pPr>
        <w:pStyle w:val="ListParagraph"/>
        <w:numPr>
          <w:ilvl w:val="0"/>
          <w:numId w:val="1"/>
        </w:numPr>
        <w:spacing w:after="80"/>
      </w:pPr>
      <w:r>
        <w:t xml:space="preserve">Backup automatici con storico e possibilità di ripristino.</w:t>
      </w:r>
    </w:p>
    <w:p>
      <w:pPr>
        <w:pStyle w:val="ListParagraph"/>
        <w:numPr>
          <w:ilvl w:val="0"/>
          <w:numId w:val="1"/>
        </w:numPr>
        <w:spacing w:after="80"/>
      </w:pPr>
      <w:r>
        <w:t xml:space="preserve">Aggiornamenti solo da un host whitelisted (raw.githubusercontent.com) e solo per una lista di file predefinita — buona pratica, evita che un manifesto "avvelenato" scriva file arbitrari.</w:t>
      </w:r>
    </w:p>
    <w:p>
      <w:pPr>
        <w:pStyle w:val="Heading2"/>
        <w:spacing w:after="120" w:before="240"/>
      </w:pPr>
      <w:r>
        <w:t xml:space="preserve">3.2 — Da aggiungere prima di vendere ad altri studi</w:t>
      </w:r>
    </w:p>
    <w:p>
      <w:pPr>
        <w:pStyle w:val="ListParagraph"/>
        <w:numPr>
          <w:ilvl w:val="0"/>
          <w:numId w:val="1"/>
        </w:numPr>
        <w:spacing w:after="80"/>
      </w:pPr>
      <w:r>
        <w:t xml:space="preserve">npm audit sulle dipendenze (jsdom e le altre) prima di ogni release, con lockfile (package-lock.json) versionato e npm ci invece di npm install in fase di build — evita di distribuire vulnerabilità note senza saperlo.</w:t>
      </w:r>
    </w:p>
    <w:p>
      <w:pPr>
        <w:pStyle w:val="ListParagraph"/>
        <w:numPr>
          <w:ilvl w:val="0"/>
          <w:numId w:val="1"/>
        </w:numPr>
        <w:spacing w:after="80"/>
      </w:pPr>
      <w:r>
        <w:t xml:space="preserve">HTTPS anche sul server interno quando raggiungibile da altri dispositivi in rete locale (oggi è HTTP semplice) — su una rete WiFi condivisa (es. uno studio con ospiti/altri utenti sulla stessa rete) il traffico in chiaro è intercettabile; su reti davvero private il rischio è basso ma non nullo.</w:t>
      </w:r>
    </w:p>
    <w:p>
      <w:pPr>
        <w:pStyle w:val="ListParagraph"/>
        <w:numPr>
          <w:ilvl w:val="0"/>
          <w:numId w:val="1"/>
        </w:numPr>
        <w:spacing w:after="80"/>
      </w:pPr>
      <w:r>
        <w:t xml:space="preserve">Password generate più robuste per il portale cliente e l'accesso remoto team (verificare lunghezza/entropia minima) e un promemoria a cambiarle periodicamente, non solo alla prima attivazione.</w:t>
      </w:r>
    </w:p>
    <w:p>
      <w:pPr>
        <w:pStyle w:val="ListParagraph"/>
        <w:numPr>
          <w:ilvl w:val="0"/>
          <w:numId w:val="1"/>
        </w:numPr>
        <w:spacing w:after="80"/>
      </w:pPr>
      <w:r>
        <w:t xml:space="preserve">Rate limiting sui tentativi di login (Basic Auth) su porte 8421/8422, per rallentare un attacco a forza bruta sulla password.</w:t>
      </w:r>
    </w:p>
    <w:p>
      <w:pPr>
        <w:pStyle w:val="ListParagraph"/>
        <w:numPr>
          <w:ilvl w:val="0"/>
          <w:numId w:val="1"/>
        </w:numPr>
        <w:spacing w:after="80"/>
      </w:pPr>
      <w:r>
        <w:t xml:space="preserve">Un canale per segnalare vulnerabilità (anche solo un indirizzo email dedicato) — utile sia per credibilità commerciale sia perché prima o poi qualcuno troverà qualcosa, meglio che lo dica a Matteo invece che pubblicarlo.</w:t>
      </w:r>
    </w:p>
    <w:p>
      <w:pPr>
        <w:spacing w:after="160"/>
      </w:pPr>
      <w:r>
        <w:rPr>
          <w:b w:val="false"/>
          <w:bCs w:val="false"/>
          <w:i w:val="false"/>
          <w:iCs w:val="false"/>
        </w:rPr>
        <w:t xml:space="preserve">Fonti: Electron — Security (documentazione ufficiale); ADHDecode — Node.js Security Hardening Checklist.</w:t>
      </w:r>
    </w:p>
    <w:p>
      <w:pPr>
        <w:pStyle w:val="Heading1"/>
        <w:spacing w:after="160" w:before="320"/>
      </w:pPr>
      <w:r>
        <w:t xml:space="preserve">4. Aspetti contrattuali (EULA / contratto di licenza)</w:t>
      </w:r>
    </w:p>
    <w:p>
      <w:pPr>
        <w:spacing w:after="160"/>
      </w:pPr>
      <w:r>
        <w:rPr>
          <w:b w:val="false"/>
          <w:bCs w:val="false"/>
          <w:i w:val="false"/>
          <w:iCs w:val="false"/>
        </w:rPr>
        <w:t xml:space="preserve">Qui la protezione è più efficace di qualunque misura tecnica: un contratto di licenza scritto bene, fatto approvare esplicitamente (non solo "continuando accetti"), copre quello che il codice da solo non può impedire.</w:t>
      </w:r>
    </w:p>
    <w:p>
      <w:pPr>
        <w:pStyle w:val="Heading2"/>
        <w:spacing w:after="120" w:before="240"/>
      </w:pPr>
      <w:r>
        <w:t xml:space="preserve">4.1 — Cosa deve contenere, in pratica</w:t>
      </w:r>
    </w:p>
    <w:p>
      <w:pPr>
        <w:pStyle w:val="ListParagraph"/>
        <w:numPr>
          <w:ilvl w:val="0"/>
          <w:numId w:val="1"/>
        </w:numPr>
        <w:spacing w:after="80"/>
      </w:pPr>
      <w:r>
        <w:t xml:space="preserve">Concessione di licenza d'uso, non vendita: uso limitato allo studio licenziatario, non trasferibile, non sub-licenziabile a terzi.</w:t>
      </w:r>
    </w:p>
    <w:p>
      <w:pPr>
        <w:pStyle w:val="ListParagraph"/>
        <w:numPr>
          <w:ilvl w:val="0"/>
          <w:numId w:val="1"/>
        </w:numPr>
        <w:spacing w:after="80"/>
      </w:pPr>
      <w:r>
        <w:t xml:space="preserve">Divieto esplicito di decompilazione, reverse engineering, modifica del codice, rimozione dei controlli di licenza — anche se tecnicamente difficile da impedire al 100%, il divieto contrattuale dà a Matteo una base per agire (anche solo revocare la licenza e disattivare l'attivazione) se scoperto.</w:t>
      </w:r>
    </w:p>
    <w:p>
      <w:pPr>
        <w:pStyle w:val="ListParagraph"/>
        <w:numPr>
          <w:ilvl w:val="0"/>
          <w:numId w:val="1"/>
        </w:numPr>
        <w:spacing w:after="80"/>
      </w:pPr>
      <w:r>
        <w:t xml:space="preserve">Limitazione di responsabilità: in Italia, verso imprese/professionisti, è possibile limitare la responsabilità per danni salvo dolo o colpa grave (che restano sempre esclusi per legge — art. 1229 c.c.) — va scritta con attenzione, e per essere valida la clausola limitativa va approvata specificamente e per iscritto (non basta un rigo generico in mezzo al testo).</w:t>
      </w:r>
    </w:p>
    <w:p>
      <w:pPr>
        <w:pStyle w:val="ListParagraph"/>
        <w:numPr>
          <w:ilvl w:val="0"/>
          <w:numId w:val="1"/>
        </w:numPr>
        <w:spacing w:after="80"/>
      </w:pPr>
      <w:r>
        <w:t xml:space="preserve">Garanzia limitata ("as-is" salvo malfunzionamenti bloccanti) e chiarezza su cosa NON è coperto — es. Prisma non fornisce consulenza fiscale, resta uno strumento: lo studio resta responsabile dei calcoli e delle scadenze che gestisce.</w:t>
      </w:r>
    </w:p>
    <w:p>
      <w:pPr>
        <w:pStyle w:val="ListParagraph"/>
        <w:numPr>
          <w:ilvl w:val="0"/>
          <w:numId w:val="1"/>
        </w:numPr>
        <w:spacing w:after="80"/>
      </w:pPr>
      <w:r>
        <w:t xml:space="preserve">Clausola su aggiornamenti automatici: visto il nuovo meccanismo di controllo/scaricamento giornaliero, va dichiarato esplicitamente nell'EULA (cosa si scarica, da dove, che il riavvio per attivarlo resta sempre una scelta dello studio).</w:t>
      </w:r>
    </w:p>
    <w:p>
      <w:pPr>
        <w:pStyle w:val="ListParagraph"/>
        <w:numPr>
          <w:ilvl w:val="0"/>
          <w:numId w:val="1"/>
        </w:numPr>
        <w:spacing w:after="80"/>
      </w:pPr>
      <w:r>
        <w:t xml:space="preserve">Foro competente e legge applicabile (Italia, foro di Vicenza o dove preferito).</w:t>
      </w:r>
    </w:p>
    <w:p>
      <w:pPr>
        <w:spacing w:after="160"/>
      </w:pPr>
      <w:r>
        <w:rPr>
          <w:b w:val="false"/>
          <w:bCs w:val="false"/>
          <w:i w:val="false"/>
          <w:iCs w:val="false"/>
        </w:rPr>
        <w:t xml:space="preserve">Va steso o quantomeno rivisto da un avvocato: le clausole di limitazione di responsabilità, in particolare, non hanno effetto in Italia se non "approvate specificamente, separatamente dal contesto, e per iscritto" (art. 1341-1342 c.c.) — un dettaglio formale che, se sbagliato, vanifica la clausola stessa.</w:t>
      </w:r>
    </w:p>
    <w:p>
      <w:pPr>
        <w:spacing w:after="160"/>
      </w:pPr>
      <w:r>
        <w:rPr>
          <w:b w:val="false"/>
          <w:bCs w:val="false"/>
          <w:i w:val="false"/>
          <w:iCs w:val="false"/>
        </w:rPr>
        <w:t xml:space="preserve">Fonti: Cybersecurity360 — Licenze software, le responsabilità in caso di danni; IPRights — EULA cos'è e come scriverla.</w:t>
      </w:r>
    </w:p>
    <w:p>
      <w:pPr>
        <w:pStyle w:val="Heading1"/>
        <w:spacing w:after="160" w:before="320"/>
      </w:pPr>
      <w:r>
        <w:t xml:space="preserve">5. Prossimi passi concreti</w:t>
      </w:r>
    </w:p>
    <w:p>
      <w:pPr>
        <w:pStyle w:val="ListParagraph"/>
        <w:numPr>
          <w:ilvl w:val="0"/>
          <w:numId w:val="2"/>
        </w:numPr>
        <w:spacing w:after="100"/>
      </w:pPr>
      <w:r>
        <w:t xml:space="preserve">Far scrivere (o quantomeno rivedere) l'EULA da un avvocato — è il singolo intervento con il miglior rapporto protezione/sforzo, e sblocca la vendita in modo legalmente solido anche senza aspettare il resto.</w:t>
      </w:r>
    </w:p>
    <w:p>
      <w:pPr>
        <w:pStyle w:val="ListParagraph"/>
        <w:numPr>
          <w:ilvl w:val="0"/>
          <w:numId w:val="2"/>
        </w:numPr>
        <w:spacing w:after="100"/>
      </w:pPr>
      <w:r>
        <w:t xml:space="preserve">Estendere il licensing-server a gestire più licenze indipendenti (una per studio-cliente), con possibilità di revoca singola.</w:t>
      </w:r>
    </w:p>
    <w:p>
      <w:pPr>
        <w:pStyle w:val="ListParagraph"/>
        <w:numPr>
          <w:ilvl w:val="0"/>
          <w:numId w:val="2"/>
        </w:numPr>
        <w:spacing w:after="100"/>
      </w:pPr>
      <w:r>
        <w:t xml:space="preserve">Prima della prima vendita esterna: build con ASAR + offuscamento leggero + integrità/firma del codice (electron-app), invece della build "interna" attuale.</w:t>
      </w:r>
    </w:p>
    <w:p>
      <w:pPr>
        <w:pStyle w:val="ListParagraph"/>
        <w:numPr>
          <w:ilvl w:val="0"/>
          <w:numId w:val="2"/>
        </w:numPr>
        <w:spacing w:after="100"/>
      </w:pPr>
      <w:r>
        <w:t xml:space="preserve">npm audit + aggiornamento dipendenze, lockfile versionato, come parte del processo di release.</w:t>
      </w:r>
    </w:p>
    <w:p>
      <w:pPr>
        <w:pStyle w:val="ListParagraph"/>
        <w:numPr>
          <w:ilvl w:val="0"/>
          <w:numId w:val="2"/>
        </w:numPr>
        <w:spacing w:after="100"/>
      </w:pPr>
      <w:r>
        <w:t xml:space="preserve">Preparare una scheda "misure di sicurezza consigliate" da consegnare a ogni nuovo studio-cliente (password robuste sul portale/accesso remoto, backup attivi, aggiornamenti automatici lasciati attivi) — utile sia per la sicurezza reale sia perché lo studio-cliente la può riusare nel proprio registro dei trattamenti GDPR.</w:t>
      </w:r>
    </w:p>
    <w:p>
      <w:pPr>
        <w:pStyle w:val="ListParagraph"/>
        <w:numPr>
          <w:ilvl w:val="0"/>
          <w:numId w:val="2"/>
        </w:numPr>
        <w:spacing w:after="100"/>
      </w:pPr>
      <w:r>
        <w:t xml:space="preserve">Se/quando si offre assistenza remota con accesso ai dati di un cliente: preparare un mini-DPA (nomina responsabile del trattamento) da far firmare prima della prima sessione.</w:t>
      </w:r>
    </w:p>
    <w:p>
      <w:pPr>
        <w:spacing w:before="300"/>
      </w:pPr>
      <w:r>
        <w:rPr>
          <w:i/>
          <w:iCs/>
          <w:color w:val="5A6472"/>
          <w:sz w:val="18"/>
          <w:szCs w:val="18"/>
        </w:rPr>
        <w:t xml:space="preserve">Nota: questo documento è una sintesi operativa per orientare le decisioni, non una consulenza legale. Le clausole contrattuali (EULA, limitazione di responsabilità) vanno validate da un avvocato prima dell'uso — in particolare per la corretta approvazione scritta delle clausole ex art. 1341-1342 c.c.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2026-09-24T17:49:53.454Z</dcterms:created>
  <dcterms:modified xsi:type="dcterms:W3CDTF">2026-09-24T17:49:53.454Z</dcterms:modified>
</cp:coreProperties>
</file>

<file path=docProps/custom.xml><?xml version="1.0" encoding="utf-8"?>
<Properties xmlns="http://schemas.openxmlformats.org/officeDocument/2006/custom-properties" xmlns:vt="http://schemas.openxmlformats.org/officeDocument/2006/docPropsVTypes"/>
</file>