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24D"/>
          <w:sz w:val="60"/>
        </w:rPr>
        <w:t>FieldGuide AI</w:t>
      </w:r>
    </w:p>
    <w:p>
      <w:pPr>
        <w:jc w:val="center"/>
      </w:pPr>
      <w:r>
        <w:rPr>
          <w:b/>
          <w:color w:val="E86A33"/>
          <w:sz w:val="32"/>
        </w:rPr>
        <w:t>Configurable Offline Machine Diagnostic and Repair Intelligence Platform</w:t>
      </w:r>
    </w:p>
    <w:p>
      <w:pPr>
        <w:spacing w:before="480"/>
        <w:jc w:val="center"/>
      </w:pPr>
      <w:r>
        <w:rPr>
          <w:color w:val="5B6573"/>
          <w:sz w:val="22"/>
        </w:rPr>
        <w:t>Complete Product Definition, Architecture, Data, Metrics, Rules, Evaluation and Delivery Criteria</w:t>
      </w:r>
    </w:p>
    <w:p>
      <w:pPr>
        <w:spacing w:before="1600"/>
        <w:jc w:val="center"/>
      </w:pPr>
      <w:r>
        <w:rPr>
          <w:b/>
          <w:color w:val="17202A"/>
          <w:sz w:val="24"/>
        </w:rPr>
        <w:t>Prepared for Adithyash BChandaralingam</w:t>
      </w:r>
    </w:p>
    <w:p>
      <w:pPr>
        <w:jc w:val="center"/>
      </w:pPr>
      <w:r>
        <w:rPr>
          <w:color w:val="1C7C54"/>
          <w:sz w:val="20"/>
        </w:rPr>
        <w:t>Status: Final build specification for a local enterprise reference implementation</w:t>
      </w:r>
    </w:p>
    <w:p>
      <w:r>
        <w:br w:type="page"/>
      </w:r>
    </w:p>
    <w:p>
      <w:pPr>
        <w:pStyle w:val="Heading1"/>
      </w:pPr>
      <w:r>
        <w:t>How to use this specification</w:t>
      </w:r>
    </w:p>
    <w:p>
      <w:r>
        <w:t>This document is the single source of truth for product scope, design, implementation, testing, demonstration and handover. A developer or coding agent should preserve the hard rules and acceptance criteria unless an explicit change request updates this specification.</w:t>
      </w:r>
    </w:p>
    <w:tbl>
      <w:tblPr>
        <w:tblStyle w:val="TableGrid"/>
        <w:tblW w:type="auto" w:w="0"/>
        <w:jc w:val="center"/>
        <w:tblLook w:firstColumn="1" w:firstRow="1" w:lastColumn="0" w:lastRow="0" w:noHBand="0" w:noVBand="1" w:val="04A0"/>
      </w:tblPr>
      <w:tblGrid>
        <w:gridCol w:w="5083"/>
        <w:gridCol w:w="5083"/>
      </w:tblGrid>
      <w:tr>
        <w:trPr>
          <w:tblHeader/>
        </w:trPr>
        <w:tc>
          <w:tcPr>
            <w:tcW w:type="dxa" w:w="5083"/>
            <w:shd w:fill="17324D"/>
            <w:vAlign w:val="center"/>
          </w:tcPr>
          <w:p>
            <w:r>
              <w:rPr>
                <w:b/>
                <w:color w:val="FFFFFF"/>
                <w:sz w:val="17"/>
              </w:rPr>
              <w:t>Section</w:t>
            </w:r>
          </w:p>
        </w:tc>
        <w:tc>
          <w:tcPr>
            <w:tcW w:type="dxa" w:w="5083"/>
            <w:shd w:fill="17324D"/>
            <w:vAlign w:val="center"/>
          </w:tcPr>
          <w:p>
            <w:r>
              <w:rPr>
                <w:b/>
                <w:color w:val="FFFFFF"/>
                <w:sz w:val="17"/>
              </w:rPr>
              <w:t>Purpose</w:t>
            </w:r>
          </w:p>
        </w:tc>
      </w:tr>
      <w:tr>
        <w:tc>
          <w:tcPr>
            <w:tcW w:type="dxa" w:w="5083"/>
            <w:vAlign w:val="top"/>
          </w:tcPr>
          <w:p>
            <w:r>
              <w:rPr>
                <w:sz w:val="16"/>
              </w:rPr>
              <w:t>1</w:t>
            </w:r>
          </w:p>
        </w:tc>
        <w:tc>
          <w:tcPr>
            <w:tcW w:type="dxa" w:w="5083"/>
            <w:vAlign w:val="top"/>
          </w:tcPr>
          <w:p>
            <w:r>
              <w:rPr>
                <w:sz w:val="16"/>
              </w:rPr>
              <w:t>Executive definition and non-negotiable boundaries</w:t>
            </w:r>
          </w:p>
        </w:tc>
      </w:tr>
      <w:tr>
        <w:tc>
          <w:tcPr>
            <w:tcW w:type="dxa" w:w="5083"/>
            <w:vAlign w:val="top"/>
            <w:shd w:fill="F3F6F9"/>
          </w:tcPr>
          <w:p>
            <w:r>
              <w:rPr>
                <w:sz w:val="16"/>
              </w:rPr>
              <w:t>2</w:t>
            </w:r>
          </w:p>
        </w:tc>
        <w:tc>
          <w:tcPr>
            <w:tcW w:type="dxa" w:w="5083"/>
            <w:vAlign w:val="top"/>
            <w:shd w:fill="F3F6F9"/>
          </w:tcPr>
          <w:p>
            <w:r>
              <w:rPr>
                <w:sz w:val="16"/>
              </w:rPr>
              <w:t>Users, use cases and system context</w:t>
            </w:r>
          </w:p>
        </w:tc>
      </w:tr>
      <w:tr>
        <w:tc>
          <w:tcPr>
            <w:tcW w:type="dxa" w:w="5083"/>
            <w:vAlign w:val="top"/>
          </w:tcPr>
          <w:p>
            <w:r>
              <w:rPr>
                <w:sz w:val="16"/>
              </w:rPr>
              <w:t>3</w:t>
            </w:r>
          </w:p>
        </w:tc>
        <w:tc>
          <w:tcPr>
            <w:tcW w:type="dxa" w:w="5083"/>
            <w:vAlign w:val="top"/>
          </w:tcPr>
          <w:p>
            <w:r>
              <w:rPr>
                <w:sz w:val="16"/>
              </w:rPr>
              <w:t>Functional scope and interface</w:t>
            </w:r>
          </w:p>
        </w:tc>
      </w:tr>
      <w:tr>
        <w:tc>
          <w:tcPr>
            <w:tcW w:type="dxa" w:w="5083"/>
            <w:vAlign w:val="top"/>
            <w:shd w:fill="F3F6F9"/>
          </w:tcPr>
          <w:p>
            <w:r>
              <w:rPr>
                <w:sz w:val="16"/>
              </w:rPr>
              <w:t>4</w:t>
            </w:r>
          </w:p>
        </w:tc>
        <w:tc>
          <w:tcPr>
            <w:tcW w:type="dxa" w:w="5083"/>
            <w:vAlign w:val="top"/>
            <w:shd w:fill="F3F6F9"/>
          </w:tcPr>
          <w:p>
            <w:r>
              <w:rPr>
                <w:sz w:val="16"/>
              </w:rPr>
              <w:t>Architecture and module contracts</w:t>
            </w:r>
          </w:p>
        </w:tc>
      </w:tr>
      <w:tr>
        <w:tc>
          <w:tcPr>
            <w:tcW w:type="dxa" w:w="5083"/>
            <w:vAlign w:val="top"/>
          </w:tcPr>
          <w:p>
            <w:r>
              <w:rPr>
                <w:sz w:val="16"/>
              </w:rPr>
              <w:t>5</w:t>
            </w:r>
          </w:p>
        </w:tc>
        <w:tc>
          <w:tcPr>
            <w:tcW w:type="dxa" w:w="5083"/>
            <w:vAlign w:val="top"/>
          </w:tcPr>
          <w:p>
            <w:r>
              <w:rPr>
                <w:sz w:val="16"/>
              </w:rPr>
              <w:t>Machine profiles and document ingestion</w:t>
            </w:r>
          </w:p>
        </w:tc>
      </w:tr>
      <w:tr>
        <w:tc>
          <w:tcPr>
            <w:tcW w:type="dxa" w:w="5083"/>
            <w:vAlign w:val="top"/>
            <w:shd w:fill="F3F6F9"/>
          </w:tcPr>
          <w:p>
            <w:r>
              <w:rPr>
                <w:sz w:val="16"/>
              </w:rPr>
              <w:t>6</w:t>
            </w:r>
          </w:p>
        </w:tc>
        <w:tc>
          <w:tcPr>
            <w:tcW w:type="dxa" w:w="5083"/>
            <w:vAlign w:val="top"/>
            <w:shd w:fill="F3F6F9"/>
          </w:tcPr>
          <w:p>
            <w:r>
              <w:rPr>
                <w:sz w:val="16"/>
              </w:rPr>
              <w:t>Diagnostic, ML and retrieval workflows</w:t>
            </w:r>
          </w:p>
        </w:tc>
      </w:tr>
      <w:tr>
        <w:tc>
          <w:tcPr>
            <w:tcW w:type="dxa" w:w="5083"/>
            <w:vAlign w:val="top"/>
          </w:tcPr>
          <w:p>
            <w:r>
              <w:rPr>
                <w:sz w:val="16"/>
              </w:rPr>
              <w:t>7</w:t>
            </w:r>
          </w:p>
        </w:tc>
        <w:tc>
          <w:tcPr>
            <w:tcW w:type="dxa" w:w="5083"/>
            <w:vAlign w:val="top"/>
          </w:tcPr>
          <w:p>
            <w:r>
              <w:rPr>
                <w:sz w:val="16"/>
              </w:rPr>
              <w:t>Data sources and storage model</w:t>
            </w:r>
          </w:p>
        </w:tc>
      </w:tr>
      <w:tr>
        <w:tc>
          <w:tcPr>
            <w:tcW w:type="dxa" w:w="5083"/>
            <w:vAlign w:val="top"/>
            <w:shd w:fill="F3F6F9"/>
          </w:tcPr>
          <w:p>
            <w:r>
              <w:rPr>
                <w:sz w:val="16"/>
              </w:rPr>
              <w:t>8</w:t>
            </w:r>
          </w:p>
        </w:tc>
        <w:tc>
          <w:tcPr>
            <w:tcW w:type="dxa" w:w="5083"/>
            <w:vAlign w:val="top"/>
            <w:shd w:fill="F3F6F9"/>
          </w:tcPr>
          <w:p>
            <w:r>
              <w:rPr>
                <w:sz w:val="16"/>
              </w:rPr>
              <w:t>Safety, security and Responsible AI</w:t>
            </w:r>
          </w:p>
        </w:tc>
      </w:tr>
      <w:tr>
        <w:tc>
          <w:tcPr>
            <w:tcW w:type="dxa" w:w="5083"/>
            <w:vAlign w:val="top"/>
          </w:tcPr>
          <w:p>
            <w:r>
              <w:rPr>
                <w:sz w:val="16"/>
              </w:rPr>
              <w:t>9</w:t>
            </w:r>
          </w:p>
        </w:tc>
        <w:tc>
          <w:tcPr>
            <w:tcW w:type="dxa" w:w="5083"/>
            <w:vAlign w:val="top"/>
          </w:tcPr>
          <w:p>
            <w:r>
              <w:rPr>
                <w:sz w:val="16"/>
              </w:rPr>
              <w:t>Metrics and evaluation</w:t>
            </w:r>
          </w:p>
        </w:tc>
      </w:tr>
      <w:tr>
        <w:tc>
          <w:tcPr>
            <w:tcW w:type="dxa" w:w="5083"/>
            <w:vAlign w:val="top"/>
            <w:shd w:fill="F3F6F9"/>
          </w:tcPr>
          <w:p>
            <w:r>
              <w:rPr>
                <w:sz w:val="16"/>
              </w:rPr>
              <w:t>10</w:t>
            </w:r>
          </w:p>
        </w:tc>
        <w:tc>
          <w:tcPr>
            <w:tcW w:type="dxa" w:w="5083"/>
            <w:vAlign w:val="top"/>
            <w:shd w:fill="F3F6F9"/>
          </w:tcPr>
          <w:p>
            <w:r>
              <w:rPr>
                <w:sz w:val="16"/>
              </w:rPr>
              <w:t>Testing and failure pathways</w:t>
            </w:r>
          </w:p>
        </w:tc>
      </w:tr>
      <w:tr>
        <w:tc>
          <w:tcPr>
            <w:tcW w:type="dxa" w:w="5083"/>
            <w:vAlign w:val="top"/>
          </w:tcPr>
          <w:p>
            <w:r>
              <w:rPr>
                <w:sz w:val="16"/>
              </w:rPr>
              <w:t>11</w:t>
            </w:r>
          </w:p>
        </w:tc>
        <w:tc>
          <w:tcPr>
            <w:tcW w:type="dxa" w:w="5083"/>
            <w:vAlign w:val="top"/>
          </w:tcPr>
          <w:p>
            <w:r>
              <w:rPr>
                <w:sz w:val="16"/>
              </w:rPr>
              <w:t>Build, transfer and run model</w:t>
            </w:r>
          </w:p>
        </w:tc>
      </w:tr>
      <w:tr>
        <w:tc>
          <w:tcPr>
            <w:tcW w:type="dxa" w:w="5083"/>
            <w:vAlign w:val="top"/>
            <w:shd w:fill="F3F6F9"/>
          </w:tcPr>
          <w:p>
            <w:r>
              <w:rPr>
                <w:sz w:val="16"/>
              </w:rPr>
              <w:t>12</w:t>
            </w:r>
          </w:p>
        </w:tc>
        <w:tc>
          <w:tcPr>
            <w:tcW w:type="dxa" w:w="5083"/>
            <w:vAlign w:val="top"/>
            <w:shd w:fill="F3F6F9"/>
          </w:tcPr>
          <w:p>
            <w:r>
              <w:rPr>
                <w:sz w:val="16"/>
              </w:rPr>
              <w:t>Release criteria and future extension points</w:t>
            </w:r>
          </w:p>
        </w:tc>
      </w:tr>
    </w:tbl>
    <w:p>
      <w:r>
        <w:br w:type="page"/>
      </w:r>
    </w:p>
    <w:p>
      <w:pPr>
        <w:pStyle w:val="Heading1"/>
      </w:pPr>
      <w:r>
        <w:t>1. Executive definition and non-negotiable boundaries</w:t>
      </w:r>
    </w:p>
    <w:p>
      <w:r>
        <w:t>FieldGuide AI is a local-first diagnostic decision-support application for equipment and repair knowledge. It manages multiple machine or device profiles, ingests permitted service documentation, accepts symptoms, error codes and telemetry, executes safety rules before predictive logic, retrieves source-linked guidance, and records cases in a local SQLite database.</w:t>
      </w:r>
    </w:p>
    <w:tbl>
      <w:tblPr>
        <w:tblW w:type="auto" w:w="0"/>
        <w:jc w:val="center"/>
        <w:tblLayout w:type="autofit"/>
        <w:tblLook w:firstColumn="1" w:firstRow="1" w:lastColumn="0" w:lastRow="0" w:noHBand="0" w:noVBand="1" w:val="04A0"/>
      </w:tblPr>
      <w:tblGrid>
        <w:gridCol w:w="10166"/>
      </w:tblGrid>
      <w:tr>
        <w:tc>
          <w:tcPr>
            <w:tcW w:type="dxa" w:w="10166"/>
            <w:shd w:fill="FFF3E8"/>
            <w:vAlign w:val="center"/>
          </w:tcPr>
          <w:p>
            <w:pPr>
              <w:pStyle w:val="Callout"/>
            </w:pPr>
            <w:r>
              <w:t>Core principle: rules decide whether processing may continue; machine learning estimates a fault context where a compatible model exists; retrieval supplies evidence; an authorized human decides what action to take.</w:t>
            </w:r>
          </w:p>
        </w:tc>
      </w:tr>
    </w:tbl>
    <w:p>
      <w:pPr>
        <w:spacing w:after="0"/>
      </w:pPr>
    </w:p>
    <w:p>
      <w:pPr>
        <w:pStyle w:val="Heading2"/>
      </w:pPr>
      <w:r>
        <w:t>1.1 Product goals</w:t>
      </w:r>
    </w:p>
    <w:p>
      <w:pPr>
        <w:pStyle w:val="ListBullet"/>
      </w:pPr>
      <w:r>
        <w:t>Provide one consistent interface for predictive, rule/manual and step-by-step repair profiles.</w:t>
      </w:r>
    </w:p>
    <w:p>
      <w:pPr>
        <w:pStyle w:val="ListBullet"/>
      </w:pPr>
      <w:r>
        <w:t>Allow new profiles to be created from reviewed PDF manuals without rewriting the core application.</w:t>
      </w:r>
    </w:p>
    <w:p>
      <w:pPr>
        <w:pStyle w:val="ListBullet"/>
      </w:pPr>
      <w:r>
        <w:t>Demonstrate genuine offline retrieval and at least one genuine Scikit-learn classifier.</w:t>
      </w:r>
    </w:p>
    <w:p>
      <w:pPr>
        <w:pStyle w:val="ListBullet"/>
      </w:pPr>
      <w:r>
        <w:t>Preserve source title, page or step, manual revision, attribution and profile identity in every result.</w:t>
      </w:r>
    </w:p>
    <w:p>
      <w:pPr>
        <w:pStyle w:val="ListBullet"/>
      </w:pPr>
      <w:r>
        <w:t>Continue to function on a CPU-only Windows laptop with 16 GB RAM and without administrator access after dependencies and models are installed.</w:t>
      </w:r>
    </w:p>
    <w:p>
      <w:pPr>
        <w:pStyle w:val="ListBullet"/>
      </w:pPr>
      <w:r>
        <w:t>Make safety gates, backend state, active retrieval engine and limitations visible to the user.</w:t>
      </w:r>
    </w:p>
    <w:p>
      <w:pPr>
        <w:pStyle w:val="Heading2"/>
      </w:pPr>
      <w:r>
        <w:t>1.2 Explicit non-goals</w:t>
      </w:r>
    </w:p>
    <w:p>
      <w:pPr>
        <w:pStyle w:val="ListBullet"/>
      </w:pPr>
      <w:r>
        <w:t>No autonomous repair authorization, machine control or bypass of approved lockout and safety procedures.</w:t>
      </w:r>
    </w:p>
    <w:p>
      <w:pPr>
        <w:pStyle w:val="ListBullet"/>
      </w:pPr>
      <w:r>
        <w:t>No claim that a PDF alone creates a validated predictive model.</w:t>
      </w:r>
    </w:p>
    <w:p>
      <w:pPr>
        <w:pStyle w:val="ListBullet"/>
      </w:pPr>
      <w:r>
        <w:t>No universal diagnosis for arbitrary machinery.</w:t>
      </w:r>
    </w:p>
    <w:p>
      <w:pPr>
        <w:pStyle w:val="ListBullet"/>
      </w:pPr>
      <w:r>
        <w:t>No generation of missing procedures when no approved source is retrieved.</w:t>
      </w:r>
    </w:p>
    <w:p>
      <w:pPr>
        <w:pStyle w:val="ListBullet"/>
      </w:pPr>
      <w:r>
        <w:t>No model training or fine-tuning on iFixit content.</w:t>
      </w:r>
    </w:p>
    <w:p>
      <w:pPr>
        <w:pStyle w:val="ListBullet"/>
      </w:pPr>
      <w:r>
        <w:t>No hidden scraping or bulk redistribution of third-party repair libraries.</w:t>
      </w:r>
    </w:p>
    <w:p>
      <w:pPr>
        <w:pStyle w:val="Heading2"/>
      </w:pPr>
      <w:r>
        <w:t>1.3 Definition of done</w:t>
      </w:r>
    </w:p>
    <w:tbl>
      <w:tblPr>
        <w:tblStyle w:val="TableGrid"/>
        <w:tblW w:type="auto" w:w="0"/>
        <w:jc w:val="center"/>
        <w:tblLook w:firstColumn="1" w:firstRow="1" w:lastColumn="0" w:lastRow="0" w:noHBand="0" w:noVBand="1" w:val="04A0"/>
      </w:tblPr>
      <w:tblGrid>
        <w:gridCol w:w="5083"/>
        <w:gridCol w:w="5083"/>
      </w:tblGrid>
      <w:tr>
        <w:trPr>
          <w:tblHeader/>
        </w:trPr>
        <w:tc>
          <w:tcPr>
            <w:tcW w:type="dxa" w:w="5083"/>
            <w:shd w:fill="17324D"/>
            <w:vAlign w:val="center"/>
          </w:tcPr>
          <w:p>
            <w:r>
              <w:rPr>
                <w:b/>
                <w:color w:val="FFFFFF"/>
                <w:sz w:val="17"/>
              </w:rPr>
              <w:t>Capability</w:t>
            </w:r>
          </w:p>
        </w:tc>
        <w:tc>
          <w:tcPr>
            <w:tcW w:type="dxa" w:w="5083"/>
            <w:shd w:fill="17324D"/>
            <w:vAlign w:val="center"/>
          </w:tcPr>
          <w:p>
            <w:r>
              <w:rPr>
                <w:b/>
                <w:color w:val="FFFFFF"/>
                <w:sz w:val="17"/>
              </w:rPr>
              <w:t>Minimum final behavior</w:t>
            </w:r>
          </w:p>
        </w:tc>
      </w:tr>
      <w:tr>
        <w:tc>
          <w:tcPr>
            <w:tcW w:type="dxa" w:w="5083"/>
            <w:vAlign w:val="top"/>
          </w:tcPr>
          <w:p>
            <w:r>
              <w:rPr>
                <w:sz w:val="16"/>
              </w:rPr>
              <w:t>Profiles</w:t>
            </w:r>
          </w:p>
        </w:tc>
        <w:tc>
          <w:tcPr>
            <w:tcW w:type="dxa" w:w="5083"/>
            <w:vAlign w:val="top"/>
          </w:tcPr>
          <w:p>
            <w:r>
              <w:rPr>
                <w:sz w:val="16"/>
              </w:rPr>
              <w:t>At least three selectable profile types: AI4I predictive profile, PDF-configured manual profile, selected iFixit guide profile.</w:t>
            </w:r>
          </w:p>
        </w:tc>
      </w:tr>
      <w:tr>
        <w:tc>
          <w:tcPr>
            <w:tcW w:type="dxa" w:w="5083"/>
            <w:vAlign w:val="top"/>
            <w:shd w:fill="F3F6F9"/>
          </w:tcPr>
          <w:p>
            <w:r>
              <w:rPr>
                <w:sz w:val="16"/>
              </w:rPr>
              <w:t>Ingestion</w:t>
            </w:r>
          </w:p>
        </w:tc>
        <w:tc>
          <w:tcPr>
            <w:tcW w:type="dxa" w:w="5083"/>
            <w:vAlign w:val="top"/>
            <w:shd w:fill="F3F6F9"/>
          </w:tcPr>
          <w:p>
            <w:r>
              <w:rPr>
                <w:sz w:val="16"/>
              </w:rPr>
              <w:t>PDF upload, extraction preview, editable metadata, human confirmation, chunking and index build.</w:t>
            </w:r>
          </w:p>
        </w:tc>
      </w:tr>
      <w:tr>
        <w:tc>
          <w:tcPr>
            <w:tcW w:type="dxa" w:w="5083"/>
            <w:vAlign w:val="top"/>
          </w:tcPr>
          <w:p>
            <w:r>
              <w:rPr>
                <w:sz w:val="16"/>
              </w:rPr>
              <w:t>Diagnosis</w:t>
            </w:r>
          </w:p>
        </w:tc>
        <w:tc>
          <w:tcPr>
            <w:tcW w:type="dxa" w:w="5083"/>
            <w:vAlign w:val="top"/>
          </w:tcPr>
          <w:p>
            <w:r>
              <w:rPr>
                <w:sz w:val="16"/>
              </w:rPr>
              <w:t>Validation, safety gate, exact lookup, optional ML, retrieval, evidence display and case save.</w:t>
            </w:r>
          </w:p>
        </w:tc>
      </w:tr>
      <w:tr>
        <w:tc>
          <w:tcPr>
            <w:tcW w:type="dxa" w:w="5083"/>
            <w:vAlign w:val="top"/>
            <w:shd w:fill="F3F6F9"/>
          </w:tcPr>
          <w:p>
            <w:r>
              <w:rPr>
                <w:sz w:val="16"/>
              </w:rPr>
              <w:t>Persistence</w:t>
            </w:r>
          </w:p>
        </w:tc>
        <w:tc>
          <w:tcPr>
            <w:tcW w:type="dxa" w:w="5083"/>
            <w:vAlign w:val="top"/>
            <w:shd w:fill="F3F6F9"/>
          </w:tcPr>
          <w:p>
            <w:r>
              <w:rPr>
                <w:sz w:val="16"/>
              </w:rPr>
              <w:t>Profiles, documents, chunks, cases, findings, retrieved evidence and audit events in SQLite.</w:t>
            </w:r>
          </w:p>
        </w:tc>
      </w:tr>
      <w:tr>
        <w:tc>
          <w:tcPr>
            <w:tcW w:type="dxa" w:w="5083"/>
            <w:vAlign w:val="top"/>
          </w:tcPr>
          <w:p>
            <w:r>
              <w:rPr>
                <w:sz w:val="16"/>
              </w:rPr>
              <w:t>Evaluation</w:t>
            </w:r>
          </w:p>
        </w:tc>
        <w:tc>
          <w:tcPr>
            <w:tcW w:type="dxa" w:w="5083"/>
            <w:vAlign w:val="top"/>
          </w:tcPr>
          <w:p>
            <w:r>
              <w:rPr>
                <w:sz w:val="16"/>
              </w:rPr>
              <w:t>Visible model metrics, retrieval metrics, safety tests and failure-path results.</w:t>
            </w:r>
          </w:p>
        </w:tc>
      </w:tr>
      <w:tr>
        <w:tc>
          <w:tcPr>
            <w:tcW w:type="dxa" w:w="5083"/>
            <w:vAlign w:val="top"/>
            <w:shd w:fill="F3F6F9"/>
          </w:tcPr>
          <w:p>
            <w:r>
              <w:rPr>
                <w:sz w:val="16"/>
              </w:rPr>
              <w:t>Portability</w:t>
            </w:r>
          </w:p>
        </w:tc>
        <w:tc>
          <w:tcPr>
            <w:tcW w:type="dxa" w:w="5083"/>
            <w:vAlign w:val="top"/>
            <w:shd w:fill="F3F6F9"/>
          </w:tcPr>
          <w:p>
            <w:r>
              <w:rPr>
                <w:sz w:val="16"/>
              </w:rPr>
              <w:t>Relative paths, CPU-only runtime, startup script and fallback retrieval backend.</w:t>
            </w:r>
          </w:p>
        </w:tc>
      </w:tr>
    </w:tbl>
    <w:p>
      <w:pPr>
        <w:pStyle w:val="Heading1"/>
      </w:pPr>
      <w:r>
        <w:t>2. Users, use cases and system context</w:t>
      </w:r>
    </w:p>
    <w:tbl>
      <w:tblPr>
        <w:tblStyle w:val="TableGrid"/>
        <w:tblW w:type="auto" w:w="0"/>
        <w:jc w:val="center"/>
        <w:tblLook w:firstColumn="1" w:firstRow="1" w:lastColumn="0" w:lastRow="0" w:noHBand="0" w:noVBand="1" w:val="04A0"/>
      </w:tblPr>
      <w:tblGrid>
        <w:gridCol w:w="3389"/>
        <w:gridCol w:w="3389"/>
        <w:gridCol w:w="3389"/>
      </w:tblGrid>
      <w:tr>
        <w:trPr>
          <w:tblHeader/>
        </w:trPr>
        <w:tc>
          <w:tcPr>
            <w:tcW w:type="dxa" w:w="3389"/>
            <w:shd w:fill="17324D"/>
            <w:vAlign w:val="center"/>
          </w:tcPr>
          <w:p>
            <w:r>
              <w:rPr>
                <w:b/>
                <w:color w:val="FFFFFF"/>
                <w:sz w:val="17"/>
              </w:rPr>
              <w:t>Role</w:t>
            </w:r>
          </w:p>
        </w:tc>
        <w:tc>
          <w:tcPr>
            <w:tcW w:type="dxa" w:w="3389"/>
            <w:shd w:fill="17324D"/>
            <w:vAlign w:val="center"/>
          </w:tcPr>
          <w:p>
            <w:r>
              <w:rPr>
                <w:b/>
                <w:color w:val="FFFFFF"/>
                <w:sz w:val="17"/>
              </w:rPr>
              <w:t>Primary actions</w:t>
            </w:r>
          </w:p>
        </w:tc>
        <w:tc>
          <w:tcPr>
            <w:tcW w:type="dxa" w:w="3389"/>
            <w:shd w:fill="17324D"/>
            <w:vAlign w:val="center"/>
          </w:tcPr>
          <w:p>
            <w:r>
              <w:rPr>
                <w:b/>
                <w:color w:val="FFFFFF"/>
                <w:sz w:val="17"/>
              </w:rPr>
              <w:t>Restrictions</w:t>
            </w:r>
          </w:p>
        </w:tc>
      </w:tr>
      <w:tr>
        <w:tc>
          <w:tcPr>
            <w:tcW w:type="dxa" w:w="3389"/>
            <w:vAlign w:val="top"/>
          </w:tcPr>
          <w:p>
            <w:r>
              <w:rPr>
                <w:sz w:val="16"/>
              </w:rPr>
              <w:t>Technician / operator</w:t>
            </w:r>
          </w:p>
        </w:tc>
        <w:tc>
          <w:tcPr>
            <w:tcW w:type="dxa" w:w="3389"/>
            <w:vAlign w:val="top"/>
          </w:tcPr>
          <w:p>
            <w:r>
              <w:rPr>
                <w:sz w:val="16"/>
              </w:rPr>
              <w:t>Select profile; enter symptoms, errors or telemetry; review evidence; record disposition.</w:t>
            </w:r>
          </w:p>
        </w:tc>
        <w:tc>
          <w:tcPr>
            <w:tcW w:type="dxa" w:w="3389"/>
            <w:vAlign w:val="top"/>
          </w:tcPr>
          <w:p>
            <w:r>
              <w:rPr>
                <w:sz w:val="16"/>
              </w:rPr>
              <w:t>Cannot activate unreviewed profiles or override critical safety stops.</w:t>
            </w:r>
          </w:p>
        </w:tc>
      </w:tr>
      <w:tr>
        <w:tc>
          <w:tcPr>
            <w:tcW w:type="dxa" w:w="3389"/>
            <w:vAlign w:val="top"/>
            <w:shd w:fill="F3F6F9"/>
          </w:tcPr>
          <w:p>
            <w:r>
              <w:rPr>
                <w:sz w:val="16"/>
              </w:rPr>
              <w:t>Profile curator</w:t>
            </w:r>
          </w:p>
        </w:tc>
        <w:tc>
          <w:tcPr>
            <w:tcW w:type="dxa" w:w="3389"/>
            <w:vAlign w:val="top"/>
            <w:shd w:fill="F3F6F9"/>
          </w:tcPr>
          <w:p>
            <w:r>
              <w:rPr>
                <w:sz w:val="16"/>
              </w:rPr>
              <w:t>Upload manuals; inspect extraction; correct metadata; approve content.</w:t>
            </w:r>
          </w:p>
        </w:tc>
        <w:tc>
          <w:tcPr>
            <w:tcW w:type="dxa" w:w="3389"/>
            <w:vAlign w:val="top"/>
            <w:shd w:fill="F3F6F9"/>
          </w:tcPr>
          <w:p>
            <w:r>
              <w:rPr>
                <w:sz w:val="16"/>
              </w:rPr>
              <w:t>Cannot mark third-party content as manufacturer validation.</w:t>
            </w:r>
          </w:p>
        </w:tc>
      </w:tr>
      <w:tr>
        <w:tc>
          <w:tcPr>
            <w:tcW w:type="dxa" w:w="3389"/>
            <w:vAlign w:val="top"/>
          </w:tcPr>
          <w:p>
            <w:r>
              <w:rPr>
                <w:sz w:val="16"/>
              </w:rPr>
              <w:t>Administrator</w:t>
            </w:r>
          </w:p>
        </w:tc>
        <w:tc>
          <w:tcPr>
            <w:tcW w:type="dxa" w:w="3389"/>
            <w:vAlign w:val="top"/>
          </w:tcPr>
          <w:p>
            <w:r>
              <w:rPr>
                <w:sz w:val="16"/>
              </w:rPr>
              <w:t>Manage profile state, configuration and document removal; run evaluation suite.</w:t>
            </w:r>
          </w:p>
        </w:tc>
        <w:tc>
          <w:tcPr>
            <w:tcW w:type="dxa" w:w="3389"/>
            <w:vAlign w:val="top"/>
          </w:tcPr>
          <w:p>
            <w:r>
              <w:rPr>
                <w:sz w:val="16"/>
              </w:rPr>
              <w:t>Must preserve audit log and provenance.</w:t>
            </w:r>
          </w:p>
        </w:tc>
      </w:tr>
      <w:tr>
        <w:tc>
          <w:tcPr>
            <w:tcW w:type="dxa" w:w="3389"/>
            <w:vAlign w:val="top"/>
            <w:shd w:fill="F3F6F9"/>
          </w:tcPr>
          <w:p>
            <w:r>
              <w:rPr>
                <w:sz w:val="16"/>
              </w:rPr>
              <w:t>Reviewer / auditor</w:t>
            </w:r>
          </w:p>
        </w:tc>
        <w:tc>
          <w:tcPr>
            <w:tcW w:type="dxa" w:w="3389"/>
            <w:vAlign w:val="top"/>
            <w:shd w:fill="F3F6F9"/>
          </w:tcPr>
          <w:p>
            <w:r>
              <w:rPr>
                <w:sz w:val="16"/>
              </w:rPr>
              <w:t>Read cases, test results, sources and limitations.</w:t>
            </w:r>
          </w:p>
        </w:tc>
        <w:tc>
          <w:tcPr>
            <w:tcW w:type="dxa" w:w="3389"/>
            <w:vAlign w:val="top"/>
            <w:shd w:fill="F3F6F9"/>
          </w:tcPr>
          <w:p>
            <w:r>
              <w:rPr>
                <w:sz w:val="16"/>
              </w:rPr>
              <w:t>Read-only for operational records.</w:t>
            </w:r>
          </w:p>
        </w:tc>
      </w:tr>
    </w:tbl>
    <w:p>
      <w:pPr>
        <w:pStyle w:val="Heading2"/>
      </w:pPr>
      <w:r>
        <w:t>2.1 Principal use cases</w:t>
      </w:r>
    </w:p>
    <w:p>
      <w:pPr>
        <w:pStyle w:val="ListNumber"/>
      </w:pPr>
      <w:r>
        <w:t>Configure a machine profile from a permitted PDF service manual.</w:t>
      </w:r>
    </w:p>
    <w:p>
      <w:pPr>
        <w:pStyle w:val="ListNumber"/>
      </w:pPr>
      <w:r>
        <w:t>Import a small, selected iFixit guide for a non-commercial demonstration while preserving attribution.</w:t>
      </w:r>
    </w:p>
    <w:p>
      <w:pPr>
        <w:pStyle w:val="ListNumber"/>
      </w:pPr>
      <w:r>
        <w:t>Diagnose an AI4I demonstration record with a trained Random Forest.</w:t>
      </w:r>
    </w:p>
    <w:p>
      <w:pPr>
        <w:pStyle w:val="ListNumber"/>
      </w:pPr>
      <w:r>
        <w:t>Use a manual-only profile where no labelled training data exists.</w:t>
      </w:r>
    </w:p>
    <w:p>
      <w:pPr>
        <w:pStyle w:val="ListNumber"/>
      </w:pPr>
      <w:r>
        <w:t>Refuse an unsupported machine, invalid reading, critical safety condition or no-match retrieval.</w:t>
      </w:r>
    </w:p>
    <w:p>
      <w:pPr>
        <w:pStyle w:val="ListNumber"/>
      </w:pPr>
      <w:r>
        <w:t>Reopen a historical case and reproduce the decision inputs and evidence.</w:t>
      </w:r>
    </w:p>
    <w:p>
      <w:pPr>
        <w:pStyle w:val="Heading1"/>
      </w:pPr>
      <w:r>
        <w:t>3. Functional scope and interface</w:t>
      </w:r>
    </w:p>
    <w:tbl>
      <w:tblPr>
        <w:tblStyle w:val="TableGrid"/>
        <w:tblW w:type="auto" w:w="0"/>
        <w:jc w:val="center"/>
        <w:tblLook w:firstColumn="1" w:firstRow="1" w:lastColumn="0" w:lastRow="0" w:noHBand="0" w:noVBand="1" w:val="04A0"/>
      </w:tblPr>
      <w:tblGrid>
        <w:gridCol w:w="5083"/>
        <w:gridCol w:w="5083"/>
      </w:tblGrid>
      <w:tr>
        <w:trPr>
          <w:tblHeader/>
        </w:trPr>
        <w:tc>
          <w:tcPr>
            <w:tcW w:type="dxa" w:w="5083"/>
            <w:shd w:fill="17324D"/>
            <w:vAlign w:val="center"/>
          </w:tcPr>
          <w:p>
            <w:r>
              <w:rPr>
                <w:b/>
                <w:color w:val="FFFFFF"/>
                <w:sz w:val="17"/>
              </w:rPr>
              <w:t>Page</w:t>
            </w:r>
          </w:p>
        </w:tc>
        <w:tc>
          <w:tcPr>
            <w:tcW w:type="dxa" w:w="5083"/>
            <w:shd w:fill="17324D"/>
            <w:vAlign w:val="center"/>
          </w:tcPr>
          <w:p>
            <w:r>
              <w:rPr>
                <w:b/>
                <w:color w:val="FFFFFF"/>
                <w:sz w:val="17"/>
              </w:rPr>
              <w:t>Required functions</w:t>
            </w:r>
          </w:p>
        </w:tc>
      </w:tr>
      <w:tr>
        <w:tc>
          <w:tcPr>
            <w:tcW w:type="dxa" w:w="5083"/>
            <w:vAlign w:val="top"/>
          </w:tcPr>
          <w:p>
            <w:r>
              <w:rPr>
                <w:sz w:val="16"/>
              </w:rPr>
              <w:t>Operations Dashboard</w:t>
            </w:r>
          </w:p>
        </w:tc>
        <w:tc>
          <w:tcPr>
            <w:tcW w:type="dxa" w:w="5083"/>
            <w:vAlign w:val="top"/>
          </w:tcPr>
          <w:p>
            <w:r>
              <w:rPr>
                <w:sz w:val="16"/>
              </w:rPr>
              <w:t>Active profile count, indexed documents, case volume, safety stops, retrieval success, backend status and recent audit events.</w:t>
            </w:r>
          </w:p>
        </w:tc>
      </w:tr>
      <w:tr>
        <w:tc>
          <w:tcPr>
            <w:tcW w:type="dxa" w:w="5083"/>
            <w:vAlign w:val="top"/>
            <w:shd w:fill="F3F6F9"/>
          </w:tcPr>
          <w:p>
            <w:r>
              <w:rPr>
                <w:sz w:val="16"/>
              </w:rPr>
              <w:t>Diagnose</w:t>
            </w:r>
          </w:p>
        </w:tc>
        <w:tc>
          <w:tcPr>
            <w:tcW w:type="dxa" w:w="5083"/>
            <w:vAlign w:val="top"/>
            <w:shd w:fill="F3F6F9"/>
          </w:tcPr>
          <w:p>
            <w:r>
              <w:rPr>
                <w:sz w:val="16"/>
              </w:rPr>
              <w:t>Profile selection; dynamic input form; error/symptom/log input; progress; structured result; save and feedback.</w:t>
            </w:r>
          </w:p>
        </w:tc>
      </w:tr>
      <w:tr>
        <w:tc>
          <w:tcPr>
            <w:tcW w:type="dxa" w:w="5083"/>
            <w:vAlign w:val="top"/>
          </w:tcPr>
          <w:p>
            <w:r>
              <w:rPr>
                <w:sz w:val="16"/>
              </w:rPr>
              <w:t>Machine Profiles</w:t>
            </w:r>
          </w:p>
        </w:tc>
        <w:tc>
          <w:tcPr>
            <w:tcW w:type="dxa" w:w="5083"/>
            <w:vAlign w:val="top"/>
          </w:tcPr>
          <w:p>
            <w:r>
              <w:rPr>
                <w:sz w:val="16"/>
              </w:rPr>
              <w:t>Draft/review/active states; source type; ML availability; document count; activate/deactivate/delete.</w:t>
            </w:r>
          </w:p>
        </w:tc>
      </w:tr>
      <w:tr>
        <w:tc>
          <w:tcPr>
            <w:tcW w:type="dxa" w:w="5083"/>
            <w:vAlign w:val="top"/>
            <w:shd w:fill="F3F6F9"/>
          </w:tcPr>
          <w:p>
            <w:r>
              <w:rPr>
                <w:sz w:val="16"/>
              </w:rPr>
              <w:t>Import Manual</w:t>
            </w:r>
          </w:p>
        </w:tc>
        <w:tc>
          <w:tcPr>
            <w:tcW w:type="dxa" w:w="5083"/>
            <w:vAlign w:val="top"/>
            <w:shd w:fill="F3F6F9"/>
          </w:tcPr>
          <w:p>
            <w:r>
              <w:rPr>
                <w:sz w:val="16"/>
              </w:rPr>
              <w:t>PDF validation, extraction, page count, section preview, warnings/errors and processing log.</w:t>
            </w:r>
          </w:p>
        </w:tc>
      </w:tr>
      <w:tr>
        <w:tc>
          <w:tcPr>
            <w:tcW w:type="dxa" w:w="5083"/>
            <w:vAlign w:val="top"/>
          </w:tcPr>
          <w:p>
            <w:r>
              <w:rPr>
                <w:sz w:val="16"/>
              </w:rPr>
              <w:t>iFixit Connector</w:t>
            </w:r>
          </w:p>
        </w:tc>
        <w:tc>
          <w:tcPr>
            <w:tcW w:type="dxa" w:w="5083"/>
            <w:vAlign w:val="top"/>
          </w:tcPr>
          <w:p>
            <w:r>
              <w:rPr>
                <w:sz w:val="16"/>
              </w:rPr>
              <w:t>Inactive or future-ready tab for guide search/import; attribution and licence notice; no bulk ingestion.</w:t>
            </w:r>
          </w:p>
        </w:tc>
      </w:tr>
      <w:tr>
        <w:tc>
          <w:tcPr>
            <w:tcW w:type="dxa" w:w="5083"/>
            <w:vAlign w:val="top"/>
            <w:shd w:fill="F3F6F9"/>
          </w:tcPr>
          <w:p>
            <w:r>
              <w:rPr>
                <w:sz w:val="16"/>
              </w:rPr>
              <w:t>Profile Review</w:t>
            </w:r>
          </w:p>
        </w:tc>
        <w:tc>
          <w:tcPr>
            <w:tcW w:type="dxa" w:w="5083"/>
            <w:vAlign w:val="top"/>
            <w:shd w:fill="F3F6F9"/>
          </w:tcPr>
          <w:p>
            <w:r>
              <w:rPr>
                <w:sz w:val="16"/>
              </w:rPr>
              <w:t>Editable identity, components, error codes, safety text, sections and approval checklist.</w:t>
            </w:r>
          </w:p>
        </w:tc>
      </w:tr>
      <w:tr>
        <w:tc>
          <w:tcPr>
            <w:tcW w:type="dxa" w:w="5083"/>
            <w:vAlign w:val="top"/>
          </w:tcPr>
          <w:p>
            <w:r>
              <w:rPr>
                <w:sz w:val="16"/>
              </w:rPr>
              <w:t>Document Library</w:t>
            </w:r>
          </w:p>
        </w:tc>
        <w:tc>
          <w:tcPr>
            <w:tcW w:type="dxa" w:w="5083"/>
            <w:vAlign w:val="top"/>
          </w:tcPr>
          <w:p>
            <w:r>
              <w:rPr>
                <w:sz w:val="16"/>
              </w:rPr>
              <w:t>Source, profile, page/chunk count, preview, attribution, index state and remove/reindex.</w:t>
            </w:r>
          </w:p>
        </w:tc>
      </w:tr>
      <w:tr>
        <w:tc>
          <w:tcPr>
            <w:tcW w:type="dxa" w:w="5083"/>
            <w:vAlign w:val="top"/>
            <w:shd w:fill="F3F6F9"/>
          </w:tcPr>
          <w:p>
            <w:r>
              <w:rPr>
                <w:sz w:val="16"/>
              </w:rPr>
              <w:t>Case History</w:t>
            </w:r>
          </w:p>
        </w:tc>
        <w:tc>
          <w:tcPr>
            <w:tcW w:type="dxa" w:w="5083"/>
            <w:vAlign w:val="top"/>
            <w:shd w:fill="F3F6F9"/>
          </w:tcPr>
          <w:p>
            <w:r>
              <w:rPr>
                <w:sz w:val="16"/>
              </w:rPr>
              <w:t>Search, filters, detailed inputs/findings/evidence, human disposition and JSON/HTML export.</w:t>
            </w:r>
          </w:p>
        </w:tc>
      </w:tr>
      <w:tr>
        <w:tc>
          <w:tcPr>
            <w:tcW w:type="dxa" w:w="5083"/>
            <w:vAlign w:val="top"/>
          </w:tcPr>
          <w:p>
            <w:r>
              <w:rPr>
                <w:sz w:val="16"/>
              </w:rPr>
              <w:t>Evaluation Center</w:t>
            </w:r>
          </w:p>
        </w:tc>
        <w:tc>
          <w:tcPr>
            <w:tcW w:type="dxa" w:w="5083"/>
            <w:vAlign w:val="top"/>
          </w:tcPr>
          <w:p>
            <w:r>
              <w:rPr>
                <w:sz w:val="16"/>
              </w:rPr>
              <w:t>Model and retrieval metrics, labelled test cases, failures and active backend.</w:t>
            </w:r>
          </w:p>
        </w:tc>
      </w:tr>
      <w:tr>
        <w:tc>
          <w:tcPr>
            <w:tcW w:type="dxa" w:w="5083"/>
            <w:vAlign w:val="top"/>
            <w:shd w:fill="F3F6F9"/>
          </w:tcPr>
          <w:p>
            <w:r>
              <w:rPr>
                <w:sz w:val="16"/>
              </w:rPr>
              <w:t>Audit Log</w:t>
            </w:r>
          </w:p>
        </w:tc>
        <w:tc>
          <w:tcPr>
            <w:tcW w:type="dxa" w:w="5083"/>
            <w:vAlign w:val="top"/>
            <w:shd w:fill="F3F6F9"/>
          </w:tcPr>
          <w:p>
            <w:r>
              <w:rPr>
                <w:sz w:val="16"/>
              </w:rPr>
              <w:t>Profile, document, index, case and configuration events.</w:t>
            </w:r>
          </w:p>
        </w:tc>
      </w:tr>
      <w:tr>
        <w:tc>
          <w:tcPr>
            <w:tcW w:type="dxa" w:w="5083"/>
            <w:vAlign w:val="top"/>
          </w:tcPr>
          <w:p>
            <w:r>
              <w:rPr>
                <w:sz w:val="16"/>
              </w:rPr>
              <w:t>Safety &amp; Limitations</w:t>
            </w:r>
          </w:p>
        </w:tc>
        <w:tc>
          <w:tcPr>
            <w:tcW w:type="dxa" w:w="5083"/>
            <w:vAlign w:val="top"/>
          </w:tcPr>
          <w:p>
            <w:r>
              <w:rPr>
                <w:sz w:val="16"/>
              </w:rPr>
              <w:t>Intended use, unsupported use, data provenance, human oversight and known limitations.</w:t>
            </w:r>
          </w:p>
        </w:tc>
      </w:tr>
    </w:tbl>
    <w:p>
      <w:pPr>
        <w:pStyle w:val="Heading2"/>
      </w:pPr>
      <w:r>
        <w:t>3.1 Result contract</w:t>
      </w:r>
    </w:p>
    <w:p>
      <w:r>
        <w:t>Every displayed result must visually separate the following blocks:</w:t>
      </w:r>
    </w:p>
    <w:p>
      <w:pPr>
        <w:pStyle w:val="ListBullet"/>
      </w:pPr>
      <w:r>
        <w:t>Safety Decision: deterministic and highest priority.</w:t>
      </w:r>
    </w:p>
    <w:p>
      <w:pPr>
        <w:pStyle w:val="ListBullet"/>
      </w:pPr>
      <w:r>
        <w:t>Rule Findings: exact error-code, input and operating-condition matches.</w:t>
      </w:r>
    </w:p>
    <w:p>
      <w:pPr>
        <w:pStyle w:val="ListBullet"/>
      </w:pPr>
      <w:r>
        <w:t>ML Estimate: model name, probability, class and limitations; omitted if no compatible model.</w:t>
      </w:r>
    </w:p>
    <w:p>
      <w:pPr>
        <w:pStyle w:val="ListBullet"/>
      </w:pPr>
      <w:r>
        <w:t>Retrieved Evidence: source, page/step, section, profile and relevance score.</w:t>
      </w:r>
    </w:p>
    <w:p>
      <w:pPr>
        <w:pStyle w:val="ListBullet"/>
      </w:pPr>
      <w:r>
        <w:t>Human Action: observe, gather more data, stop, escalate or perform an approved inspection.</w:t>
      </w:r>
    </w:p>
    <w:p>
      <w:pPr>
        <w:pStyle w:val="ListBullet"/>
      </w:pPr>
      <w:r>
        <w:t>Case Record: case ID, timestamp, active backend and audit status.</w:t>
      </w:r>
    </w:p>
    <w:p>
      <w:pPr>
        <w:pStyle w:val="Heading1"/>
      </w:pPr>
      <w:r>
        <w:t>4. Architecture and module contracts</w:t>
      </w:r>
    </w:p>
    <w:p>
      <w:r>
        <w:t>Recommended local architecture: Streamlit presentation layer; Python application service layer; modular profile, ingestion, safety, ML, retrieval, persistence, evaluation and audit services; SQLite; local model and index artifacts.</w:t>
      </w:r>
    </w:p>
    <w:tbl>
      <w:tblPr>
        <w:tblStyle w:val="TableGrid"/>
        <w:tblW w:type="auto" w:w="0"/>
        <w:jc w:val="center"/>
        <w:tblLook w:firstColumn="1" w:firstRow="1" w:lastColumn="0" w:lastRow="0" w:noHBand="0" w:noVBand="1" w:val="04A0"/>
      </w:tblPr>
      <w:tblGrid>
        <w:gridCol w:w="3389"/>
        <w:gridCol w:w="3389"/>
        <w:gridCol w:w="3389"/>
      </w:tblGrid>
      <w:tr>
        <w:trPr>
          <w:tblHeader/>
        </w:trPr>
        <w:tc>
          <w:tcPr>
            <w:tcW w:type="dxa" w:w="3389"/>
            <w:shd w:fill="17324D"/>
            <w:vAlign w:val="center"/>
          </w:tcPr>
          <w:p>
            <w:r>
              <w:rPr>
                <w:b/>
                <w:color w:val="FFFFFF"/>
                <w:sz w:val="17"/>
              </w:rPr>
              <w:t>Module</w:t>
            </w:r>
          </w:p>
        </w:tc>
        <w:tc>
          <w:tcPr>
            <w:tcW w:type="dxa" w:w="3389"/>
            <w:shd w:fill="17324D"/>
            <w:vAlign w:val="center"/>
          </w:tcPr>
          <w:p>
            <w:r>
              <w:rPr>
                <w:b/>
                <w:color w:val="FFFFFF"/>
                <w:sz w:val="17"/>
              </w:rPr>
              <w:t>Inputs</w:t>
            </w:r>
          </w:p>
        </w:tc>
        <w:tc>
          <w:tcPr>
            <w:tcW w:type="dxa" w:w="3389"/>
            <w:shd w:fill="17324D"/>
            <w:vAlign w:val="center"/>
          </w:tcPr>
          <w:p>
            <w:r>
              <w:rPr>
                <w:b/>
                <w:color w:val="FFFFFF"/>
                <w:sz w:val="17"/>
              </w:rPr>
              <w:t>Outputs / contract</w:t>
            </w:r>
          </w:p>
        </w:tc>
      </w:tr>
      <w:tr>
        <w:tc>
          <w:tcPr>
            <w:tcW w:type="dxa" w:w="3389"/>
            <w:vAlign w:val="top"/>
          </w:tcPr>
          <w:p>
            <w:r>
              <w:rPr>
                <w:sz w:val="16"/>
              </w:rPr>
              <w:t>Profile Service</w:t>
            </w:r>
          </w:p>
        </w:tc>
        <w:tc>
          <w:tcPr>
            <w:tcW w:type="dxa" w:w="3389"/>
            <w:vAlign w:val="top"/>
          </w:tcPr>
          <w:p>
            <w:r>
              <w:rPr>
                <w:sz w:val="16"/>
              </w:rPr>
              <w:t>Manifest, sensor schema, manuals, model metadata.</w:t>
            </w:r>
          </w:p>
        </w:tc>
        <w:tc>
          <w:tcPr>
            <w:tcW w:type="dxa" w:w="3389"/>
            <w:vAlign w:val="top"/>
          </w:tcPr>
          <w:p>
            <w:r>
              <w:rPr>
                <w:sz w:val="16"/>
              </w:rPr>
              <w:t>Validated Profile object and profile state.</w:t>
            </w:r>
          </w:p>
        </w:tc>
      </w:tr>
      <w:tr>
        <w:tc>
          <w:tcPr>
            <w:tcW w:type="dxa" w:w="3389"/>
            <w:vAlign w:val="top"/>
            <w:shd w:fill="F3F6F9"/>
          </w:tcPr>
          <w:p>
            <w:r>
              <w:rPr>
                <w:sz w:val="16"/>
              </w:rPr>
              <w:t>PDF Ingestion</w:t>
            </w:r>
          </w:p>
        </w:tc>
        <w:tc>
          <w:tcPr>
            <w:tcW w:type="dxa" w:w="3389"/>
            <w:vAlign w:val="top"/>
            <w:shd w:fill="F3F6F9"/>
          </w:tcPr>
          <w:p>
            <w:r>
              <w:rPr>
                <w:sz w:val="16"/>
              </w:rPr>
              <w:t>PDF bytes and user-supplied document metadata.</w:t>
            </w:r>
          </w:p>
        </w:tc>
        <w:tc>
          <w:tcPr>
            <w:tcW w:type="dxa" w:w="3389"/>
            <w:vAlign w:val="top"/>
            <w:shd w:fill="F3F6F9"/>
          </w:tcPr>
          <w:p>
            <w:r>
              <w:rPr>
                <w:sz w:val="16"/>
              </w:rPr>
              <w:t>Page-aware extracted blocks, warnings and extraction diagnostics.</w:t>
            </w:r>
          </w:p>
        </w:tc>
      </w:tr>
      <w:tr>
        <w:tc>
          <w:tcPr>
            <w:tcW w:type="dxa" w:w="3389"/>
            <w:vAlign w:val="top"/>
          </w:tcPr>
          <w:p>
            <w:r>
              <w:rPr>
                <w:sz w:val="16"/>
              </w:rPr>
              <w:t>Safety Engine</w:t>
            </w:r>
          </w:p>
        </w:tc>
        <w:tc>
          <w:tcPr>
            <w:tcW w:type="dxa" w:w="3389"/>
            <w:vAlign w:val="top"/>
          </w:tcPr>
          <w:p>
            <w:r>
              <w:rPr>
                <w:sz w:val="16"/>
              </w:rPr>
              <w:t>Profile rules and normalized inputs.</w:t>
            </w:r>
          </w:p>
        </w:tc>
        <w:tc>
          <w:tcPr>
            <w:tcW w:type="dxa" w:w="3389"/>
            <w:vAlign w:val="top"/>
          </w:tcPr>
          <w:p>
            <w:r>
              <w:rPr>
                <w:sz w:val="16"/>
              </w:rPr>
              <w:t>SAFE_TO_EVALUATE, WARNING, STOP_AND_ESCALATE, UNSUPPORTED or INSUFFICIENT_INFORMATION.</w:t>
            </w:r>
          </w:p>
        </w:tc>
      </w:tr>
      <w:tr>
        <w:tc>
          <w:tcPr>
            <w:tcW w:type="dxa" w:w="3389"/>
            <w:vAlign w:val="top"/>
            <w:shd w:fill="F3F6F9"/>
          </w:tcPr>
          <w:p>
            <w:r>
              <w:rPr>
                <w:sz w:val="16"/>
              </w:rPr>
              <w:t>ML Adapter</w:t>
            </w:r>
          </w:p>
        </w:tc>
        <w:tc>
          <w:tcPr>
            <w:tcW w:type="dxa" w:w="3389"/>
            <w:vAlign w:val="top"/>
            <w:shd w:fill="F3F6F9"/>
          </w:tcPr>
          <w:p>
            <w:r>
              <w:rPr>
                <w:sz w:val="16"/>
              </w:rPr>
              <w:t>Compatible profile and validated feature vector.</w:t>
            </w:r>
          </w:p>
        </w:tc>
        <w:tc>
          <w:tcPr>
            <w:tcW w:type="dxa" w:w="3389"/>
            <w:vAlign w:val="top"/>
            <w:shd w:fill="F3F6F9"/>
          </w:tcPr>
          <w:p>
            <w:r>
              <w:rPr>
                <w:sz w:val="16"/>
              </w:rPr>
              <w:t>Prediction object or MODEL_UNAVAILABLE.</w:t>
            </w:r>
          </w:p>
        </w:tc>
      </w:tr>
      <w:tr>
        <w:tc>
          <w:tcPr>
            <w:tcW w:type="dxa" w:w="3389"/>
            <w:vAlign w:val="top"/>
          </w:tcPr>
          <w:p>
            <w:r>
              <w:rPr>
                <w:sz w:val="16"/>
              </w:rPr>
              <w:t>Retrieval Adapter</w:t>
            </w:r>
          </w:p>
        </w:tc>
        <w:tc>
          <w:tcPr>
            <w:tcW w:type="dxa" w:w="3389"/>
            <w:vAlign w:val="top"/>
          </w:tcPr>
          <w:p>
            <w:r>
              <w:rPr>
                <w:sz w:val="16"/>
              </w:rPr>
              <w:t>Profile filters, diagnostic context and query.</w:t>
            </w:r>
          </w:p>
        </w:tc>
        <w:tc>
          <w:tcPr>
            <w:tcW w:type="dxa" w:w="3389"/>
            <w:vAlign w:val="top"/>
          </w:tcPr>
          <w:p>
            <w:r>
              <w:rPr>
                <w:sz w:val="16"/>
              </w:rPr>
              <w:t>Ranked evidence or NO_APPROVED_PROCEDURE_FOUND.</w:t>
            </w:r>
          </w:p>
        </w:tc>
      </w:tr>
      <w:tr>
        <w:tc>
          <w:tcPr>
            <w:tcW w:type="dxa" w:w="3389"/>
            <w:vAlign w:val="top"/>
            <w:shd w:fill="F3F6F9"/>
          </w:tcPr>
          <w:p>
            <w:r>
              <w:rPr>
                <w:sz w:val="16"/>
              </w:rPr>
              <w:t>Diagnostic Service</w:t>
            </w:r>
          </w:p>
        </w:tc>
        <w:tc>
          <w:tcPr>
            <w:tcW w:type="dxa" w:w="3389"/>
            <w:vAlign w:val="top"/>
            <w:shd w:fill="F3F6F9"/>
          </w:tcPr>
          <w:p>
            <w:r>
              <w:rPr>
                <w:sz w:val="16"/>
              </w:rPr>
              <w:t>Profile, input, services.</w:t>
            </w:r>
          </w:p>
        </w:tc>
        <w:tc>
          <w:tcPr>
            <w:tcW w:type="dxa" w:w="3389"/>
            <w:vAlign w:val="top"/>
            <w:shd w:fill="F3F6F9"/>
          </w:tcPr>
          <w:p>
            <w:r>
              <w:rPr>
                <w:sz w:val="16"/>
              </w:rPr>
              <w:t>One structured DiagnosticResult.</w:t>
            </w:r>
          </w:p>
        </w:tc>
      </w:tr>
      <w:tr>
        <w:tc>
          <w:tcPr>
            <w:tcW w:type="dxa" w:w="3389"/>
            <w:vAlign w:val="top"/>
          </w:tcPr>
          <w:p>
            <w:r>
              <w:rPr>
                <w:sz w:val="16"/>
              </w:rPr>
              <w:t>Case Repository</w:t>
            </w:r>
          </w:p>
        </w:tc>
        <w:tc>
          <w:tcPr>
            <w:tcW w:type="dxa" w:w="3389"/>
            <w:vAlign w:val="top"/>
          </w:tcPr>
          <w:p>
            <w:r>
              <w:rPr>
                <w:sz w:val="16"/>
              </w:rPr>
              <w:t>DiagnosticResult and request.</w:t>
            </w:r>
          </w:p>
        </w:tc>
        <w:tc>
          <w:tcPr>
            <w:tcW w:type="dxa" w:w="3389"/>
            <w:vAlign w:val="top"/>
          </w:tcPr>
          <w:p>
            <w:r>
              <w:rPr>
                <w:sz w:val="16"/>
              </w:rPr>
              <w:t>Atomic persisted case and retrievable summary.</w:t>
            </w:r>
          </w:p>
        </w:tc>
      </w:tr>
      <w:tr>
        <w:tc>
          <w:tcPr>
            <w:tcW w:type="dxa" w:w="3389"/>
            <w:vAlign w:val="top"/>
            <w:shd w:fill="F3F6F9"/>
          </w:tcPr>
          <w:p>
            <w:r>
              <w:rPr>
                <w:sz w:val="16"/>
              </w:rPr>
              <w:t>Audit Service</w:t>
            </w:r>
          </w:p>
        </w:tc>
        <w:tc>
          <w:tcPr>
            <w:tcW w:type="dxa" w:w="3389"/>
            <w:vAlign w:val="top"/>
            <w:shd w:fill="F3F6F9"/>
          </w:tcPr>
          <w:p>
            <w:r>
              <w:rPr>
                <w:sz w:val="16"/>
              </w:rPr>
              <w:t>Actor, event, entity and details.</w:t>
            </w:r>
          </w:p>
        </w:tc>
        <w:tc>
          <w:tcPr>
            <w:tcW w:type="dxa" w:w="3389"/>
            <w:vAlign w:val="top"/>
            <w:shd w:fill="F3F6F9"/>
          </w:tcPr>
          <w:p>
            <w:r>
              <w:rPr>
                <w:sz w:val="16"/>
              </w:rPr>
              <w:t>Immutable-style append-only audit event.</w:t>
            </w:r>
          </w:p>
        </w:tc>
      </w:tr>
      <w:tr>
        <w:tc>
          <w:tcPr>
            <w:tcW w:type="dxa" w:w="3389"/>
            <w:vAlign w:val="top"/>
          </w:tcPr>
          <w:p>
            <w:r>
              <w:rPr>
                <w:sz w:val="16"/>
              </w:rPr>
              <w:t>Evaluation Service</w:t>
            </w:r>
          </w:p>
        </w:tc>
        <w:tc>
          <w:tcPr>
            <w:tcW w:type="dxa" w:w="3389"/>
            <w:vAlign w:val="top"/>
          </w:tcPr>
          <w:p>
            <w:r>
              <w:rPr>
                <w:sz w:val="16"/>
              </w:rPr>
              <w:t>Labelled cases.</w:t>
            </w:r>
          </w:p>
        </w:tc>
        <w:tc>
          <w:tcPr>
            <w:tcW w:type="dxa" w:w="3389"/>
            <w:vAlign w:val="top"/>
          </w:tcPr>
          <w:p>
            <w:r>
              <w:rPr>
                <w:sz w:val="16"/>
              </w:rPr>
              <w:t>Metrics and per-case failures.</w:t>
            </w:r>
          </w:p>
        </w:tc>
      </w:tr>
    </w:tbl>
    <w:p>
      <w:pPr>
        <w:pStyle w:val="Heading2"/>
      </w:pPr>
      <w:r>
        <w:t>4.1 Backend abstraction requirements</w:t>
      </w:r>
    </w:p>
    <w:p>
      <w:pPr>
        <w:pStyle w:val="ListBullet"/>
      </w:pPr>
      <w:r>
        <w:t>EmbeddingBackend: MiniLM primary, TF-IDF fallback.</w:t>
      </w:r>
    </w:p>
    <w:p>
      <w:pPr>
        <w:pStyle w:val="ListBullet"/>
      </w:pPr>
      <w:r>
        <w:t>VectorBackend: FAISS primary, Scikit-learn cosine fallback.</w:t>
      </w:r>
    </w:p>
    <w:p>
      <w:pPr>
        <w:pStyle w:val="ListBullet"/>
      </w:pPr>
      <w:r>
        <w:t>PredictorBackend: Joblib Scikit-learn pipeline or NoModelBackend.</w:t>
      </w:r>
    </w:p>
    <w:p>
      <w:pPr>
        <w:pStyle w:val="ListBullet"/>
      </w:pPr>
      <w:r>
        <w:t>DocumentExtractor: PyMuPDF text/block extraction; OCR adapter reserved for future integration.</w:t>
      </w:r>
    </w:p>
    <w:p>
      <w:pPr>
        <w:pStyle w:val="ListBullet"/>
      </w:pPr>
      <w:r>
        <w:t>All backends expose health(), capabilities() and active_backend_name().</w:t>
      </w:r>
    </w:p>
    <w:p>
      <w:pPr>
        <w:pStyle w:val="Heading1"/>
      </w:pPr>
      <w:r>
        <w:t>5. Machine profiles and document ingestion</w:t>
      </w:r>
    </w:p>
    <w:p>
      <w:pPr>
        <w:pStyle w:val="Heading2"/>
      </w:pPr>
      <w:r>
        <w:t>5.1 Profile classes</w:t>
      </w:r>
    </w:p>
    <w:tbl>
      <w:tblPr>
        <w:tblStyle w:val="TableGrid"/>
        <w:tblW w:type="auto" w:w="0"/>
        <w:jc w:val="center"/>
        <w:tblLook w:firstColumn="1" w:firstRow="1" w:lastColumn="0" w:lastRow="0" w:noHBand="0" w:noVBand="1" w:val="04A0"/>
      </w:tblPr>
      <w:tblGrid>
        <w:gridCol w:w="3389"/>
        <w:gridCol w:w="3389"/>
        <w:gridCol w:w="3389"/>
      </w:tblGrid>
      <w:tr>
        <w:trPr>
          <w:tblHeader/>
        </w:trPr>
        <w:tc>
          <w:tcPr>
            <w:tcW w:type="dxa" w:w="3389"/>
            <w:shd w:fill="17324D"/>
            <w:vAlign w:val="center"/>
          </w:tcPr>
          <w:p>
            <w:r>
              <w:rPr>
                <w:b/>
                <w:color w:val="FFFFFF"/>
                <w:sz w:val="17"/>
              </w:rPr>
              <w:t>Profile type</w:t>
            </w:r>
          </w:p>
        </w:tc>
        <w:tc>
          <w:tcPr>
            <w:tcW w:type="dxa" w:w="3389"/>
            <w:shd w:fill="17324D"/>
            <w:vAlign w:val="center"/>
          </w:tcPr>
          <w:p>
            <w:r>
              <w:rPr>
                <w:b/>
                <w:color w:val="FFFFFF"/>
                <w:sz w:val="17"/>
              </w:rPr>
              <w:t>Knowledge</w:t>
            </w:r>
          </w:p>
        </w:tc>
        <w:tc>
          <w:tcPr>
            <w:tcW w:type="dxa" w:w="3389"/>
            <w:shd w:fill="17324D"/>
            <w:vAlign w:val="center"/>
          </w:tcPr>
          <w:p>
            <w:r>
              <w:rPr>
                <w:b/>
                <w:color w:val="FFFFFF"/>
                <w:sz w:val="17"/>
              </w:rPr>
              <w:t>Prediction</w:t>
            </w:r>
          </w:p>
        </w:tc>
      </w:tr>
      <w:tr>
        <w:tc>
          <w:tcPr>
            <w:tcW w:type="dxa" w:w="3389"/>
            <w:vAlign w:val="top"/>
          </w:tcPr>
          <w:p>
            <w:r>
              <w:rPr>
                <w:sz w:val="16"/>
              </w:rPr>
              <w:t>Predictive profile</w:t>
            </w:r>
          </w:p>
        </w:tc>
        <w:tc>
          <w:tcPr>
            <w:tcW w:type="dxa" w:w="3389"/>
            <w:vAlign w:val="top"/>
          </w:tcPr>
          <w:p>
            <w:r>
              <w:rPr>
                <w:sz w:val="16"/>
              </w:rPr>
              <w:t>Manuals, rules, sensor schema, model feature schema.</w:t>
            </w:r>
          </w:p>
        </w:tc>
        <w:tc>
          <w:tcPr>
            <w:tcW w:type="dxa" w:w="3389"/>
            <w:vAlign w:val="top"/>
          </w:tcPr>
          <w:p>
            <w:r>
              <w:rPr>
                <w:sz w:val="16"/>
              </w:rPr>
              <w:t>Compatible trained classifier or regressor.</w:t>
            </w:r>
          </w:p>
        </w:tc>
      </w:tr>
      <w:tr>
        <w:tc>
          <w:tcPr>
            <w:tcW w:type="dxa" w:w="3389"/>
            <w:vAlign w:val="top"/>
            <w:shd w:fill="F3F6F9"/>
          </w:tcPr>
          <w:p>
            <w:r>
              <w:rPr>
                <w:sz w:val="16"/>
              </w:rPr>
              <w:t>Rule/manual profile</w:t>
            </w:r>
          </w:p>
        </w:tc>
        <w:tc>
          <w:tcPr>
            <w:tcW w:type="dxa" w:w="3389"/>
            <w:vAlign w:val="top"/>
            <w:shd w:fill="F3F6F9"/>
          </w:tcPr>
          <w:p>
            <w:r>
              <w:rPr>
                <w:sz w:val="16"/>
              </w:rPr>
              <w:t>Manuals, error codes, components, safety rules.</w:t>
            </w:r>
          </w:p>
        </w:tc>
        <w:tc>
          <w:tcPr>
            <w:tcW w:type="dxa" w:w="3389"/>
            <w:vAlign w:val="top"/>
            <w:shd w:fill="F3F6F9"/>
          </w:tcPr>
          <w:p>
            <w:r>
              <w:rPr>
                <w:sz w:val="16"/>
              </w:rPr>
              <w:t>No ML required.</w:t>
            </w:r>
          </w:p>
        </w:tc>
      </w:tr>
      <w:tr>
        <w:tc>
          <w:tcPr>
            <w:tcW w:type="dxa" w:w="3389"/>
            <w:vAlign w:val="top"/>
          </w:tcPr>
          <w:p>
            <w:r>
              <w:rPr>
                <w:sz w:val="16"/>
              </w:rPr>
              <w:t>Repair-guide profile</w:t>
            </w:r>
          </w:p>
        </w:tc>
        <w:tc>
          <w:tcPr>
            <w:tcW w:type="dxa" w:w="3389"/>
            <w:vAlign w:val="top"/>
          </w:tcPr>
          <w:p>
            <w:r>
              <w:rPr>
                <w:sz w:val="16"/>
              </w:rPr>
              <w:t>Ordered repair guide steps, tools, parts, warnings and attribution.</w:t>
            </w:r>
          </w:p>
        </w:tc>
        <w:tc>
          <w:tcPr>
            <w:tcW w:type="dxa" w:w="3389"/>
            <w:vAlign w:val="top"/>
          </w:tcPr>
          <w:p>
            <w:r>
              <w:rPr>
                <w:sz w:val="16"/>
              </w:rPr>
              <w:t>No ML required; retrieval and ordered-step guidance only.</w:t>
            </w:r>
          </w:p>
        </w:tc>
      </w:tr>
    </w:tbl>
    <w:p>
      <w:pPr>
        <w:pStyle w:val="Heading2"/>
      </w:pPr>
      <w:r>
        <w:t>5.2 Required profile fields</w:t>
      </w:r>
    </w:p>
    <w:p>
      <w:pPr>
        <w:pStyle w:val="ListBullet"/>
      </w:pPr>
      <w:r>
        <w:t>Profile ID and display name</w:t>
      </w:r>
    </w:p>
    <w:p>
      <w:pPr>
        <w:pStyle w:val="ListBullet"/>
      </w:pPr>
      <w:r>
        <w:t>Machine/device family and supported model names</w:t>
      </w:r>
    </w:p>
    <w:p>
      <w:pPr>
        <w:pStyle w:val="ListBullet"/>
      </w:pPr>
      <w:r>
        <w:t>Source type and provenance</w:t>
      </w:r>
    </w:p>
    <w:p>
      <w:pPr>
        <w:pStyle w:val="ListBullet"/>
      </w:pPr>
      <w:r>
        <w:t>Input field schema and units</w:t>
      </w:r>
    </w:p>
    <w:p>
      <w:pPr>
        <w:pStyle w:val="ListBullet"/>
      </w:pPr>
      <w:r>
        <w:t>Safety rules and escalation conditions</w:t>
      </w:r>
    </w:p>
    <w:p>
      <w:pPr>
        <w:pStyle w:val="ListBullet"/>
      </w:pPr>
      <w:r>
        <w:t>Components and error-code mappings</w:t>
      </w:r>
    </w:p>
    <w:p>
      <w:pPr>
        <w:pStyle w:val="ListBullet"/>
      </w:pPr>
      <w:r>
        <w:t>Document list and manual revision</w:t>
      </w:r>
    </w:p>
    <w:p>
      <w:pPr>
        <w:pStyle w:val="ListBullet"/>
      </w:pPr>
      <w:r>
        <w:t>ML availability and feature schema</w:t>
      </w:r>
    </w:p>
    <w:p>
      <w:pPr>
        <w:pStyle w:val="ListBullet"/>
      </w:pPr>
      <w:r>
        <w:t>Retrieval configuration and active state</w:t>
      </w:r>
    </w:p>
    <w:p>
      <w:pPr>
        <w:pStyle w:val="Heading2"/>
      </w:pPr>
      <w:r>
        <w:t>5.3 PDF ingestion workflow</w:t>
      </w:r>
    </w:p>
    <w:p>
      <w:pPr>
        <w:pStyle w:val="ListNumber"/>
      </w:pPr>
      <w:r>
        <w:t>Validate extension, MIME type, file size, password state and filename.</w:t>
      </w:r>
    </w:p>
    <w:p>
      <w:pPr>
        <w:pStyle w:val="ListNumber"/>
      </w:pPr>
      <w:r>
        <w:t>Extract page-aware text blocks using PyMuPDF.</w:t>
      </w:r>
    </w:p>
    <w:p>
      <w:pPr>
        <w:pStyle w:val="ListNumber"/>
      </w:pPr>
      <w:r>
        <w:t>Normalize whitespace while preserving page, headings and ordered steps.</w:t>
      </w:r>
    </w:p>
    <w:p>
      <w:pPr>
        <w:pStyle w:val="ListNumber"/>
      </w:pPr>
      <w:r>
        <w:t>Detect candidate warnings, cautions, error codes, components and troubleshooting sections.</w:t>
      </w:r>
    </w:p>
    <w:p>
      <w:pPr>
        <w:pStyle w:val="ListNumber"/>
      </w:pPr>
      <w:r>
        <w:t>Display extraction diagnostics and all low-confidence or empty pages.</w:t>
      </w:r>
    </w:p>
    <w:p>
      <w:pPr>
        <w:pStyle w:val="ListNumber"/>
      </w:pPr>
      <w:r>
        <w:t>Require human correction and confirmation.</w:t>
      </w:r>
    </w:p>
    <w:p>
      <w:pPr>
        <w:pStyle w:val="ListNumber"/>
      </w:pPr>
      <w:r>
        <w:t>Chunk only approved content and attach metadata.</w:t>
      </w:r>
    </w:p>
    <w:p>
      <w:pPr>
        <w:pStyle w:val="ListNumber"/>
      </w:pPr>
      <w:r>
        <w:t>Generate embeddings and build index.</w:t>
      </w:r>
    </w:p>
    <w:p>
      <w:pPr>
        <w:pStyle w:val="ListNumber"/>
      </w:pPr>
      <w:r>
        <w:t>Run smoke queries before activation.</w:t>
      </w:r>
    </w:p>
    <w:p>
      <w:pPr>
        <w:pStyle w:val="Heading2"/>
      </w:pPr>
      <w:r>
        <w:t>5.4 iFixit content policy</w:t>
      </w:r>
    </w:p>
    <w:p>
      <w:r>
        <w:t>The official iFixit API provides programmatic access to public repair guides, categories and related data; most public endpoints do not require authentication. Its content is offered for non-commercial use under CC BY-NC-SA 3.0, requests are rate limited, and training large language models on iFixit content is prohibited [1].</w:t>
      </w:r>
    </w:p>
    <w:p>
      <w:pPr>
        <w:pStyle w:val="ListBullet"/>
      </w:pPr>
      <w:r>
        <w:t>Use only selected guides needed for the non-commercial demonstration.</w:t>
      </w:r>
    </w:p>
    <w:p>
      <w:pPr>
        <w:pStyle w:val="ListBullet"/>
      </w:pPr>
      <w:r>
        <w:t>Preserve source URL, guide title, authorship/attribution where available and licence notice.</w:t>
      </w:r>
    </w:p>
    <w:p>
      <w:pPr>
        <w:pStyle w:val="ListBullet"/>
      </w:pPr>
      <w:r>
        <w:t>Do not fine-tune or train any language model on iFixit content.</w:t>
      </w:r>
    </w:p>
    <w:p>
      <w:pPr>
        <w:pStyle w:val="ListBullet"/>
      </w:pPr>
      <w:r>
        <w:t>Do not commit copied guide content to a public repository unless permitted by the applicable licence and attribution requirements.</w:t>
      </w:r>
    </w:p>
    <w:p>
      <w:pPr>
        <w:pStyle w:val="ListBullet"/>
      </w:pPr>
      <w:r>
        <w:t>Provide local delete and document removal controls.</w:t>
      </w:r>
    </w:p>
    <w:p>
      <w:pPr>
        <w:pStyle w:val="ListBullet"/>
      </w:pPr>
      <w:r>
        <w:t>Keep the connector tab architecturally present even if the final demonstration uses downloaded permitted manuals.</w:t>
      </w:r>
    </w:p>
    <w:p>
      <w:pPr>
        <w:pStyle w:val="Heading1"/>
      </w:pPr>
      <w:r>
        <w:t>6. Diagnostic, ML and retrieval workflows</w:t>
      </w:r>
    </w:p>
    <w:p>
      <w:pPr>
        <w:pStyle w:val="Heading2"/>
      </w:pPr>
      <w:r>
        <w:t>6.1 Runtime decision order</w:t>
      </w:r>
    </w:p>
    <w:p>
      <w:pPr>
        <w:pStyle w:val="ListNumber"/>
      </w:pPr>
      <w:r>
        <w:t>Load and validate active profile.</w:t>
      </w:r>
    </w:p>
    <w:p>
      <w:pPr>
        <w:pStyle w:val="ListNumber"/>
      </w:pPr>
      <w:r>
        <w:t>Normalize user input and verify units.</w:t>
      </w:r>
    </w:p>
    <w:p>
      <w:pPr>
        <w:pStyle w:val="ListNumber"/>
      </w:pPr>
      <w:r>
        <w:t>Execute critical safety rules.</w:t>
      </w:r>
    </w:p>
    <w:p>
      <w:pPr>
        <w:pStyle w:val="ListNumber"/>
      </w:pPr>
      <w:r>
        <w:t>Stop if status prohibits evaluation.</w:t>
      </w:r>
    </w:p>
    <w:p>
      <w:pPr>
        <w:pStyle w:val="ListNumber"/>
      </w:pPr>
      <w:r>
        <w:t>Run exact error-code and operating-rule checks.</w:t>
      </w:r>
    </w:p>
    <w:p>
      <w:pPr>
        <w:pStyle w:val="ListNumber"/>
      </w:pPr>
      <w:r>
        <w:t>Invoke ML only when profile and feature schema are compatible.</w:t>
      </w:r>
    </w:p>
    <w:p>
      <w:pPr>
        <w:pStyle w:val="ListNumber"/>
      </w:pPr>
      <w:r>
        <w:t>Construct retrieval filters and query.</w:t>
      </w:r>
    </w:p>
    <w:p>
      <w:pPr>
        <w:pStyle w:val="ListNumber"/>
      </w:pPr>
      <w:r>
        <w:t>Retrieve evidence; refuse if no acceptable evidence exists.</w:t>
      </w:r>
    </w:p>
    <w:p>
      <w:pPr>
        <w:pStyle w:val="ListNumber"/>
      </w:pPr>
      <w:r>
        <w:t>Assemble DiagnosticResult without allowing retrieval or ML to override safety.</w:t>
      </w:r>
    </w:p>
    <w:p>
      <w:pPr>
        <w:pStyle w:val="ListNumber"/>
      </w:pPr>
      <w:r>
        <w:t>Persist case and audit events.</w:t>
      </w:r>
    </w:p>
    <w:p>
      <w:pPr>
        <w:pStyle w:val="Heading2"/>
      </w:pPr>
      <w:r>
        <w:t>6.2 AI4I model</w:t>
      </w:r>
    </w:p>
    <w:p>
      <w:r>
        <w:t>The AI4I 2020 dataset is synthetic, has 10,000 observations and includes product type, air temperature, process temperature, rotational speed, torque, tool wear, a machine-failure target and individual failure indicators [2].</w:t>
      </w:r>
    </w:p>
    <w:tbl>
      <w:tblPr>
        <w:tblStyle w:val="TableGrid"/>
        <w:tblW w:type="auto" w:w="0"/>
        <w:jc w:val="center"/>
        <w:tblLook w:firstColumn="1" w:firstRow="1" w:lastColumn="0" w:lastRow="0" w:noHBand="0" w:noVBand="1" w:val="04A0"/>
      </w:tblPr>
      <w:tblGrid>
        <w:gridCol w:w="5083"/>
        <w:gridCol w:w="5083"/>
      </w:tblGrid>
      <w:tr>
        <w:trPr>
          <w:tblHeader/>
        </w:trPr>
        <w:tc>
          <w:tcPr>
            <w:tcW w:type="dxa" w:w="5083"/>
            <w:shd w:fill="17324D"/>
            <w:vAlign w:val="center"/>
          </w:tcPr>
          <w:p>
            <w:r>
              <w:rPr>
                <w:b/>
                <w:color w:val="FFFFFF"/>
                <w:sz w:val="17"/>
              </w:rPr>
              <w:t>Element</w:t>
            </w:r>
          </w:p>
        </w:tc>
        <w:tc>
          <w:tcPr>
            <w:tcW w:type="dxa" w:w="5083"/>
            <w:shd w:fill="17324D"/>
            <w:vAlign w:val="center"/>
          </w:tcPr>
          <w:p>
            <w:r>
              <w:rPr>
                <w:b/>
                <w:color w:val="FFFFFF"/>
                <w:sz w:val="17"/>
              </w:rPr>
              <w:t>Decision</w:t>
            </w:r>
          </w:p>
        </w:tc>
      </w:tr>
      <w:tr>
        <w:tc>
          <w:tcPr>
            <w:tcW w:type="dxa" w:w="5083"/>
            <w:vAlign w:val="top"/>
          </w:tcPr>
          <w:p>
            <w:r>
              <w:rPr>
                <w:sz w:val="16"/>
              </w:rPr>
              <w:t>Primary task</w:t>
            </w:r>
          </w:p>
        </w:tc>
        <w:tc>
          <w:tcPr>
            <w:tcW w:type="dxa" w:w="5083"/>
            <w:vAlign w:val="top"/>
          </w:tcPr>
          <w:p>
            <w:r>
              <w:rPr>
                <w:sz w:val="16"/>
              </w:rPr>
              <w:t>Binary machine-failure classification.</w:t>
            </w:r>
          </w:p>
        </w:tc>
      </w:tr>
      <w:tr>
        <w:tc>
          <w:tcPr>
            <w:tcW w:type="dxa" w:w="5083"/>
            <w:vAlign w:val="top"/>
            <w:shd w:fill="F3F6F9"/>
          </w:tcPr>
          <w:p>
            <w:r>
              <w:rPr>
                <w:sz w:val="16"/>
              </w:rPr>
              <w:t>Features</w:t>
            </w:r>
          </w:p>
        </w:tc>
        <w:tc>
          <w:tcPr>
            <w:tcW w:type="dxa" w:w="5083"/>
            <w:vAlign w:val="top"/>
            <w:shd w:fill="F3F6F9"/>
          </w:tcPr>
          <w:p>
            <w:r>
              <w:rPr>
                <w:sz w:val="16"/>
              </w:rPr>
              <w:t>Type, air temperature, process temperature, rotational speed, torque and tool wear.</w:t>
            </w:r>
          </w:p>
        </w:tc>
      </w:tr>
      <w:tr>
        <w:tc>
          <w:tcPr>
            <w:tcW w:type="dxa" w:w="5083"/>
            <w:vAlign w:val="top"/>
          </w:tcPr>
          <w:p>
            <w:r>
              <w:rPr>
                <w:sz w:val="16"/>
              </w:rPr>
              <w:t>Excluded leakage fields</w:t>
            </w:r>
          </w:p>
        </w:tc>
        <w:tc>
          <w:tcPr>
            <w:tcW w:type="dxa" w:w="5083"/>
            <w:vAlign w:val="top"/>
          </w:tcPr>
          <w:p>
            <w:r>
              <w:rPr>
                <w:sz w:val="16"/>
              </w:rPr>
              <w:t>Machine failure, TWF, HDF, PWF, OSF and RNF when predicting machine failure.</w:t>
            </w:r>
          </w:p>
        </w:tc>
      </w:tr>
      <w:tr>
        <w:tc>
          <w:tcPr>
            <w:tcW w:type="dxa" w:w="5083"/>
            <w:vAlign w:val="top"/>
            <w:shd w:fill="F3F6F9"/>
          </w:tcPr>
          <w:p>
            <w:r>
              <w:rPr>
                <w:sz w:val="16"/>
              </w:rPr>
              <w:t>Baselines</w:t>
            </w:r>
          </w:p>
        </w:tc>
        <w:tc>
          <w:tcPr>
            <w:tcW w:type="dxa" w:w="5083"/>
            <w:vAlign w:val="top"/>
            <w:shd w:fill="F3F6F9"/>
          </w:tcPr>
          <w:p>
            <w:r>
              <w:rPr>
                <w:sz w:val="16"/>
              </w:rPr>
              <w:t>Dummy, Logistic Regression, Decision Tree and Random Forest.</w:t>
            </w:r>
          </w:p>
        </w:tc>
      </w:tr>
      <w:tr>
        <w:tc>
          <w:tcPr>
            <w:tcW w:type="dxa" w:w="5083"/>
            <w:vAlign w:val="top"/>
          </w:tcPr>
          <w:p>
            <w:r>
              <w:rPr>
                <w:sz w:val="16"/>
              </w:rPr>
              <w:t>Selection</w:t>
            </w:r>
          </w:p>
        </w:tc>
        <w:tc>
          <w:tcPr>
            <w:tcW w:type="dxa" w:w="5083"/>
            <w:vAlign w:val="top"/>
          </w:tcPr>
          <w:p>
            <w:r>
              <w:rPr>
                <w:sz w:val="16"/>
              </w:rPr>
              <w:t>Validation-set failure recall as primary, balanced with precision and PR-AUC.</w:t>
            </w:r>
          </w:p>
        </w:tc>
      </w:tr>
      <w:tr>
        <w:tc>
          <w:tcPr>
            <w:tcW w:type="dxa" w:w="5083"/>
            <w:vAlign w:val="top"/>
            <w:shd w:fill="F3F6F9"/>
          </w:tcPr>
          <w:p>
            <w:r>
              <w:rPr>
                <w:sz w:val="16"/>
              </w:rPr>
              <w:t>Artifact</w:t>
            </w:r>
          </w:p>
        </w:tc>
        <w:tc>
          <w:tcPr>
            <w:tcW w:type="dxa" w:w="5083"/>
            <w:vAlign w:val="top"/>
            <w:shd w:fill="F3F6F9"/>
          </w:tcPr>
          <w:p>
            <w:r>
              <w:rPr>
                <w:sz w:val="16"/>
              </w:rPr>
              <w:t>One Scikit-learn Pipeline serialized with Joblib; preprocessing included.</w:t>
            </w:r>
          </w:p>
        </w:tc>
      </w:tr>
    </w:tbl>
    <w:p>
      <w:pPr>
        <w:pStyle w:val="Heading2"/>
      </w:pPr>
      <w:r>
        <w:t>6.3 Retrieval pipeline</w:t>
      </w:r>
    </w:p>
    <w:p>
      <w:pPr>
        <w:pStyle w:val="ListBullet"/>
      </w:pPr>
      <w:r>
        <w:t>Clean and chunk approved text using heading and paragraph boundaries.</w:t>
      </w:r>
    </w:p>
    <w:p>
      <w:pPr>
        <w:pStyle w:val="ListBullet"/>
      </w:pPr>
      <w:r>
        <w:t>Attach profile, model, component, error code, failure mode, severity, document, page/step and manual revision metadata.</w:t>
      </w:r>
    </w:p>
    <w:p>
      <w:pPr>
        <w:pStyle w:val="ListBullet"/>
      </w:pPr>
      <w:r>
        <w:t>Generate normalized all-MiniLM-L6-v2 embeddings when available.</w:t>
      </w:r>
    </w:p>
    <w:p>
      <w:pPr>
        <w:pStyle w:val="ListBullet"/>
      </w:pPr>
      <w:r>
        <w:t>Use FAISS IndexFlatIP for cosine-style similarity on normalized vectors.</w:t>
      </w:r>
    </w:p>
    <w:p>
      <w:pPr>
        <w:pStyle w:val="ListBullet"/>
      </w:pPr>
      <w:r>
        <w:t>Filter metadata before semantic ranking.</w:t>
      </w:r>
    </w:p>
    <w:p>
      <w:pPr>
        <w:pStyle w:val="ListBullet"/>
      </w:pPr>
      <w:r>
        <w:t>Return top-k results above an empirically selected threshold.</w:t>
      </w:r>
    </w:p>
    <w:p>
      <w:pPr>
        <w:pStyle w:val="ListBullet"/>
      </w:pPr>
      <w:r>
        <w:t>Never merge procedure steps from unrelated documents or profiles.</w:t>
      </w:r>
    </w:p>
    <w:p>
      <w:pPr>
        <w:pStyle w:val="ListBullet"/>
      </w:pPr>
      <w:r>
        <w:t>Return a safe no-match response rather than generate a procedure.</w:t>
      </w:r>
    </w:p>
    <w:p>
      <w:pPr>
        <w:pStyle w:val="Heading1"/>
      </w:pPr>
      <w:r>
        <w:t>7. Data sources and storage model</w:t>
      </w:r>
    </w:p>
    <w:tbl>
      <w:tblPr>
        <w:tblStyle w:val="TableGrid"/>
        <w:tblW w:type="auto" w:w="0"/>
        <w:jc w:val="center"/>
        <w:tblLook w:firstColumn="1" w:firstRow="1" w:lastColumn="0" w:lastRow="0" w:noHBand="0" w:noVBand="1" w:val="04A0"/>
      </w:tblPr>
      <w:tblGrid>
        <w:gridCol w:w="2541"/>
        <w:gridCol w:w="2541"/>
        <w:gridCol w:w="2541"/>
        <w:gridCol w:w="2541"/>
      </w:tblGrid>
      <w:tr>
        <w:trPr>
          <w:tblHeader/>
        </w:trPr>
        <w:tc>
          <w:tcPr>
            <w:tcW w:type="dxa" w:w="2541"/>
            <w:shd w:fill="17324D"/>
            <w:vAlign w:val="center"/>
          </w:tcPr>
          <w:p>
            <w:r>
              <w:rPr>
                <w:b/>
                <w:color w:val="FFFFFF"/>
                <w:sz w:val="17"/>
              </w:rPr>
              <w:t>Data category</w:t>
            </w:r>
          </w:p>
        </w:tc>
        <w:tc>
          <w:tcPr>
            <w:tcW w:type="dxa" w:w="2541"/>
            <w:shd w:fill="17324D"/>
            <w:vAlign w:val="center"/>
          </w:tcPr>
          <w:p>
            <w:r>
              <w:rPr>
                <w:b/>
                <w:color w:val="FFFFFF"/>
                <w:sz w:val="17"/>
              </w:rPr>
              <w:t>Source</w:t>
            </w:r>
          </w:p>
        </w:tc>
        <w:tc>
          <w:tcPr>
            <w:tcW w:type="dxa" w:w="2541"/>
            <w:shd w:fill="17324D"/>
            <w:vAlign w:val="center"/>
          </w:tcPr>
          <w:p>
            <w:r>
              <w:rPr>
                <w:b/>
                <w:color w:val="FFFFFF"/>
                <w:sz w:val="17"/>
              </w:rPr>
              <w:t>Use</w:t>
            </w:r>
          </w:p>
        </w:tc>
        <w:tc>
          <w:tcPr>
            <w:tcW w:type="dxa" w:w="2541"/>
            <w:shd w:fill="17324D"/>
            <w:vAlign w:val="center"/>
          </w:tcPr>
          <w:p>
            <w:r>
              <w:rPr>
                <w:b/>
                <w:color w:val="FFFFFF"/>
                <w:sz w:val="17"/>
              </w:rPr>
              <w:t>Licence/provenance handling</w:t>
            </w:r>
          </w:p>
        </w:tc>
      </w:tr>
      <w:tr>
        <w:tc>
          <w:tcPr>
            <w:tcW w:type="dxa" w:w="2541"/>
            <w:vAlign w:val="top"/>
          </w:tcPr>
          <w:p>
            <w:r>
              <w:rPr>
                <w:sz w:val="16"/>
              </w:rPr>
              <w:t>Predictive telemetry</w:t>
            </w:r>
          </w:p>
        </w:tc>
        <w:tc>
          <w:tcPr>
            <w:tcW w:type="dxa" w:w="2541"/>
            <w:vAlign w:val="top"/>
          </w:tcPr>
          <w:p>
            <w:r>
              <w:rPr>
                <w:sz w:val="16"/>
              </w:rPr>
              <w:t>UCI AI4I 2020.</w:t>
            </w:r>
          </w:p>
        </w:tc>
        <w:tc>
          <w:tcPr>
            <w:tcW w:type="dxa" w:w="2541"/>
            <w:vAlign w:val="top"/>
          </w:tcPr>
          <w:p>
            <w:r>
              <w:rPr>
                <w:sz w:val="16"/>
              </w:rPr>
              <w:t>Train/test the demonstration classifier.</w:t>
            </w:r>
          </w:p>
        </w:tc>
        <w:tc>
          <w:tcPr>
            <w:tcW w:type="dxa" w:w="2541"/>
            <w:vAlign w:val="top"/>
          </w:tcPr>
          <w:p>
            <w:r>
              <w:rPr>
                <w:sz w:val="16"/>
              </w:rPr>
              <w:t>Record dataset URL and synthetic status.</w:t>
            </w:r>
          </w:p>
        </w:tc>
      </w:tr>
      <w:tr>
        <w:tc>
          <w:tcPr>
            <w:tcW w:type="dxa" w:w="2541"/>
            <w:vAlign w:val="top"/>
            <w:shd w:fill="F3F6F9"/>
          </w:tcPr>
          <w:p>
            <w:r>
              <w:rPr>
                <w:sz w:val="16"/>
              </w:rPr>
              <w:t>Manual PDFs</w:t>
            </w:r>
          </w:p>
        </w:tc>
        <w:tc>
          <w:tcPr>
            <w:tcW w:type="dxa" w:w="2541"/>
            <w:vAlign w:val="top"/>
            <w:shd w:fill="F3F6F9"/>
          </w:tcPr>
          <w:p>
            <w:r>
              <w:rPr>
                <w:sz w:val="16"/>
              </w:rPr>
              <w:t>User-supplied permitted manuals.</w:t>
            </w:r>
          </w:p>
        </w:tc>
        <w:tc>
          <w:tcPr>
            <w:tcW w:type="dxa" w:w="2541"/>
            <w:vAlign w:val="top"/>
            <w:shd w:fill="F3F6F9"/>
          </w:tcPr>
          <w:p>
            <w:r>
              <w:rPr>
                <w:sz w:val="16"/>
              </w:rPr>
              <w:t>Create profile and retrieval corpus.</w:t>
            </w:r>
          </w:p>
        </w:tc>
        <w:tc>
          <w:tcPr>
            <w:tcW w:type="dxa" w:w="2541"/>
            <w:vAlign w:val="top"/>
            <w:shd w:fill="F3F6F9"/>
          </w:tcPr>
          <w:p>
            <w:r>
              <w:rPr>
                <w:sz w:val="16"/>
              </w:rPr>
              <w:t>Store source path, title, revision and user confirmation.</w:t>
            </w:r>
          </w:p>
        </w:tc>
      </w:tr>
      <w:tr>
        <w:tc>
          <w:tcPr>
            <w:tcW w:type="dxa" w:w="2541"/>
            <w:vAlign w:val="top"/>
          </w:tcPr>
          <w:p>
            <w:r>
              <w:rPr>
                <w:sz w:val="16"/>
              </w:rPr>
              <w:t>Repair guides</w:t>
            </w:r>
          </w:p>
        </w:tc>
        <w:tc>
          <w:tcPr>
            <w:tcW w:type="dxa" w:w="2541"/>
            <w:vAlign w:val="top"/>
          </w:tcPr>
          <w:p>
            <w:r>
              <w:rPr>
                <w:sz w:val="16"/>
              </w:rPr>
              <w:t>Selected iFixit guides or permitted local copies.</w:t>
            </w:r>
          </w:p>
        </w:tc>
        <w:tc>
          <w:tcPr>
            <w:tcW w:type="dxa" w:w="2541"/>
            <w:vAlign w:val="top"/>
          </w:tcPr>
          <w:p>
            <w:r>
              <w:rPr>
                <w:sz w:val="16"/>
              </w:rPr>
              <w:t>Demonstrate ordered repair retrieval.</w:t>
            </w:r>
          </w:p>
        </w:tc>
        <w:tc>
          <w:tcPr>
            <w:tcW w:type="dxa" w:w="2541"/>
            <w:vAlign w:val="top"/>
          </w:tcPr>
          <w:p>
            <w:r>
              <w:rPr>
                <w:sz w:val="16"/>
              </w:rPr>
              <w:t>Non-commercial attribution; no LLM training.</w:t>
            </w:r>
          </w:p>
        </w:tc>
      </w:tr>
      <w:tr>
        <w:tc>
          <w:tcPr>
            <w:tcW w:type="dxa" w:w="2541"/>
            <w:vAlign w:val="top"/>
            <w:shd w:fill="F3F6F9"/>
          </w:tcPr>
          <w:p>
            <w:r>
              <w:rPr>
                <w:sz w:val="16"/>
              </w:rPr>
              <w:t>Synthetic profile</w:t>
            </w:r>
          </w:p>
        </w:tc>
        <w:tc>
          <w:tcPr>
            <w:tcW w:type="dxa" w:w="2541"/>
            <w:vAlign w:val="top"/>
            <w:shd w:fill="F3F6F9"/>
          </w:tcPr>
          <w:p>
            <w:r>
              <w:rPr>
                <w:sz w:val="16"/>
              </w:rPr>
              <w:t>Author-created pump/motor/compressor content.</w:t>
            </w:r>
          </w:p>
        </w:tc>
        <w:tc>
          <w:tcPr>
            <w:tcW w:type="dxa" w:w="2541"/>
            <w:vAlign w:val="top"/>
            <w:shd w:fill="F3F6F9"/>
          </w:tcPr>
          <w:p>
            <w:r>
              <w:rPr>
                <w:sz w:val="16"/>
              </w:rPr>
              <w:t>Demonstrate configuration without ML.</w:t>
            </w:r>
          </w:p>
        </w:tc>
        <w:tc>
          <w:tcPr>
            <w:tcW w:type="dxa" w:w="2541"/>
            <w:vAlign w:val="top"/>
            <w:shd w:fill="F3F6F9"/>
          </w:tcPr>
          <w:p>
            <w:r>
              <w:rPr>
                <w:sz w:val="16"/>
              </w:rPr>
              <w:t>Label every document synthetic.</w:t>
            </w:r>
          </w:p>
        </w:tc>
      </w:tr>
      <w:tr>
        <w:tc>
          <w:tcPr>
            <w:tcW w:type="dxa" w:w="2541"/>
            <w:vAlign w:val="top"/>
          </w:tcPr>
          <w:p>
            <w:r>
              <w:rPr>
                <w:sz w:val="16"/>
              </w:rPr>
              <w:t>Evaluation cases</w:t>
            </w:r>
          </w:p>
        </w:tc>
        <w:tc>
          <w:tcPr>
            <w:tcW w:type="dxa" w:w="2541"/>
            <w:vAlign w:val="top"/>
          </w:tcPr>
          <w:p>
            <w:r>
              <w:rPr>
                <w:sz w:val="16"/>
              </w:rPr>
              <w:t>Author-labelled edge cases.</w:t>
            </w:r>
          </w:p>
        </w:tc>
        <w:tc>
          <w:tcPr>
            <w:tcW w:type="dxa" w:w="2541"/>
            <w:vAlign w:val="top"/>
          </w:tcPr>
          <w:p>
            <w:r>
              <w:rPr>
                <w:sz w:val="16"/>
              </w:rPr>
              <w:t>Measure rules, model, retrieval and failures.</w:t>
            </w:r>
          </w:p>
        </w:tc>
        <w:tc>
          <w:tcPr>
            <w:tcW w:type="dxa" w:w="2541"/>
            <w:vAlign w:val="top"/>
          </w:tcPr>
          <w:p>
            <w:r>
              <w:rPr>
                <w:sz w:val="16"/>
              </w:rPr>
              <w:t>Keep expected outcomes explicit.</w:t>
            </w:r>
          </w:p>
        </w:tc>
      </w:tr>
    </w:tbl>
    <w:p>
      <w:pPr>
        <w:pStyle w:val="Heading2"/>
      </w:pPr>
      <w:r>
        <w:t>7.1 SQLite entities</w:t>
      </w:r>
    </w:p>
    <w:tbl>
      <w:tblPr>
        <w:tblStyle w:val="TableGrid"/>
        <w:tblW w:type="auto" w:w="0"/>
        <w:jc w:val="center"/>
        <w:tblLook w:firstColumn="1" w:firstRow="1" w:lastColumn="0" w:lastRow="0" w:noHBand="0" w:noVBand="1" w:val="04A0"/>
      </w:tblPr>
      <w:tblGrid>
        <w:gridCol w:w="5083"/>
        <w:gridCol w:w="5083"/>
      </w:tblGrid>
      <w:tr>
        <w:trPr>
          <w:tblHeader/>
        </w:trPr>
        <w:tc>
          <w:tcPr>
            <w:tcW w:type="dxa" w:w="5083"/>
            <w:shd w:fill="17324D"/>
            <w:vAlign w:val="center"/>
          </w:tcPr>
          <w:p>
            <w:r>
              <w:rPr>
                <w:b/>
                <w:color w:val="FFFFFF"/>
                <w:sz w:val="17"/>
              </w:rPr>
              <w:t>Entity</w:t>
            </w:r>
          </w:p>
        </w:tc>
        <w:tc>
          <w:tcPr>
            <w:tcW w:type="dxa" w:w="5083"/>
            <w:shd w:fill="17324D"/>
            <w:vAlign w:val="center"/>
          </w:tcPr>
          <w:p>
            <w:r>
              <w:rPr>
                <w:b/>
                <w:color w:val="FFFFFF"/>
                <w:sz w:val="17"/>
              </w:rPr>
              <w:t>Core fields</w:t>
            </w:r>
          </w:p>
        </w:tc>
      </w:tr>
      <w:tr>
        <w:tc>
          <w:tcPr>
            <w:tcW w:type="dxa" w:w="5083"/>
            <w:vAlign w:val="top"/>
          </w:tcPr>
          <w:p>
            <w:r>
              <w:rPr>
                <w:sz w:val="16"/>
              </w:rPr>
              <w:t>profiles</w:t>
            </w:r>
          </w:p>
        </w:tc>
        <w:tc>
          <w:tcPr>
            <w:tcW w:type="dxa" w:w="5083"/>
            <w:vAlign w:val="top"/>
          </w:tcPr>
          <w:p>
            <w:r>
              <w:rPr>
                <w:sz w:val="16"/>
              </w:rPr>
              <w:t>id, name, family, source_type, state, ml_available, created_at</w:t>
            </w:r>
          </w:p>
        </w:tc>
      </w:tr>
      <w:tr>
        <w:tc>
          <w:tcPr>
            <w:tcW w:type="dxa" w:w="5083"/>
            <w:vAlign w:val="top"/>
            <w:shd w:fill="F3F6F9"/>
          </w:tcPr>
          <w:p>
            <w:r>
              <w:rPr>
                <w:sz w:val="16"/>
              </w:rPr>
              <w:t>documents</w:t>
            </w:r>
          </w:p>
        </w:tc>
        <w:tc>
          <w:tcPr>
            <w:tcW w:type="dxa" w:w="5083"/>
            <w:vAlign w:val="top"/>
            <w:shd w:fill="F3F6F9"/>
          </w:tcPr>
          <w:p>
            <w:r>
              <w:rPr>
                <w:sz w:val="16"/>
              </w:rPr>
              <w:t>id, profile_id, title, source, attribution, revision, extraction_status</w:t>
            </w:r>
          </w:p>
        </w:tc>
      </w:tr>
      <w:tr>
        <w:tc>
          <w:tcPr>
            <w:tcW w:type="dxa" w:w="5083"/>
            <w:vAlign w:val="top"/>
          </w:tcPr>
          <w:p>
            <w:r>
              <w:rPr>
                <w:sz w:val="16"/>
              </w:rPr>
              <w:t>chunks</w:t>
            </w:r>
          </w:p>
        </w:tc>
        <w:tc>
          <w:tcPr>
            <w:tcW w:type="dxa" w:w="5083"/>
            <w:vAlign w:val="top"/>
          </w:tcPr>
          <w:p>
            <w:r>
              <w:rPr>
                <w:sz w:val="16"/>
              </w:rPr>
              <w:t>id, document_id, page_or_step, text, metadata_json, index_key</w:t>
            </w:r>
          </w:p>
        </w:tc>
      </w:tr>
      <w:tr>
        <w:tc>
          <w:tcPr>
            <w:tcW w:type="dxa" w:w="5083"/>
            <w:vAlign w:val="top"/>
            <w:shd w:fill="F3F6F9"/>
          </w:tcPr>
          <w:p>
            <w:r>
              <w:rPr>
                <w:sz w:val="16"/>
              </w:rPr>
              <w:t>cases</w:t>
            </w:r>
          </w:p>
        </w:tc>
        <w:tc>
          <w:tcPr>
            <w:tcW w:type="dxa" w:w="5083"/>
            <w:vAlign w:val="top"/>
            <w:shd w:fill="F3F6F9"/>
          </w:tcPr>
          <w:p>
            <w:r>
              <w:rPr>
                <w:sz w:val="16"/>
              </w:rPr>
              <w:t>id, profile_id, input_json, safety_status, prediction_json, disposition, created_at</w:t>
            </w:r>
          </w:p>
        </w:tc>
      </w:tr>
      <w:tr>
        <w:tc>
          <w:tcPr>
            <w:tcW w:type="dxa" w:w="5083"/>
            <w:vAlign w:val="top"/>
          </w:tcPr>
          <w:p>
            <w:r>
              <w:rPr>
                <w:sz w:val="16"/>
              </w:rPr>
              <w:t>findings</w:t>
            </w:r>
          </w:p>
        </w:tc>
        <w:tc>
          <w:tcPr>
            <w:tcW w:type="dxa" w:w="5083"/>
            <w:vAlign w:val="top"/>
          </w:tcPr>
          <w:p>
            <w:r>
              <w:rPr>
                <w:sz w:val="16"/>
              </w:rPr>
              <w:t>case_id, rule_id, severity, message, action</w:t>
            </w:r>
          </w:p>
        </w:tc>
      </w:tr>
      <w:tr>
        <w:tc>
          <w:tcPr>
            <w:tcW w:type="dxa" w:w="5083"/>
            <w:vAlign w:val="top"/>
            <w:shd w:fill="F3F6F9"/>
          </w:tcPr>
          <w:p>
            <w:r>
              <w:rPr>
                <w:sz w:val="16"/>
              </w:rPr>
              <w:t>retrieval_results</w:t>
            </w:r>
          </w:p>
        </w:tc>
        <w:tc>
          <w:tcPr>
            <w:tcW w:type="dxa" w:w="5083"/>
            <w:vAlign w:val="top"/>
            <w:shd w:fill="F3F6F9"/>
          </w:tcPr>
          <w:p>
            <w:r>
              <w:rPr>
                <w:sz w:val="16"/>
              </w:rPr>
              <w:t>case_id, chunk_id, rank, score, cited</w:t>
            </w:r>
          </w:p>
        </w:tc>
      </w:tr>
      <w:tr>
        <w:tc>
          <w:tcPr>
            <w:tcW w:type="dxa" w:w="5083"/>
            <w:vAlign w:val="top"/>
          </w:tcPr>
          <w:p>
            <w:r>
              <w:rPr>
                <w:sz w:val="16"/>
              </w:rPr>
              <w:t>audit_events</w:t>
            </w:r>
          </w:p>
        </w:tc>
        <w:tc>
          <w:tcPr>
            <w:tcW w:type="dxa" w:w="5083"/>
            <w:vAlign w:val="top"/>
          </w:tcPr>
          <w:p>
            <w:r>
              <w:rPr>
                <w:sz w:val="16"/>
              </w:rPr>
              <w:t>timestamp, event_type, entity_type, entity_id, details_json</w:t>
            </w:r>
          </w:p>
        </w:tc>
      </w:tr>
      <w:tr>
        <w:tc>
          <w:tcPr>
            <w:tcW w:type="dxa" w:w="5083"/>
            <w:vAlign w:val="top"/>
            <w:shd w:fill="F3F6F9"/>
          </w:tcPr>
          <w:p>
            <w:r>
              <w:rPr>
                <w:sz w:val="16"/>
              </w:rPr>
              <w:t>evaluation_runs</w:t>
            </w:r>
          </w:p>
        </w:tc>
        <w:tc>
          <w:tcPr>
            <w:tcW w:type="dxa" w:w="5083"/>
            <w:vAlign w:val="top"/>
            <w:shd w:fill="F3F6F9"/>
          </w:tcPr>
          <w:p>
            <w:r>
              <w:rPr>
                <w:sz w:val="16"/>
              </w:rPr>
              <w:t>suite, backend, metrics_json, created_at</w:t>
            </w:r>
          </w:p>
        </w:tc>
      </w:tr>
    </w:tbl>
    <w:p>
      <w:pPr>
        <w:pStyle w:val="Heading1"/>
      </w:pPr>
      <w:r>
        <w:t>8. Safety, security and Responsible AI</w:t>
      </w:r>
    </w:p>
    <w:p>
      <w:r>
        <w:t>The product uses the NIST AI Risk Management Framework as a voluntary lens for trustworthy design. The framework organizes risk-management activity through Govern, Map, Measure and Manage and highlights validity, safety, security, transparency, privacy and fairness [3].</w:t>
      </w:r>
    </w:p>
    <w:p>
      <w:pPr>
        <w:pStyle w:val="Heading2"/>
      </w:pPr>
      <w:r>
        <w:t>8.1 Hard rules</w:t>
      </w:r>
    </w:p>
    <w:p>
      <w:pPr>
        <w:pStyle w:val="ListBullet"/>
      </w:pPr>
      <w:r>
        <w:t>Safety rules execute before ML and retrieval.</w:t>
      </w:r>
    </w:p>
    <w:p>
      <w:pPr>
        <w:pStyle w:val="ListBullet"/>
      </w:pPr>
      <w:r>
        <w:t>Critical safety findings cannot be overridden by a predicted class or retrieved passage.</w:t>
      </w:r>
    </w:p>
    <w:p>
      <w:pPr>
        <w:pStyle w:val="ListBullet"/>
      </w:pPr>
      <w:r>
        <w:t>Unsupported profiles, incompatible feature schemas and invalid units block prediction.</w:t>
      </w:r>
    </w:p>
    <w:p>
      <w:pPr>
        <w:pStyle w:val="ListBullet"/>
      </w:pPr>
      <w:r>
        <w:t>No acceptable source means no procedure is shown.</w:t>
      </w:r>
    </w:p>
    <w:p>
      <w:pPr>
        <w:pStyle w:val="ListBullet"/>
      </w:pPr>
      <w:r>
        <w:t>Synthetic content must remain visibly labelled.</w:t>
      </w:r>
    </w:p>
    <w:p>
      <w:pPr>
        <w:pStyle w:val="ListBullet"/>
      </w:pPr>
      <w:r>
        <w:t>Uploaded files are treated as untrusted data and never executed.</w:t>
      </w:r>
    </w:p>
    <w:p>
      <w:pPr>
        <w:pStyle w:val="ListBullet"/>
      </w:pPr>
      <w:r>
        <w:t>The application does not perform machine control or autonomous repair.</w:t>
      </w:r>
    </w:p>
    <w:p>
      <w:pPr>
        <w:pStyle w:val="ListBullet"/>
      </w:pPr>
      <w:r>
        <w:t>Human review is required for profile activation and final action.</w:t>
      </w:r>
    </w:p>
    <w:p>
      <w:pPr>
        <w:pStyle w:val="Heading2"/>
      </w:pPr>
      <w:r>
        <w:t>8.2 File security</w:t>
      </w:r>
    </w:p>
    <w:p>
      <w:pPr>
        <w:pStyle w:val="ListBullet"/>
      </w:pPr>
      <w:r>
        <w:t>Allow-list PDF and supported text formats.</w:t>
      </w:r>
    </w:p>
    <w:p>
      <w:pPr>
        <w:pStyle w:val="ListBullet"/>
      </w:pPr>
      <w:r>
        <w:t>Sanitize filenames and store generated internal IDs.</w:t>
      </w:r>
    </w:p>
    <w:p>
      <w:pPr>
        <w:pStyle w:val="ListBullet"/>
      </w:pPr>
      <w:r>
        <w:t>Reject password-protected or malformed PDFs with an explicit error.</w:t>
      </w:r>
    </w:p>
    <w:p>
      <w:pPr>
        <w:pStyle w:val="ListBullet"/>
      </w:pPr>
      <w:r>
        <w:t>Limit upload size through configuration.</w:t>
      </w:r>
    </w:p>
    <w:p>
      <w:pPr>
        <w:pStyle w:val="ListBullet"/>
      </w:pPr>
      <w:r>
        <w:t>Store extracted text outside executable directories.</w:t>
      </w:r>
    </w:p>
    <w:p>
      <w:pPr>
        <w:pStyle w:val="ListBullet"/>
      </w:pPr>
      <w:r>
        <w:t>Do not interpret manual text as system instructions.</w:t>
      </w:r>
    </w:p>
    <w:p>
      <w:pPr>
        <w:pStyle w:val="ListBullet"/>
      </w:pPr>
      <w:r>
        <w:t>Log import, deletion, activation and index rebuild events.</w:t>
      </w:r>
    </w:p>
    <w:p>
      <w:pPr>
        <w:pStyle w:val="Heading2"/>
      </w:pPr>
      <w:r>
        <w:t>8.3 RAG injection risk</w:t>
      </w:r>
    </w:p>
    <w:p>
      <w:r>
        <w:t>OWASP identifies direct and indirect prompt injection, including instructions embedded in external files, and notes that RAG does not fully eliminate the risk [4]. FieldGuide AI therefore treats document text as evidence only, strips or flags instruction-like content unrelated to repair material, and never allows retrieved text to call tools or change system rules.</w:t>
      </w:r>
    </w:p>
    <w:p>
      <w:pPr>
        <w:pStyle w:val="Heading1"/>
      </w:pPr>
      <w:r>
        <w:t>9. Metrics and evaluation</w:t>
      </w:r>
    </w:p>
    <w:p>
      <w:pPr>
        <w:pStyle w:val="Heading2"/>
      </w:pPr>
      <w:r>
        <w:t>9.1 Model metrics</w:t>
      </w:r>
    </w:p>
    <w:tbl>
      <w:tblPr>
        <w:tblStyle w:val="TableGrid"/>
        <w:tblW w:type="auto" w:w="0"/>
        <w:jc w:val="center"/>
        <w:tblLook w:firstColumn="1" w:firstRow="1" w:lastColumn="0" w:lastRow="0" w:noHBand="0" w:noVBand="1" w:val="04A0"/>
      </w:tblPr>
      <w:tblGrid>
        <w:gridCol w:w="3389"/>
        <w:gridCol w:w="3389"/>
        <w:gridCol w:w="3389"/>
      </w:tblGrid>
      <w:tr>
        <w:trPr>
          <w:tblHeader/>
        </w:trPr>
        <w:tc>
          <w:tcPr>
            <w:tcW w:type="dxa" w:w="3389"/>
            <w:shd w:fill="17324D"/>
            <w:vAlign w:val="center"/>
          </w:tcPr>
          <w:p>
            <w:r>
              <w:rPr>
                <w:b/>
                <w:color w:val="FFFFFF"/>
                <w:sz w:val="17"/>
              </w:rPr>
              <w:t>Metric</w:t>
            </w:r>
          </w:p>
        </w:tc>
        <w:tc>
          <w:tcPr>
            <w:tcW w:type="dxa" w:w="3389"/>
            <w:shd w:fill="17324D"/>
            <w:vAlign w:val="center"/>
          </w:tcPr>
          <w:p>
            <w:r>
              <w:rPr>
                <w:b/>
                <w:color w:val="FFFFFF"/>
                <w:sz w:val="17"/>
              </w:rPr>
              <w:t>Purpose</w:t>
            </w:r>
          </w:p>
        </w:tc>
        <w:tc>
          <w:tcPr>
            <w:tcW w:type="dxa" w:w="3389"/>
            <w:shd w:fill="17324D"/>
            <w:vAlign w:val="center"/>
          </w:tcPr>
          <w:p>
            <w:r>
              <w:rPr>
                <w:b/>
                <w:color w:val="FFFFFF"/>
                <w:sz w:val="17"/>
              </w:rPr>
              <w:t>Release interpretation</w:t>
            </w:r>
          </w:p>
        </w:tc>
      </w:tr>
      <w:tr>
        <w:tc>
          <w:tcPr>
            <w:tcW w:type="dxa" w:w="3389"/>
            <w:vAlign w:val="top"/>
          </w:tcPr>
          <w:p>
            <w:r>
              <w:rPr>
                <w:sz w:val="16"/>
              </w:rPr>
              <w:t>Failure recall</w:t>
            </w:r>
          </w:p>
        </w:tc>
        <w:tc>
          <w:tcPr>
            <w:tcW w:type="dxa" w:w="3389"/>
            <w:vAlign w:val="top"/>
          </w:tcPr>
          <w:p>
            <w:r>
              <w:rPr>
                <w:sz w:val="16"/>
              </w:rPr>
              <w:t>Share of real failures detected.</w:t>
            </w:r>
          </w:p>
        </w:tc>
        <w:tc>
          <w:tcPr>
            <w:tcW w:type="dxa" w:w="3389"/>
            <w:vAlign w:val="top"/>
          </w:tcPr>
          <w:p>
            <w:r>
              <w:rPr>
                <w:sz w:val="16"/>
              </w:rPr>
              <w:t>Primary safety-sensitive classification metric.</w:t>
            </w:r>
          </w:p>
        </w:tc>
      </w:tr>
      <w:tr>
        <w:tc>
          <w:tcPr>
            <w:tcW w:type="dxa" w:w="3389"/>
            <w:vAlign w:val="top"/>
            <w:shd w:fill="F3F6F9"/>
          </w:tcPr>
          <w:p>
            <w:r>
              <w:rPr>
                <w:sz w:val="16"/>
              </w:rPr>
              <w:t>Precision</w:t>
            </w:r>
          </w:p>
        </w:tc>
        <w:tc>
          <w:tcPr>
            <w:tcW w:type="dxa" w:w="3389"/>
            <w:vAlign w:val="top"/>
            <w:shd w:fill="F3F6F9"/>
          </w:tcPr>
          <w:p>
            <w:r>
              <w:rPr>
                <w:sz w:val="16"/>
              </w:rPr>
              <w:t>Share of predicted failures that are correct.</w:t>
            </w:r>
          </w:p>
        </w:tc>
        <w:tc>
          <w:tcPr>
            <w:tcW w:type="dxa" w:w="3389"/>
            <w:vAlign w:val="top"/>
            <w:shd w:fill="F3F6F9"/>
          </w:tcPr>
          <w:p>
            <w:r>
              <w:rPr>
                <w:sz w:val="16"/>
              </w:rPr>
              <w:t>Controls false-alarm burden.</w:t>
            </w:r>
          </w:p>
        </w:tc>
      </w:tr>
      <w:tr>
        <w:tc>
          <w:tcPr>
            <w:tcW w:type="dxa" w:w="3389"/>
            <w:vAlign w:val="top"/>
          </w:tcPr>
          <w:p>
            <w:r>
              <w:rPr>
                <w:sz w:val="16"/>
              </w:rPr>
              <w:t>F1 / Macro F1</w:t>
            </w:r>
          </w:p>
        </w:tc>
        <w:tc>
          <w:tcPr>
            <w:tcW w:type="dxa" w:w="3389"/>
            <w:vAlign w:val="top"/>
          </w:tcPr>
          <w:p>
            <w:r>
              <w:rPr>
                <w:sz w:val="16"/>
              </w:rPr>
              <w:t>Balance and class-level performance.</w:t>
            </w:r>
          </w:p>
        </w:tc>
        <w:tc>
          <w:tcPr>
            <w:tcW w:type="dxa" w:w="3389"/>
            <w:vAlign w:val="top"/>
          </w:tcPr>
          <w:p>
            <w:r>
              <w:rPr>
                <w:sz w:val="16"/>
              </w:rPr>
              <w:t>Report alongside confusion matrix.</w:t>
            </w:r>
          </w:p>
        </w:tc>
      </w:tr>
      <w:tr>
        <w:tc>
          <w:tcPr>
            <w:tcW w:type="dxa" w:w="3389"/>
            <w:vAlign w:val="top"/>
            <w:shd w:fill="F3F6F9"/>
          </w:tcPr>
          <w:p>
            <w:r>
              <w:rPr>
                <w:sz w:val="16"/>
              </w:rPr>
              <w:t>PR-AUC</w:t>
            </w:r>
          </w:p>
        </w:tc>
        <w:tc>
          <w:tcPr>
            <w:tcW w:type="dxa" w:w="3389"/>
            <w:vAlign w:val="top"/>
            <w:shd w:fill="F3F6F9"/>
          </w:tcPr>
          <w:p>
            <w:r>
              <w:rPr>
                <w:sz w:val="16"/>
              </w:rPr>
              <w:t>Performance under class imbalance.</w:t>
            </w:r>
          </w:p>
        </w:tc>
        <w:tc>
          <w:tcPr>
            <w:tcW w:type="dxa" w:w="3389"/>
            <w:vAlign w:val="top"/>
            <w:shd w:fill="F3F6F9"/>
          </w:tcPr>
          <w:p>
            <w:r>
              <w:rPr>
                <w:sz w:val="16"/>
              </w:rPr>
              <w:t>Preferred discrimination summary for rare failure.</w:t>
            </w:r>
          </w:p>
        </w:tc>
      </w:tr>
      <w:tr>
        <w:tc>
          <w:tcPr>
            <w:tcW w:type="dxa" w:w="3389"/>
            <w:vAlign w:val="top"/>
          </w:tcPr>
          <w:p>
            <w:r>
              <w:rPr>
                <w:sz w:val="16"/>
              </w:rPr>
              <w:t>False negatives</w:t>
            </w:r>
          </w:p>
        </w:tc>
        <w:tc>
          <w:tcPr>
            <w:tcW w:type="dxa" w:w="3389"/>
            <w:vAlign w:val="top"/>
          </w:tcPr>
          <w:p>
            <w:r>
              <w:rPr>
                <w:sz w:val="16"/>
              </w:rPr>
              <w:t>Missed failures.</w:t>
            </w:r>
          </w:p>
        </w:tc>
        <w:tc>
          <w:tcPr>
            <w:tcW w:type="dxa" w:w="3389"/>
            <w:vAlign w:val="top"/>
          </w:tcPr>
          <w:p>
            <w:r>
              <w:rPr>
                <w:sz w:val="16"/>
              </w:rPr>
              <w:t>Must be visible per test run.</w:t>
            </w:r>
          </w:p>
        </w:tc>
      </w:tr>
      <w:tr>
        <w:tc>
          <w:tcPr>
            <w:tcW w:type="dxa" w:w="3389"/>
            <w:vAlign w:val="top"/>
            <w:shd w:fill="F3F6F9"/>
          </w:tcPr>
          <w:p>
            <w:r>
              <w:rPr>
                <w:sz w:val="16"/>
              </w:rPr>
              <w:t>Calibration</w:t>
            </w:r>
          </w:p>
        </w:tc>
        <w:tc>
          <w:tcPr>
            <w:tcW w:type="dxa" w:w="3389"/>
            <w:vAlign w:val="top"/>
            <w:shd w:fill="F3F6F9"/>
          </w:tcPr>
          <w:p>
            <w:r>
              <w:rPr>
                <w:sz w:val="16"/>
              </w:rPr>
              <w:t>Alignment of probability and observed rate.</w:t>
            </w:r>
          </w:p>
        </w:tc>
        <w:tc>
          <w:tcPr>
            <w:tcW w:type="dxa" w:w="3389"/>
            <w:vAlign w:val="top"/>
            <w:shd w:fill="F3F6F9"/>
          </w:tcPr>
          <w:p>
            <w:r>
              <w:rPr>
                <w:sz w:val="16"/>
              </w:rPr>
              <w:t>Probability must not be shown as certainty.</w:t>
            </w:r>
          </w:p>
        </w:tc>
      </w:tr>
      <w:tr>
        <w:tc>
          <w:tcPr>
            <w:tcW w:type="dxa" w:w="3389"/>
            <w:vAlign w:val="top"/>
          </w:tcPr>
          <w:p>
            <w:r>
              <w:rPr>
                <w:sz w:val="16"/>
              </w:rPr>
              <w:t>Latency</w:t>
            </w:r>
          </w:p>
        </w:tc>
        <w:tc>
          <w:tcPr>
            <w:tcW w:type="dxa" w:w="3389"/>
            <w:vAlign w:val="top"/>
          </w:tcPr>
          <w:p>
            <w:r>
              <w:rPr>
                <w:sz w:val="16"/>
              </w:rPr>
              <w:t>CPU inference time.</w:t>
            </w:r>
          </w:p>
        </w:tc>
        <w:tc>
          <w:tcPr>
            <w:tcW w:type="dxa" w:w="3389"/>
            <w:vAlign w:val="top"/>
          </w:tcPr>
          <w:p>
            <w:r>
              <w:rPr>
                <w:sz w:val="16"/>
              </w:rPr>
              <w:t>Measured on target laptop.</w:t>
            </w:r>
          </w:p>
        </w:tc>
      </w:tr>
    </w:tbl>
    <w:p>
      <w:pPr>
        <w:pStyle w:val="Heading2"/>
      </w:pPr>
      <w:r>
        <w:t>9.2 Retrieval metrics</w:t>
      </w:r>
    </w:p>
    <w:tbl>
      <w:tblPr>
        <w:tblStyle w:val="TableGrid"/>
        <w:tblW w:type="auto" w:w="0"/>
        <w:jc w:val="center"/>
        <w:tblLook w:firstColumn="1" w:firstRow="1" w:lastColumn="0" w:lastRow="0" w:noHBand="0" w:noVBand="1" w:val="04A0"/>
      </w:tblPr>
      <w:tblGrid>
        <w:gridCol w:w="5083"/>
        <w:gridCol w:w="5083"/>
      </w:tblGrid>
      <w:tr>
        <w:trPr>
          <w:tblHeader/>
        </w:trPr>
        <w:tc>
          <w:tcPr>
            <w:tcW w:type="dxa" w:w="5083"/>
            <w:shd w:fill="17324D"/>
            <w:vAlign w:val="center"/>
          </w:tcPr>
          <w:p>
            <w:r>
              <w:rPr>
                <w:b/>
                <w:color w:val="FFFFFF"/>
                <w:sz w:val="17"/>
              </w:rPr>
              <w:t>Metric</w:t>
            </w:r>
          </w:p>
        </w:tc>
        <w:tc>
          <w:tcPr>
            <w:tcW w:type="dxa" w:w="5083"/>
            <w:shd w:fill="17324D"/>
            <w:vAlign w:val="center"/>
          </w:tcPr>
          <w:p>
            <w:r>
              <w:rPr>
                <w:b/>
                <w:color w:val="FFFFFF"/>
                <w:sz w:val="17"/>
              </w:rPr>
              <w:t>Definition</w:t>
            </w:r>
          </w:p>
        </w:tc>
      </w:tr>
      <w:tr>
        <w:tc>
          <w:tcPr>
            <w:tcW w:type="dxa" w:w="5083"/>
            <w:vAlign w:val="top"/>
          </w:tcPr>
          <w:p>
            <w:r>
              <w:rPr>
                <w:sz w:val="16"/>
              </w:rPr>
              <w:t>Recall@1</w:t>
            </w:r>
          </w:p>
        </w:tc>
        <w:tc>
          <w:tcPr>
            <w:tcW w:type="dxa" w:w="5083"/>
            <w:vAlign w:val="top"/>
          </w:tcPr>
          <w:p>
            <w:r>
              <w:rPr>
                <w:sz w:val="16"/>
              </w:rPr>
              <w:t>Expected source is the first result.</w:t>
            </w:r>
          </w:p>
        </w:tc>
      </w:tr>
      <w:tr>
        <w:tc>
          <w:tcPr>
            <w:tcW w:type="dxa" w:w="5083"/>
            <w:vAlign w:val="top"/>
            <w:shd w:fill="F3F6F9"/>
          </w:tcPr>
          <w:p>
            <w:r>
              <w:rPr>
                <w:sz w:val="16"/>
              </w:rPr>
              <w:t>Recall@3</w:t>
            </w:r>
          </w:p>
        </w:tc>
        <w:tc>
          <w:tcPr>
            <w:tcW w:type="dxa" w:w="5083"/>
            <w:vAlign w:val="top"/>
            <w:shd w:fill="F3F6F9"/>
          </w:tcPr>
          <w:p>
            <w:r>
              <w:rPr>
                <w:sz w:val="16"/>
              </w:rPr>
              <w:t>Expected source appears in the first three results.</w:t>
            </w:r>
          </w:p>
        </w:tc>
      </w:tr>
      <w:tr>
        <w:tc>
          <w:tcPr>
            <w:tcW w:type="dxa" w:w="5083"/>
            <w:vAlign w:val="top"/>
          </w:tcPr>
          <w:p>
            <w:r>
              <w:rPr>
                <w:sz w:val="16"/>
              </w:rPr>
              <w:t>MRR</w:t>
            </w:r>
          </w:p>
        </w:tc>
        <w:tc>
          <w:tcPr>
            <w:tcW w:type="dxa" w:w="5083"/>
            <w:vAlign w:val="top"/>
          </w:tcPr>
          <w:p>
            <w:r>
              <w:rPr>
                <w:sz w:val="16"/>
              </w:rPr>
              <w:t>Rewards higher rank of the first relevant result.</w:t>
            </w:r>
          </w:p>
        </w:tc>
      </w:tr>
      <w:tr>
        <w:tc>
          <w:tcPr>
            <w:tcW w:type="dxa" w:w="5083"/>
            <w:vAlign w:val="top"/>
            <w:shd w:fill="F3F6F9"/>
          </w:tcPr>
          <w:p>
            <w:r>
              <w:rPr>
                <w:sz w:val="16"/>
              </w:rPr>
              <w:t>Wrong-profile rate</w:t>
            </w:r>
          </w:p>
        </w:tc>
        <w:tc>
          <w:tcPr>
            <w:tcW w:type="dxa" w:w="5083"/>
            <w:vAlign w:val="top"/>
            <w:shd w:fill="F3F6F9"/>
          </w:tcPr>
          <w:p>
            <w:r>
              <w:rPr>
                <w:sz w:val="16"/>
              </w:rPr>
              <w:t>Results from another profile divided by evaluated queries; target is zero.</w:t>
            </w:r>
          </w:p>
        </w:tc>
      </w:tr>
      <w:tr>
        <w:tc>
          <w:tcPr>
            <w:tcW w:type="dxa" w:w="5083"/>
            <w:vAlign w:val="top"/>
          </w:tcPr>
          <w:p>
            <w:r>
              <w:rPr>
                <w:sz w:val="16"/>
              </w:rPr>
              <w:t>Source accuracy</w:t>
            </w:r>
          </w:p>
        </w:tc>
        <w:tc>
          <w:tcPr>
            <w:tcW w:type="dxa" w:w="5083"/>
            <w:vAlign w:val="top"/>
          </w:tcPr>
          <w:p>
            <w:r>
              <w:rPr>
                <w:sz w:val="16"/>
              </w:rPr>
              <w:t>Displayed document/page/step matches the retrieved chunk.</w:t>
            </w:r>
          </w:p>
        </w:tc>
      </w:tr>
      <w:tr>
        <w:tc>
          <w:tcPr>
            <w:tcW w:type="dxa" w:w="5083"/>
            <w:vAlign w:val="top"/>
            <w:shd w:fill="F3F6F9"/>
          </w:tcPr>
          <w:p>
            <w:r>
              <w:rPr>
                <w:sz w:val="16"/>
              </w:rPr>
              <w:t>No-match correctness</w:t>
            </w:r>
          </w:p>
        </w:tc>
        <w:tc>
          <w:tcPr>
            <w:tcW w:type="dxa" w:w="5083"/>
            <w:vAlign w:val="top"/>
            <w:shd w:fill="F3F6F9"/>
          </w:tcPr>
          <w:p>
            <w:r>
              <w:rPr>
                <w:sz w:val="16"/>
              </w:rPr>
              <w:t>Queries without approved evidence correctly refuse.</w:t>
            </w:r>
          </w:p>
        </w:tc>
      </w:tr>
      <w:tr>
        <w:tc>
          <w:tcPr>
            <w:tcW w:type="dxa" w:w="5083"/>
            <w:vAlign w:val="top"/>
          </w:tcPr>
          <w:p>
            <w:r>
              <w:rPr>
                <w:sz w:val="16"/>
              </w:rPr>
              <w:t>Ordered-step accuracy</w:t>
            </w:r>
          </w:p>
        </w:tc>
        <w:tc>
          <w:tcPr>
            <w:tcW w:type="dxa" w:w="5083"/>
            <w:vAlign w:val="top"/>
          </w:tcPr>
          <w:p>
            <w:r>
              <w:rPr>
                <w:sz w:val="16"/>
              </w:rPr>
              <w:t>Procedure steps remain in source order.</w:t>
            </w:r>
          </w:p>
        </w:tc>
      </w:tr>
    </w:tbl>
    <w:p>
      <w:pPr>
        <w:pStyle w:val="Heading2"/>
      </w:pPr>
      <w:r>
        <w:t>9.3 Ingestion metrics</w:t>
      </w:r>
    </w:p>
    <w:p>
      <w:pPr>
        <w:pStyle w:val="ListBullet"/>
      </w:pPr>
      <w:r>
        <w:t>Successful extraction rate</w:t>
      </w:r>
    </w:p>
    <w:p>
      <w:pPr>
        <w:pStyle w:val="ListBullet"/>
      </w:pPr>
      <w:r>
        <w:t>Empty-page and low-text page count</w:t>
      </w:r>
    </w:p>
    <w:p>
      <w:pPr>
        <w:pStyle w:val="ListBullet"/>
      </w:pPr>
      <w:r>
        <w:t>Heading/section detection precision on labelled manuals</w:t>
      </w:r>
    </w:p>
    <w:p>
      <w:pPr>
        <w:pStyle w:val="ListBullet"/>
      </w:pPr>
      <w:r>
        <w:t>Safety-warning extraction recall</w:t>
      </w:r>
    </w:p>
    <w:p>
      <w:pPr>
        <w:pStyle w:val="ListBullet"/>
      </w:pPr>
      <w:r>
        <w:t>Error-code extraction precision and recall</w:t>
      </w:r>
    </w:p>
    <w:p>
      <w:pPr>
        <w:pStyle w:val="ListBullet"/>
      </w:pPr>
      <w:r>
        <w:t>Human correction rate before activation</w:t>
      </w:r>
    </w:p>
    <w:p>
      <w:pPr>
        <w:pStyle w:val="Heading2"/>
      </w:pPr>
      <w:r>
        <w:t>9.4 System metrics</w:t>
      </w:r>
    </w:p>
    <w:p>
      <w:pPr>
        <w:pStyle w:val="ListBullet"/>
      </w:pPr>
      <w:r>
        <w:t>Startup and artifact-load time</w:t>
      </w:r>
    </w:p>
    <w:p>
      <w:pPr>
        <w:pStyle w:val="ListBullet"/>
      </w:pPr>
      <w:r>
        <w:t>End-to-end diagnosis latency</w:t>
      </w:r>
    </w:p>
    <w:p>
      <w:pPr>
        <w:pStyle w:val="ListBullet"/>
      </w:pPr>
      <w:r>
        <w:t>Peak RAM</w:t>
      </w:r>
    </w:p>
    <w:p>
      <w:pPr>
        <w:pStyle w:val="ListBullet"/>
      </w:pPr>
      <w:r>
        <w:t>Index build time per document</w:t>
      </w:r>
    </w:p>
    <w:p>
      <w:pPr>
        <w:pStyle w:val="ListBullet"/>
      </w:pPr>
      <w:r>
        <w:t>Case-save success rate</w:t>
      </w:r>
    </w:p>
    <w:p>
      <w:pPr>
        <w:pStyle w:val="ListBullet"/>
      </w:pPr>
      <w:r>
        <w:t>Unhandled exception count</w:t>
      </w:r>
    </w:p>
    <w:p>
      <w:pPr>
        <w:pStyle w:val="ListBullet"/>
      </w:pPr>
      <w:r>
        <w:t>Fallback activation count</w:t>
      </w:r>
    </w:p>
    <w:p>
      <w:pPr>
        <w:pStyle w:val="Heading1"/>
      </w:pPr>
      <w:r>
        <w:t>10. Testing and failure pathways</w:t>
      </w:r>
    </w:p>
    <w:tbl>
      <w:tblPr>
        <w:tblStyle w:val="TableGrid"/>
        <w:tblW w:type="auto" w:w="0"/>
        <w:jc w:val="center"/>
        <w:tblLook w:firstColumn="1" w:firstRow="1" w:lastColumn="0" w:lastRow="0" w:noHBand="0" w:noVBand="1" w:val="04A0"/>
      </w:tblPr>
      <w:tblGrid>
        <w:gridCol w:w="5083"/>
        <w:gridCol w:w="5083"/>
      </w:tblGrid>
      <w:tr>
        <w:trPr>
          <w:tblHeader/>
        </w:trPr>
        <w:tc>
          <w:tcPr>
            <w:tcW w:type="dxa" w:w="5083"/>
            <w:shd w:fill="17324D"/>
            <w:vAlign w:val="center"/>
          </w:tcPr>
          <w:p>
            <w:r>
              <w:rPr>
                <w:b/>
                <w:color w:val="FFFFFF"/>
                <w:sz w:val="17"/>
              </w:rPr>
              <w:t>Failure</w:t>
            </w:r>
          </w:p>
        </w:tc>
        <w:tc>
          <w:tcPr>
            <w:tcW w:type="dxa" w:w="5083"/>
            <w:shd w:fill="17324D"/>
            <w:vAlign w:val="center"/>
          </w:tcPr>
          <w:p>
            <w:r>
              <w:rPr>
                <w:b/>
                <w:color w:val="FFFFFF"/>
                <w:sz w:val="17"/>
              </w:rPr>
              <w:t>Required behavior</w:t>
            </w:r>
          </w:p>
        </w:tc>
      </w:tr>
      <w:tr>
        <w:tc>
          <w:tcPr>
            <w:tcW w:type="dxa" w:w="5083"/>
            <w:vAlign w:val="top"/>
          </w:tcPr>
          <w:p>
            <w:r>
              <w:rPr>
                <w:sz w:val="16"/>
              </w:rPr>
              <w:t>Missing required input</w:t>
            </w:r>
          </w:p>
        </w:tc>
        <w:tc>
          <w:tcPr>
            <w:tcW w:type="dxa" w:w="5083"/>
            <w:vAlign w:val="top"/>
          </w:tcPr>
          <w:p>
            <w:r>
              <w:rPr>
                <w:sz w:val="16"/>
              </w:rPr>
              <w:t>Stop before model; identify missing fields.</w:t>
            </w:r>
          </w:p>
        </w:tc>
      </w:tr>
      <w:tr>
        <w:tc>
          <w:tcPr>
            <w:tcW w:type="dxa" w:w="5083"/>
            <w:vAlign w:val="top"/>
            <w:shd w:fill="F3F6F9"/>
          </w:tcPr>
          <w:p>
            <w:r>
              <w:rPr>
                <w:sz w:val="16"/>
              </w:rPr>
              <w:t>Unsupported profile</w:t>
            </w:r>
          </w:p>
        </w:tc>
        <w:tc>
          <w:tcPr>
            <w:tcW w:type="dxa" w:w="5083"/>
            <w:vAlign w:val="top"/>
            <w:shd w:fill="F3F6F9"/>
          </w:tcPr>
          <w:p>
            <w:r>
              <w:rPr>
                <w:sz w:val="16"/>
              </w:rPr>
              <w:t>Reject and list supported profiles.</w:t>
            </w:r>
          </w:p>
        </w:tc>
      </w:tr>
      <w:tr>
        <w:tc>
          <w:tcPr>
            <w:tcW w:type="dxa" w:w="5083"/>
            <w:vAlign w:val="top"/>
          </w:tcPr>
          <w:p>
            <w:r>
              <w:rPr>
                <w:sz w:val="16"/>
              </w:rPr>
              <w:t>Invalid unit/range</w:t>
            </w:r>
          </w:p>
        </w:tc>
        <w:tc>
          <w:tcPr>
            <w:tcW w:type="dxa" w:w="5083"/>
            <w:vAlign w:val="top"/>
          </w:tcPr>
          <w:p>
            <w:r>
              <w:rPr>
                <w:sz w:val="16"/>
              </w:rPr>
              <w:t>Reject or convert only via explicit configured conversion.</w:t>
            </w:r>
          </w:p>
        </w:tc>
      </w:tr>
      <w:tr>
        <w:tc>
          <w:tcPr>
            <w:tcW w:type="dxa" w:w="5083"/>
            <w:vAlign w:val="top"/>
            <w:shd w:fill="F3F6F9"/>
          </w:tcPr>
          <w:p>
            <w:r>
              <w:rPr>
                <w:sz w:val="16"/>
              </w:rPr>
              <w:t>Critical safety condition</w:t>
            </w:r>
          </w:p>
        </w:tc>
        <w:tc>
          <w:tcPr>
            <w:tcW w:type="dxa" w:w="5083"/>
            <w:vAlign w:val="top"/>
            <w:shd w:fill="F3F6F9"/>
          </w:tcPr>
          <w:p>
            <w:r>
              <w:rPr>
                <w:sz w:val="16"/>
              </w:rPr>
              <w:t>STOP_AND_ESCALATE; bypass ML.</w:t>
            </w:r>
          </w:p>
        </w:tc>
      </w:tr>
      <w:tr>
        <w:tc>
          <w:tcPr>
            <w:tcW w:type="dxa" w:w="5083"/>
            <w:vAlign w:val="top"/>
          </w:tcPr>
          <w:p>
            <w:r>
              <w:rPr>
                <w:sz w:val="16"/>
              </w:rPr>
              <w:t>Model missing/incompatible</w:t>
            </w:r>
          </w:p>
        </w:tc>
        <w:tc>
          <w:tcPr>
            <w:tcW w:type="dxa" w:w="5083"/>
            <w:vAlign w:val="top"/>
          </w:tcPr>
          <w:p>
            <w:r>
              <w:rPr>
                <w:sz w:val="16"/>
              </w:rPr>
              <w:t>Continue rules/manual retrieval where possible; show model unavailable.</w:t>
            </w:r>
          </w:p>
        </w:tc>
      </w:tr>
      <w:tr>
        <w:tc>
          <w:tcPr>
            <w:tcW w:type="dxa" w:w="5083"/>
            <w:vAlign w:val="top"/>
            <w:shd w:fill="F3F6F9"/>
          </w:tcPr>
          <w:p>
            <w:r>
              <w:rPr>
                <w:sz w:val="16"/>
              </w:rPr>
              <w:t>Index missing/stale</w:t>
            </w:r>
          </w:p>
        </w:tc>
        <w:tc>
          <w:tcPr>
            <w:tcW w:type="dxa" w:w="5083"/>
            <w:vAlign w:val="top"/>
            <w:shd w:fill="F3F6F9"/>
          </w:tcPr>
          <w:p>
            <w:r>
              <w:rPr>
                <w:sz w:val="16"/>
              </w:rPr>
              <w:t>Disable semantic search; offer rebuild; do not pretend retrieval succeeded.</w:t>
            </w:r>
          </w:p>
        </w:tc>
      </w:tr>
      <w:tr>
        <w:tc>
          <w:tcPr>
            <w:tcW w:type="dxa" w:w="5083"/>
            <w:vAlign w:val="top"/>
          </w:tcPr>
          <w:p>
            <w:r>
              <w:rPr>
                <w:sz w:val="16"/>
              </w:rPr>
              <w:t>No relevant evidence</w:t>
            </w:r>
          </w:p>
        </w:tc>
        <w:tc>
          <w:tcPr>
            <w:tcW w:type="dxa" w:w="5083"/>
            <w:vAlign w:val="top"/>
          </w:tcPr>
          <w:p>
            <w:r>
              <w:rPr>
                <w:sz w:val="16"/>
              </w:rPr>
              <w:t>Return NO_APPROVED_PROCEDURE_FOUND.</w:t>
            </w:r>
          </w:p>
        </w:tc>
      </w:tr>
      <w:tr>
        <w:tc>
          <w:tcPr>
            <w:tcW w:type="dxa" w:w="5083"/>
            <w:vAlign w:val="top"/>
            <w:shd w:fill="F3F6F9"/>
          </w:tcPr>
          <w:p>
            <w:r>
              <w:rPr>
                <w:sz w:val="16"/>
              </w:rPr>
              <w:t>Corrupt PDF</w:t>
            </w:r>
          </w:p>
        </w:tc>
        <w:tc>
          <w:tcPr>
            <w:tcW w:type="dxa" w:w="5083"/>
            <w:vAlign w:val="top"/>
            <w:shd w:fill="F3F6F9"/>
          </w:tcPr>
          <w:p>
            <w:r>
              <w:rPr>
                <w:sz w:val="16"/>
              </w:rPr>
              <w:t>Reject import and retain diagnostic log.</w:t>
            </w:r>
          </w:p>
        </w:tc>
      </w:tr>
      <w:tr>
        <w:tc>
          <w:tcPr>
            <w:tcW w:type="dxa" w:w="5083"/>
            <w:vAlign w:val="top"/>
          </w:tcPr>
          <w:p>
            <w:r>
              <w:rPr>
                <w:sz w:val="16"/>
              </w:rPr>
              <w:t>Database write failure</w:t>
            </w:r>
          </w:p>
        </w:tc>
        <w:tc>
          <w:tcPr>
            <w:tcW w:type="dxa" w:w="5083"/>
            <w:vAlign w:val="top"/>
          </w:tcPr>
          <w:p>
            <w:r>
              <w:rPr>
                <w:sz w:val="16"/>
              </w:rPr>
              <w:t>Show result with unsaved warning; never claim persistence.</w:t>
            </w:r>
          </w:p>
        </w:tc>
      </w:tr>
      <w:tr>
        <w:tc>
          <w:tcPr>
            <w:tcW w:type="dxa" w:w="5083"/>
            <w:vAlign w:val="top"/>
            <w:shd w:fill="F3F6F9"/>
          </w:tcPr>
          <w:p>
            <w:r>
              <w:rPr>
                <w:sz w:val="16"/>
              </w:rPr>
              <w:t>Dependency unavailable</w:t>
            </w:r>
          </w:p>
        </w:tc>
        <w:tc>
          <w:tcPr>
            <w:tcW w:type="dxa" w:w="5083"/>
            <w:vAlign w:val="top"/>
            <w:shd w:fill="F3F6F9"/>
          </w:tcPr>
          <w:p>
            <w:r>
              <w:rPr>
                <w:sz w:val="16"/>
              </w:rPr>
              <w:t>Activate documented fallback and show backend name.</w:t>
            </w:r>
          </w:p>
        </w:tc>
      </w:tr>
      <w:tr>
        <w:tc>
          <w:tcPr>
            <w:tcW w:type="dxa" w:w="5083"/>
            <w:vAlign w:val="top"/>
          </w:tcPr>
          <w:p>
            <w:r>
              <w:rPr>
                <w:sz w:val="16"/>
              </w:rPr>
              <w:t>Document prompt injection</w:t>
            </w:r>
          </w:p>
        </w:tc>
        <w:tc>
          <w:tcPr>
            <w:tcW w:type="dxa" w:w="5083"/>
            <w:vAlign w:val="top"/>
          </w:tcPr>
          <w:p>
            <w:r>
              <w:rPr>
                <w:sz w:val="16"/>
              </w:rPr>
              <w:t>Treat as untrusted text; ignore instructions to change application behavior.</w:t>
            </w:r>
          </w:p>
        </w:tc>
      </w:tr>
    </w:tbl>
    <w:p>
      <w:pPr>
        <w:pStyle w:val="Heading2"/>
      </w:pPr>
      <w:r>
        <w:t>10.1 Test suites</w:t>
      </w:r>
    </w:p>
    <w:p>
      <w:pPr>
        <w:pStyle w:val="ListBullet"/>
      </w:pPr>
      <w:r>
        <w:t>Unit: schemas, ranges, safety rules, parsing, metadata filtering and repositories.</w:t>
      </w:r>
    </w:p>
    <w:p>
      <w:pPr>
        <w:pStyle w:val="ListBullet"/>
      </w:pPr>
      <w:r>
        <w:t>Integration: PDF-to-profile, model-to-retrieval, diagnosis-to-database and index reload.</w:t>
      </w:r>
    </w:p>
    <w:p>
      <w:pPr>
        <w:pStyle w:val="ListBullet"/>
      </w:pPr>
      <w:r>
        <w:t>Evaluation: labelled AI4I split, retrieval question set and failure-path scenarios.</w:t>
      </w:r>
    </w:p>
    <w:p>
      <w:pPr>
        <w:pStyle w:val="ListBullet"/>
      </w:pPr>
      <w:r>
        <w:t>Regression: fixed demonstration cases and expected outputs.</w:t>
      </w:r>
    </w:p>
    <w:p>
      <w:pPr>
        <w:pStyle w:val="ListBullet"/>
      </w:pPr>
      <w:r>
        <w:t>UI: navigation, disabled states, progress, errors and export.</w:t>
      </w:r>
    </w:p>
    <w:p>
      <w:pPr>
        <w:pStyle w:val="ListBullet"/>
      </w:pPr>
      <w:r>
        <w:t>Security: malicious filenames, oversized files, malformed files and document prompt-injection strings.</w:t>
      </w:r>
    </w:p>
    <w:p>
      <w:pPr>
        <w:pStyle w:val="Heading1"/>
      </w:pPr>
      <w:r>
        <w:t>11. Build, transfer and run model</w:t>
      </w:r>
    </w:p>
    <w:p>
      <w:pPr>
        <w:pStyle w:val="Heading2"/>
      </w:pPr>
      <w:r>
        <w:t>11.1 Development machine</w:t>
      </w:r>
    </w:p>
    <w:p>
      <w:pPr>
        <w:pStyle w:val="ListBullet"/>
      </w:pPr>
      <w:r>
        <w:t>Train the AI4I pipeline.</w:t>
      </w:r>
    </w:p>
    <w:p>
      <w:pPr>
        <w:pStyle w:val="ListBullet"/>
      </w:pPr>
      <w:r>
        <w:t>Download/cache the embedding model.</w:t>
      </w:r>
    </w:p>
    <w:p>
      <w:pPr>
        <w:pStyle w:val="ListBullet"/>
      </w:pPr>
      <w:r>
        <w:t>Build and test all adapters.</w:t>
      </w:r>
    </w:p>
    <w:p>
      <w:pPr>
        <w:pStyle w:val="ListBullet"/>
      </w:pPr>
      <w:r>
        <w:t>Run complete suite.</w:t>
      </w:r>
    </w:p>
    <w:p>
      <w:pPr>
        <w:pStyle w:val="ListBullet"/>
      </w:pPr>
      <w:r>
        <w:t>Create a release folder without venv, secrets, caches or personal paths.</w:t>
      </w:r>
    </w:p>
    <w:p>
      <w:pPr>
        <w:pStyle w:val="Heading2"/>
      </w:pPr>
      <w:r>
        <w:t>11.2 Work-laptop runtime</w:t>
      </w:r>
    </w:p>
    <w:p>
      <w:pPr>
        <w:pStyle w:val="ListBullet"/>
      </w:pPr>
      <w:r>
        <w:t>Create a fresh Python 3.14 virtual environment.</w:t>
      </w:r>
    </w:p>
    <w:p>
      <w:pPr>
        <w:pStyle w:val="ListBullet"/>
      </w:pPr>
      <w:r>
        <w:t>Install from requirements-work-laptop.txt or an offline wheelhouse.</w:t>
      </w:r>
    </w:p>
    <w:p>
      <w:pPr>
        <w:pStyle w:val="ListBullet"/>
      </w:pPr>
      <w:r>
        <w:t>Copy model, documents and optional prebuilt indexes.</w:t>
      </w:r>
    </w:p>
    <w:p>
      <w:pPr>
        <w:pStyle w:val="ListBullet"/>
      </w:pPr>
      <w:r>
        <w:t>Run Streamlit on 127.0.0.1:8501.</w:t>
      </w:r>
    </w:p>
    <w:p>
      <w:pPr>
        <w:pStyle w:val="ListBullet"/>
      </w:pPr>
      <w:r>
        <w:t>Keep all application data inside project-local directories.</w:t>
      </w:r>
    </w:p>
    <w:p>
      <w:pPr>
        <w:pStyle w:val="ListBullet"/>
      </w:pPr>
      <w:r>
        <w:t>Display active retrieval and model backends in the UI.</w:t>
      </w:r>
    </w:p>
    <w:p>
      <w:pPr>
        <w:pStyle w:val="Heading2"/>
      </w:pPr>
      <w:r>
        <w:t>11.3 Repository expectations</w:t>
      </w:r>
    </w:p>
    <w:p>
      <w:pPr>
        <w:pStyle w:val="ListBullet"/>
      </w:pPr>
      <w:r>
        <w:t>Separate public code from third-party content and local data.</w:t>
      </w:r>
    </w:p>
    <w:p>
      <w:pPr>
        <w:pStyle w:val="ListBullet"/>
      </w:pPr>
      <w:r>
        <w:t>Exclude raw manuals, copied iFixit content, models, indexes and SQLite files unless licensing permits distribution.</w:t>
      </w:r>
    </w:p>
    <w:p>
      <w:pPr>
        <w:pStyle w:val="ListBullet"/>
      </w:pPr>
      <w:r>
        <w:t>Use issues, feature branches, pull requests, tests and tagged releases.</w:t>
      </w:r>
    </w:p>
    <w:p>
      <w:pPr>
        <w:pStyle w:val="ListBullet"/>
      </w:pPr>
      <w:r>
        <w:t>Maintain README, architecture, model card, data provenance, security and limitations documents.</w:t>
      </w:r>
    </w:p>
    <w:p>
      <w:pPr>
        <w:pStyle w:val="Heading1"/>
      </w:pPr>
      <w:r>
        <w:t>12. Release criteria and future extension points</w:t>
      </w:r>
    </w:p>
    <w:p>
      <w:pPr>
        <w:pStyle w:val="ListBullet"/>
      </w:pPr>
      <w:r>
        <w:t>At least three profile types function.</w:t>
      </w:r>
    </w:p>
    <w:p>
      <w:pPr>
        <w:pStyle w:val="ListBullet"/>
      </w:pPr>
      <w:r>
        <w:t>At least one PDF profile is extracted, reviewed, indexed and diagnosed.</w:t>
      </w:r>
    </w:p>
    <w:p>
      <w:pPr>
        <w:pStyle w:val="ListBullet"/>
      </w:pPr>
      <w:r>
        <w:t>At least one Scikit-learn model performs genuine inference.</w:t>
      </w:r>
    </w:p>
    <w:p>
      <w:pPr>
        <w:pStyle w:val="ListBullet"/>
      </w:pPr>
      <w:r>
        <w:t>Genuine vector retrieval and fallback retrieval both work.</w:t>
      </w:r>
    </w:p>
    <w:p>
      <w:pPr>
        <w:pStyle w:val="ListBullet"/>
      </w:pPr>
      <w:r>
        <w:t>Sources and attribution are displayed.</w:t>
      </w:r>
    </w:p>
    <w:p>
      <w:pPr>
        <w:pStyle w:val="ListBullet"/>
      </w:pPr>
      <w:r>
        <w:t>SQLite case and audit history survive restart.</w:t>
      </w:r>
    </w:p>
    <w:p>
      <w:pPr>
        <w:pStyle w:val="ListBullet"/>
      </w:pPr>
      <w:r>
        <w:t>Critical tests pass and metrics are visible.</w:t>
      </w:r>
    </w:p>
    <w:p>
      <w:pPr>
        <w:pStyle w:val="ListBullet"/>
      </w:pPr>
      <w:r>
        <w:t>Every unavailable backend has a clear state, not a silent substitution.</w:t>
      </w:r>
    </w:p>
    <w:p>
      <w:pPr>
        <w:pStyle w:val="Heading2"/>
      </w:pPr>
      <w:r>
        <w:t>12.1 Reserved interfaces</w:t>
      </w:r>
    </w:p>
    <w:p>
      <w:pPr>
        <w:pStyle w:val="ListBullet"/>
      </w:pPr>
      <w:r>
        <w:t>USB packaging adapter</w:t>
      </w:r>
    </w:p>
    <w:p>
      <w:pPr>
        <w:pStyle w:val="ListBullet"/>
      </w:pPr>
      <w:r>
        <w:t>Cloud sync queue and reconciliation adapter</w:t>
      </w:r>
    </w:p>
    <w:p>
      <w:pPr>
        <w:pStyle w:val="ListBullet"/>
      </w:pPr>
      <w:r>
        <w:t>Direct sensor or log connector</w:t>
      </w:r>
    </w:p>
    <w:p>
      <w:pPr>
        <w:pStyle w:val="ListBullet"/>
      </w:pPr>
      <w:r>
        <w:t>Authentication and role provider</w:t>
      </w:r>
    </w:p>
    <w:p>
      <w:pPr>
        <w:pStyle w:val="ListBullet"/>
      </w:pPr>
      <w:r>
        <w:t>OCR provider</w:t>
      </w:r>
    </w:p>
    <w:p>
      <w:pPr>
        <w:pStyle w:val="ListBullet"/>
      </w:pPr>
      <w:r>
        <w:t>Report signing and approval workflow</w:t>
      </w:r>
    </w:p>
    <w:p>
      <w:pPr>
        <w:pStyle w:val="ListBullet"/>
      </w:pPr>
      <w:r>
        <w:t>Manufacturer-approved content-validation workflow</w:t>
      </w:r>
    </w:p>
    <w:p>
      <w:pPr>
        <w:pStyle w:val="Heading1"/>
      </w:pPr>
      <w:r>
        <w:t>References and external standards</w:t>
      </w:r>
    </w:p>
    <w:p>
      <w:r>
        <w:t>External references are provided for grounding, constraints and implementation guidance. Product-specific thresholds in this document remain configurable prototype decisions unless a reference explicitly defines them.</w:t>
      </w:r>
    </w:p>
    <w:p>
      <w:r>
        <w:rPr>
          <w:b/>
        </w:rPr>
        <w:t xml:space="preserve">[1] iFixit API Reference. </w:t>
      </w:r>
      <w:hyperlink r:id="rId11">
        <w:r>
          <w:rPr>
            <w:color w:val="0563C1"/>
            <w:u w:val="single"/>
          </w:rPr>
          <w:t>Source</w:t>
        </w:r>
      </w:hyperlink>
      <w:r>
        <w:t xml:space="preserve"> - API access, licensing, rate limiting and prohibition on LLM training.</w:t>
      </w:r>
    </w:p>
    <w:p>
      <w:r>
        <w:rPr>
          <w:b/>
        </w:rPr>
        <w:t xml:space="preserve">[2] UCI AI4I 2020 Predictive Maintenance Dataset. </w:t>
      </w:r>
      <w:hyperlink r:id="rId12">
        <w:r>
          <w:rPr>
            <w:color w:val="0563C1"/>
            <w:u w:val="single"/>
          </w:rPr>
          <w:t>Source</w:t>
        </w:r>
      </w:hyperlink>
      <w:r>
        <w:t xml:space="preserve"> - Official dataset characteristics and variables.</w:t>
      </w:r>
    </w:p>
    <w:p>
      <w:r>
        <w:rPr>
          <w:b/>
        </w:rPr>
        <w:t xml:space="preserve">[3] NIST AI Risk Management Framework 1.0. </w:t>
      </w:r>
      <w:hyperlink r:id="rId13">
        <w:r>
          <w:rPr>
            <w:color w:val="0563C1"/>
            <w:u w:val="single"/>
          </w:rPr>
          <w:t>Source</w:t>
        </w:r>
      </w:hyperlink>
      <w:r>
        <w:t xml:space="preserve"> - Voluntary trustworthy and responsible AI risk-management framework.</w:t>
      </w:r>
    </w:p>
    <w:p>
      <w:r>
        <w:rPr>
          <w:b/>
        </w:rPr>
        <w:t xml:space="preserve">[4] OWASP LLM01 Prompt Injection. </w:t>
      </w:r>
      <w:hyperlink r:id="rId14">
        <w:r>
          <w:rPr>
            <w:color w:val="0563C1"/>
            <w:u w:val="single"/>
          </w:rPr>
          <w:t>Source</w:t>
        </w:r>
      </w:hyperlink>
      <w:r>
        <w:t xml:space="preserve"> - Direct and indirect prompt-injection risk and RAG limitations.</w:t>
      </w:r>
    </w:p>
    <w:p>
      <w:r>
        <w:rPr>
          <w:b/>
        </w:rPr>
        <w:t xml:space="preserve">[5] PyMuPDF text extraction documentation. </w:t>
      </w:r>
      <w:hyperlink r:id="rId15">
        <w:r>
          <w:rPr>
            <w:color w:val="0563C1"/>
            <w:u w:val="single"/>
          </w:rPr>
          <w:t>Source</w:t>
        </w:r>
      </w:hyperlink>
      <w:r>
        <w:t xml:space="preserve"> - PDF text, blocks, words and reading-order considerations.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Enterprise Reference Specification | Internship Project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F5A94"/>
        <w:sz w:val="16"/>
      </w:rPr>
      <w:t>FIELDGUIDE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5A94"/>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37C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ind w:left="288" w:right="288"/>
    </w:pPr>
    <w:rPr>
      <w:rFonts w:ascii="Aptos" w:hAnsi="Aptos"/>
      <w:b/>
      <w:color w:val="17324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fixit.com/api-docs" TargetMode="External"/><Relationship Id="rId12" Type="http://schemas.openxmlformats.org/officeDocument/2006/relationships/hyperlink" Target="https://archive.ics.uci.edu/dataset/601/ai4i+2020+predictive+maintenance+dataset" TargetMode="External"/><Relationship Id="rId13" Type="http://schemas.openxmlformats.org/officeDocument/2006/relationships/hyperlink" Target="https://www.nist.gov/publications/artificial-intelligence-risk-management-framework-ai-rmf-10" TargetMode="External"/><Relationship Id="rId14" Type="http://schemas.openxmlformats.org/officeDocument/2006/relationships/hyperlink" Target="https://genai.owasp.org/llmrisk/llm01-prompt-injection/" TargetMode="External"/><Relationship Id="rId15" Type="http://schemas.openxmlformats.org/officeDocument/2006/relationships/hyperlink" Target="https://pymupdf.readthedocs.io/en/latest/recipes-tex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Adithyash BChandaralingam</dc:creator>
  <keywords/>
  <dc:description>generated by python-docx</dc:description>
  <lastModifiedBy>Adithyash BChandaralingam</lastModifiedBy>
  <revision>1</revision>
  <dcterms:created xsi:type="dcterms:W3CDTF">2026-10-08T04:49:52.0372775Z</dcterms:created>
  <dcterms:modified xsi:type="dcterms:W3CDTF">2026-10-08T04:49:52.0372775Z</dcterms:modified>
  <category/>
</coreProperties>
</file>