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24D"/>
          <w:sz w:val="60"/>
        </w:rPr>
        <w:t>MAGI Campaign Intelligence</w:t>
      </w:r>
    </w:p>
    <w:p>
      <w:pPr>
        <w:jc w:val="center"/>
      </w:pPr>
      <w:r>
        <w:rPr>
          <w:b/>
          <w:color w:val="E86A33"/>
          <w:sz w:val="32"/>
        </w:rPr>
        <w:t>Transcript-Driven Multi-Agent Marketing Evaluation Platform</w:t>
      </w:r>
    </w:p>
    <w:p>
      <w:pPr>
        <w:spacing w:before="480"/>
        <w:jc w:val="center"/>
      </w:pPr>
      <w:r>
        <w:rPr>
          <w:color w:val="5B6573"/>
          <w:sz w:val="22"/>
        </w:rPr>
        <w:t>Complete Product Definition, Architecture, Data, Metrics, Rules, Evaluation and Delivery Criteria</w:t>
      </w:r>
    </w:p>
    <w:p>
      <w:pPr>
        <w:spacing w:before="1600"/>
        <w:jc w:val="center"/>
      </w:pPr>
      <w:r>
        <w:rPr>
          <w:b/>
          <w:color w:val="17202A"/>
          <w:sz w:val="24"/>
        </w:rPr>
        <w:t>Prepared for Adithyash BChandaralingam</w:t>
      </w:r>
    </w:p>
    <w:p>
      <w:pPr>
        <w:jc w:val="center"/>
      </w:pPr>
      <w:r>
        <w:rPr>
          <w:color w:val="1C7C54"/>
          <w:sz w:val="20"/>
        </w:rPr>
        <w:t>Status: Final build specification for a local enterprise reference implementation</w:t>
      </w:r>
    </w:p>
    <w:p>
      <w:r>
        <w:br w:type="page"/>
      </w:r>
    </w:p>
    <w:p>
      <w:pPr>
        <w:pStyle w:val="Heading1"/>
      </w:pPr>
      <w:r>
        <w:t>How to use this specification</w:t>
      </w:r>
    </w:p>
    <w:p>
      <w:r>
        <w:t>This document is the single source of truth for product scope, design, implementation, testing, demonstration and handover. A developer or coding agent should preserve the hard rules and acceptance criteria unless an explicit change request updates this specification.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Executive definition and decision boundary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Users, inputs and realistic workflow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Campaign quality framework and hard gates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Agent design and orchestration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Architecture and interface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Transcript, document and policy ingestion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Data sources and analytics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Finance, scoring and evidence rules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Safety, security and Responsible AI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Metrics and evaluation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Testing and failure pathways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Build, transfer and release criteria</w:t>
            </w:r>
          </w:p>
        </w:tc>
      </w:tr>
    </w:tbl>
    <w:p>
      <w:r>
        <w:br w:type="page"/>
      </w:r>
    </w:p>
    <w:p>
      <w:pPr>
        <w:pStyle w:val="Heading1"/>
      </w:pPr>
      <w:r>
        <w:t>1. Executive definition and decision boundary</w:t>
      </w:r>
    </w:p>
    <w:p>
      <w:r>
        <w:t>MAGI Campaign Intelligence is a local enterprise reference application that accepts a Microsoft Teams transcript or campaign brief, extracts a structured campaign proposal, evaluates the proposal through specialized logical agents, applies deterministic compliance and financial gates, and produces an evidence-linked report for human disposition.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vAlign w:val="center"/>
          </w:tcPr>
          <w:p>
            <w:pPr>
              <w:pStyle w:val="Callout"/>
            </w:pPr>
            <w:r>
              <w:t>The system does not decide whether a campaign is objectively “good.” It measures how well a proposal satisfies declared business objectives, budget constraints, evidence requirements, policy coverage, audience definition and operational readiness.</w:t>
            </w:r>
          </w:p>
        </w:tc>
      </w:tr>
    </w:tbl>
    <w:p>
      <w:pPr>
        <w:spacing w:after="0"/>
      </w:pPr>
    </w:p>
    <w:p>
      <w:pPr>
        <w:pStyle w:val="Heading2"/>
      </w:pPr>
      <w:r>
        <w:t>1.1 Product goals</w:t>
      </w:r>
    </w:p>
    <w:p>
      <w:pPr>
        <w:pStyle w:val="ListBullet"/>
      </w:pPr>
      <w:r>
        <w:t>Turn unstructured meeting discussion into a reviewable campaign object.</w:t>
      </w:r>
    </w:p>
    <w:p>
      <w:pPr>
        <w:pStyle w:val="ListBullet"/>
      </w:pPr>
      <w:r>
        <w:t>Run Growth, Audit, Accountant, End-User and Intermediary logical roles using one local model provider plus deterministic tools.</w:t>
      </w:r>
    </w:p>
    <w:p>
      <w:pPr>
        <w:pStyle w:val="ListBullet"/>
      </w:pPr>
      <w:r>
        <w:t>Make every hard gate, formula, policy citation, agent result and user correction traceable.</w:t>
      </w:r>
    </w:p>
    <w:p>
      <w:pPr>
        <w:pStyle w:val="ListBullet"/>
      </w:pPr>
      <w:r>
        <w:t>Require a human final disposition; never approve or launch campaigns autonomously.</w:t>
      </w:r>
    </w:p>
    <w:p>
      <w:pPr>
        <w:pStyle w:val="ListBullet"/>
      </w:pPr>
      <w:r>
        <w:t>Run on a CPU-only Windows laptop with local storage and a provider fallback.</w:t>
      </w:r>
    </w:p>
    <w:p>
      <w:pPr>
        <w:pStyle w:val="ListBullet"/>
      </w:pPr>
      <w:r>
        <w:t>Present a distinctive command-center UI without copying protected franchise names, logos or artwork.</w:t>
      </w:r>
    </w:p>
    <w:p>
      <w:pPr>
        <w:pStyle w:val="Heading2"/>
      </w:pPr>
      <w:r>
        <w:t>1.2 Explicit non-goals</w:t>
      </w:r>
    </w:p>
    <w:p>
      <w:pPr>
        <w:pStyle w:val="ListBullet"/>
      </w:pPr>
      <w:r>
        <w:t>No employee monitoring, participant ranking, individual sentiment scoring or workplace performance evaluation.</w:t>
      </w:r>
    </w:p>
    <w:p>
      <w:pPr>
        <w:pStyle w:val="ListBullet"/>
      </w:pPr>
      <w:r>
        <w:t>No covert meeting listening; only authorized user-supplied transcript or brief artifacts.</w:t>
      </w:r>
    </w:p>
    <w:p>
      <w:pPr>
        <w:pStyle w:val="ListBullet"/>
      </w:pPr>
      <w:r>
        <w:t>No legal certification or guaranteed legal compliance.</w:t>
      </w:r>
    </w:p>
    <w:p>
      <w:pPr>
        <w:pStyle w:val="ListBullet"/>
      </w:pPr>
      <w:r>
        <w:t>No guaranteed campaign performance or prediction of individual customer behavior.</w:t>
      </w:r>
    </w:p>
    <w:p>
      <w:pPr>
        <w:pStyle w:val="ListBullet"/>
      </w:pPr>
      <w:r>
        <w:t>No autonomous budget release, campaign approval or campaign execution.</w:t>
      </w:r>
    </w:p>
    <w:p>
      <w:pPr>
        <w:pStyle w:val="ListBullet"/>
      </w:pPr>
      <w:r>
        <w:t>No use of protected characteristics for discriminatory targeting or exclusion.</w:t>
      </w:r>
    </w:p>
    <w:p>
      <w:pPr>
        <w:pStyle w:val="Heading2"/>
      </w:pPr>
      <w:r>
        <w:t>1.3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Minimum final behavior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Input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Teams VTT, plain text and campaign brief upload; supporting PDF/images optional.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Extraction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Structured campaign object with evidence spans and missing fields.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User corrects extracted fields before agent execution.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Five logical roles run sequentially; three core roles are mandatory.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Rules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Hard compliance, budget and missing-information gates override weighted scores.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Policies and historical evidence are cited in outputs.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Persistence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Evaluation, corrections, agent outputs, scorecard, disposition and audit events persist.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Synthetic benchmark and metrics visible in Test Lab.</w:t>
            </w:r>
          </w:p>
        </w:tc>
      </w:tr>
    </w:tbl>
    <w:p>
      <w:pPr>
        <w:pStyle w:val="Heading1"/>
      </w:pPr>
      <w:r>
        <w:t>2. Users, inputs and realistic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Primary actions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Prohibited behavior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Campaign analyst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Upload artifacts, review extraction, run evaluation, propose changes.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Cannot mark automated screening as legal approval.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Marketing reviewer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Review scorecard, evidence and revision; record disposition.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Cannot erase material findings without an audit event.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Policy curator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Import, categorize and test policy retrieval.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Cannot activate unreviewed policy content.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Administrator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Manage settings, providers and benchmark suite.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Cannot expose secrets or participant-level scoring.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Auditor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Read evaluation and change history.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Read-only.</w:t>
            </w:r>
          </w:p>
        </w:tc>
      </w:tr>
    </w:tbl>
    <w:p>
      <w:pPr>
        <w:pStyle w:val="Heading2"/>
      </w:pPr>
      <w:r>
        <w:t>2.1 Supported inputs</w:t>
      </w:r>
    </w:p>
    <w:p>
      <w:pPr>
        <w:pStyle w:val="ListBullet"/>
      </w:pPr>
      <w:r>
        <w:t>Microsoft Teams .vtt transcript</w:t>
      </w:r>
    </w:p>
    <w:p>
      <w:pPr>
        <w:pStyle w:val="ListBullet"/>
      </w:pPr>
      <w:r>
        <w:t>Plain .txt transcript or pasted transcript</w:t>
      </w:r>
    </w:p>
    <w:p>
      <w:pPr>
        <w:pStyle w:val="ListBullet"/>
      </w:pPr>
      <w:r>
        <w:t>Meeting minutes or campaign brief PDF</w:t>
      </w:r>
    </w:p>
    <w:p>
      <w:pPr>
        <w:pStyle w:val="ListBullet"/>
      </w:pPr>
      <w:r>
        <w:t>Presentation or image text when a supported extractor exists</w:t>
      </w:r>
    </w:p>
    <w:p>
      <w:pPr>
        <w:pStyle w:val="ListBullet"/>
      </w:pPr>
      <w:r>
        <w:t>Region, audience, channels, budget, objective and campaign duration</w:t>
      </w:r>
    </w:p>
    <w:p>
      <w:pPr>
        <w:pStyle w:val="ListBullet"/>
      </w:pPr>
      <w:r>
        <w:t>Claim evidence, policy pack and spokesperson notes</w:t>
      </w:r>
    </w:p>
    <w:p>
      <w:pPr>
        <w:pStyle w:val="Heading2"/>
      </w:pPr>
      <w:r>
        <w:t>2.2 End-to-end workflow</w:t>
      </w:r>
    </w:p>
    <w:p>
      <w:pPr>
        <w:pStyle w:val="ListNumber"/>
      </w:pPr>
      <w:r>
        <w:t>Create evaluation and upload authorized artifacts.</w:t>
      </w:r>
    </w:p>
    <w:p>
      <w:pPr>
        <w:pStyle w:val="ListNumber"/>
      </w:pPr>
      <w:r>
        <w:t>Validate files and parse timestamps/speakers.</w:t>
      </w:r>
    </w:p>
    <w:p>
      <w:pPr>
        <w:pStyle w:val="ListNumber"/>
      </w:pPr>
      <w:r>
        <w:t>Detect marketing-domain segments without evaluating participants.</w:t>
      </w:r>
    </w:p>
    <w:p>
      <w:pPr>
        <w:pStyle w:val="ListNumber"/>
      </w:pPr>
      <w:r>
        <w:t>Extract a structured campaign object and evidence spans.</w:t>
      </w:r>
    </w:p>
    <w:p>
      <w:pPr>
        <w:pStyle w:val="ListNumber"/>
      </w:pPr>
      <w:r>
        <w:t>User reviews and corrects the extracted object.</w:t>
      </w:r>
    </w:p>
    <w:p>
      <w:pPr>
        <w:pStyle w:val="ListNumber"/>
      </w:pPr>
      <w:r>
        <w:t>Run Growth, Audit and Accountant roles sequentially.</w:t>
      </w:r>
    </w:p>
    <w:p>
      <w:pPr>
        <w:pStyle w:val="ListNumber"/>
      </w:pPr>
      <w:r>
        <w:t>Run bounded End-User role.</w:t>
      </w:r>
    </w:p>
    <w:p>
      <w:pPr>
        <w:pStyle w:val="ListNumber"/>
      </w:pPr>
      <w:r>
        <w:t>Intermediary applies deterministic precedence, proposes revision and reruns relevant roles if allowed.</w:t>
      </w:r>
    </w:p>
    <w:p>
      <w:pPr>
        <w:pStyle w:val="ListNumber"/>
      </w:pPr>
      <w:r>
        <w:t>Compute hard-gate status and weighted score.</w:t>
      </w:r>
    </w:p>
    <w:p>
      <w:pPr>
        <w:pStyle w:val="ListNumber"/>
      </w:pPr>
      <w:r>
        <w:t>Human records final disposition and notes.</w:t>
      </w:r>
    </w:p>
    <w:p>
      <w:pPr>
        <w:pStyle w:val="ListNumber"/>
      </w:pPr>
      <w:r>
        <w:t>Persist complete evaluation and audit trail.</w:t>
      </w:r>
    </w:p>
    <w:p>
      <w:pPr>
        <w:pStyle w:val="Heading1"/>
      </w:pPr>
      <w:r>
        <w:t>3. Campaign quality framework and hard gates</w:t>
      </w:r>
    </w:p>
    <w:p>
      <w:pPr>
        <w:pStyle w:val="Heading2"/>
      </w:pPr>
      <w:r>
        <w:t>3.1 Quality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Measured questions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Growth alignment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Is the objective explicit? Are audience, channel and success measures aligned? Are assumptions supported?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Audience and channel fit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Is the intended audience defined? Is the channel suitable? Is the offer understandable?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Financial viability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Is spend within budget? Are contingency, margin and conservative ROI acceptable?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Evidence quality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Are material claims and performance assumptions supported by submitted or retrieved evidence?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Message clarity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Are benefit, terms, disclosure and call to action clear?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Operational readiness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Are owner, timeline, channel assets, measurement plan and required approvals defined?</w:t>
            </w:r>
          </w:p>
        </w:tc>
      </w:tr>
    </w:tbl>
    <w:p>
      <w:r>
        <w:t>The 100-point score is calculated only after hard gates are evaluated. Thresholds are configurable demonstration policy, not universal marketing standards.</w:t>
      </w:r>
    </w:p>
    <w:p>
      <w:pPr>
        <w:pStyle w:val="Heading2"/>
      </w:pPr>
      <w:r>
        <w:t>3.2 Hard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System status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Critical policy finding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REVISION_REQUIRED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Preserve citation and require correction or specialist review.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Hard budget limit exceeded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REVISION_REQUIRED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Reduce spend or update authorized budget.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Essential field missing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INSUFFICIENT_INFORMATION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Collect missing input before scoring.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No applicable policy coverage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SPECIALIST_REVIEW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Do not claim compliant screening.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Material claim unsupported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REVISION_REQUIRED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Provide evidence or revise wording.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Provider unavailable with no fallback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PROCESSING_BLOCKED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Resume only after backend recovery.</w:t>
            </w:r>
          </w:p>
        </w:tc>
      </w:tr>
    </w:tbl>
    <w:p>
      <w:pPr>
        <w:pStyle w:val="Heading2"/>
      </w:pPr>
      <w:r>
        <w:t>3.3 Score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Range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Display label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Constraint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80-100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Strong proposal for human review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Only when no hard gate is active.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65-79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Promising; revisions recommended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Human review mandatory.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50-64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Material weaknesses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Revision workflow expected.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0-49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Major revision required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Do not present as launch-ready.</w:t>
            </w:r>
          </w:p>
        </w:tc>
      </w:tr>
    </w:tbl>
    <w:p>
      <w:pPr>
        <w:pStyle w:val="Heading1"/>
      </w:pPr>
      <w:r>
        <w:t>4. Agent design and orchestration</w:t>
      </w:r>
    </w:p>
    <w:p>
      <w:r>
        <w:t>An agent is a controlled logical role, not a separate trained model. The same local SLM may power multiple roles sequentially. Each role has a specific instruction, evidence packet, permitted deterministic tools and validated output schema.</w:t>
      </w:r>
    </w:p>
    <w:p>
      <w:pPr>
        <w:pStyle w:val="Heading2"/>
      </w:pPr>
      <w:r>
        <w:t>4.1 Growth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Tools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Structured campaign, transcript evidence, historical aggregate benchmarks.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Objective checks, channel benchmark lookup, scenario calculations.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growth_score, objective_clarity, opportunities, unsupported_assumptions, evidence, recommendations.</w:t>
            </w:r>
          </w:p>
        </w:tc>
      </w:tr>
    </w:tbl>
    <w:p>
      <w:pPr>
        <w:pStyle w:val="Heading2"/>
      </w:pPr>
      <w:r>
        <w:t>4.2 Audit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Tools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Region, claims, offer terms, disclosures, submitted evidence, retrieved policy text.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Policy retrieval, deterministic prohibited/required rule checks.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status, findings, severity, policy citation, missing disclosure, human_review_required.</w:t>
            </w:r>
          </w:p>
        </w:tc>
      </w:tr>
    </w:tbl>
    <w:p>
      <w:pPr>
        <w:pStyle w:val="Heading2"/>
      </w:pPr>
      <w:r>
        <w:t>4.3 Accountant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Tools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Budget, spend, discounts, revenue assumptions, margin threshold.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Python formulas only for authoritative arithmetic.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budget variance, conservative ROI, margin, assumptions, missing inputs, recommendations.</w:t>
            </w:r>
          </w:p>
        </w:tc>
      </w:tr>
    </w:tbl>
    <w:p>
      <w:pPr>
        <w:pStyle w:val="Heading2"/>
      </w:pPr>
      <w:r>
        <w:t>4.4 End-User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Tools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Audience profile, message, offer, channel and context.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Clarity rubric and bounded local-model analysis.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clarity, audience fit, objections, ambiguity, potential misinterpretation, suggested wording.</w:t>
            </w:r>
          </w:p>
        </w:tc>
      </w:tr>
    </w:tbl>
    <w:p>
      <w:pPr>
        <w:pStyle w:val="Heading2"/>
      </w:pPr>
      <w:r>
        <w:t>4.5 Intermediary</w:t>
      </w:r>
    </w:p>
    <w:p>
      <w:pPr>
        <w:pStyle w:val="ListBullet"/>
      </w:pPr>
      <w:r>
        <w:t>Consumes validated outputs rather than unrestricted agent conversations.</w:t>
      </w:r>
    </w:p>
    <w:p>
      <w:pPr>
        <w:pStyle w:val="ListBullet"/>
      </w:pPr>
      <w:r>
        <w:t>Applies precedence: critical compliance, hard budget, missing information, audience risk, then growth optimization.</w:t>
      </w:r>
    </w:p>
    <w:p>
      <w:pPr>
        <w:pStyle w:val="ListBullet"/>
      </w:pPr>
      <w:r>
        <w:t>May propose revisions but cannot self-certify the revision.</w:t>
      </w:r>
    </w:p>
    <w:p>
      <w:pPr>
        <w:pStyle w:val="ListBullet"/>
      </w:pPr>
      <w:r>
        <w:t>Reruns only affected roles.</w:t>
      </w:r>
    </w:p>
    <w:p>
      <w:pPr>
        <w:pStyle w:val="ListBullet"/>
      </w:pPr>
      <w:r>
        <w:t>Stops after a configurable maximum iteration count, recommended default two.</w:t>
      </w:r>
    </w:p>
    <w:p>
      <w:pPr>
        <w:pStyle w:val="ListBullet"/>
      </w:pPr>
      <w:r>
        <w:t>Routes unresolved issues to human review.</w:t>
      </w:r>
    </w:p>
    <w:p>
      <w:pPr>
        <w:pStyle w:val="Heading2"/>
      </w:pPr>
      <w:r>
        <w:t>4.6 Shared state</w:t>
      </w:r>
    </w:p>
    <w:p>
      <w:pPr>
        <w:pStyle w:val="ListBullet"/>
      </w:pPr>
      <w:r>
        <w:t>evaluation_id and workflow status</w:t>
      </w:r>
    </w:p>
    <w:p>
      <w:pPr>
        <w:pStyle w:val="ListBullet"/>
      </w:pPr>
      <w:r>
        <w:t>source artifacts and consent/authorization note</w:t>
      </w:r>
    </w:p>
    <w:p>
      <w:pPr>
        <w:pStyle w:val="ListBullet"/>
      </w:pPr>
      <w:r>
        <w:t>structured campaign and user corrections</w:t>
      </w:r>
    </w:p>
    <w:p>
      <w:pPr>
        <w:pStyle w:val="ListBullet"/>
      </w:pPr>
      <w:r>
        <w:t>evidence spans</w:t>
      </w:r>
    </w:p>
    <w:p>
      <w:pPr>
        <w:pStyle w:val="ListBullet"/>
      </w:pPr>
      <w:r>
        <w:t>policy retrieval results</w:t>
      </w:r>
    </w:p>
    <w:p>
      <w:pPr>
        <w:pStyle w:val="ListBullet"/>
      </w:pPr>
      <w:r>
        <w:t>agent outputs and provider metadata</w:t>
      </w:r>
    </w:p>
    <w:p>
      <w:pPr>
        <w:pStyle w:val="ListBullet"/>
      </w:pPr>
      <w:r>
        <w:t>financial calculations</w:t>
      </w:r>
    </w:p>
    <w:p>
      <w:pPr>
        <w:pStyle w:val="ListBullet"/>
      </w:pPr>
      <w:r>
        <w:t>revision history and iteration count</w:t>
      </w:r>
    </w:p>
    <w:p>
      <w:pPr>
        <w:pStyle w:val="ListBullet"/>
      </w:pPr>
      <w:r>
        <w:t>hard gates and scorecard</w:t>
      </w:r>
    </w:p>
    <w:p>
      <w:pPr>
        <w:pStyle w:val="ListBullet"/>
      </w:pPr>
      <w:r>
        <w:t>human disposition</w:t>
      </w:r>
    </w:p>
    <w:p>
      <w:pPr>
        <w:pStyle w:val="Heading1"/>
      </w:pPr>
      <w:r>
        <w:t>5. Architecture and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Components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Presentation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Streamlit command-center UI with dark technical palette, system status, evaluation workspace, scorecard and audit views.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Ingestion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VTT/text parser, PDF extractor, optional OCR/image adapter, file validator.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Application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Evaluation service, state machine, agent runner, scoring engine, revision service, audit service.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Policy retrieval, historical aggregate analytics and submitted evidence store.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Model provider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Ollama local model, deterministic provider and future cloud provider interface.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Persistence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SQLite for evaluations, artifacts, corrections, outputs and audit events.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Synthetic benchmark runner, metrics, latency and failure reports.</w:t>
            </w:r>
          </w:p>
        </w:tc>
      </w:tr>
    </w:tbl>
    <w:p>
      <w:pPr>
        <w:pStyle w:val="Heading2"/>
      </w:pPr>
      <w:r>
        <w:t>5.1 Required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Functions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Command Dashboard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Provider status, active evaluations, pending reviews, hard gates, recent activity and test health.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New Evaluation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Upload artifacts and enter context.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Ingestion Console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Real stage statuses, validation errors and extracted segment preview.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Campaign Review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Editable structured campaign and evidence spans.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Agent Operations Room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Separate role cards with status, evidence, findings, confidence and missing inputs.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Scorecard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Dimensions, hard gates and full calculation trace.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Revision Console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Original versus proposed revision and affected roles.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Policy Library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Import, classify, activate, index and search-test policies.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Historical Analytics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Aggregate campaign response and channel evidence.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Search, open, export and compare evaluations.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Test Lab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Run labelled scenarios and inspect failures.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Audit Log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Uploads, corrections, agent runs, retrievals, revisions and disposition.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Responsible AI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Intended use, privacy, limitations and human accountability.</w:t>
            </w:r>
          </w:p>
        </w:tc>
      </w:tr>
    </w:tbl>
    <w:p>
      <w:pPr>
        <w:pStyle w:val="Heading2"/>
      </w:pPr>
      <w:r>
        <w:t>5.2 UI behavior</w:t>
      </w:r>
    </w:p>
    <w:p>
      <w:pPr>
        <w:pStyle w:val="ListBullet"/>
      </w:pPr>
      <w:r>
        <w:t>Show operational steps, not hidden chain-of-thought.</w:t>
      </w:r>
    </w:p>
    <w:p>
      <w:pPr>
        <w:pStyle w:val="ListBullet"/>
      </w:pPr>
      <w:r>
        <w:t>Persist after each completed role so an evaluation can resume.</w:t>
      </w:r>
    </w:p>
    <w:p>
      <w:pPr>
        <w:pStyle w:val="ListBullet"/>
      </w:pPr>
      <w:r>
        <w:t>Allow retry of one failed role rather than restarting the workflow.</w:t>
      </w:r>
    </w:p>
    <w:p>
      <w:pPr>
        <w:pStyle w:val="ListBullet"/>
      </w:pPr>
      <w:r>
        <w:t>Display active model/retrieval backend and fallback state.</w:t>
      </w:r>
    </w:p>
    <w:p>
      <w:pPr>
        <w:pStyle w:val="ListBullet"/>
      </w:pPr>
      <w:r>
        <w:t>Use distinctive visual design while avoiding copied Evangelion/MAGI names, logos, screenshots or artwork in the shipped interface.</w:t>
      </w:r>
    </w:p>
    <w:p>
      <w:pPr>
        <w:pStyle w:val="Heading1"/>
      </w:pPr>
      <w:r>
        <w:t>6. Transcript, document and policy ingestion</w:t>
      </w:r>
    </w:p>
    <w:p>
      <w:pPr>
        <w:pStyle w:val="Heading2"/>
      </w:pPr>
      <w:r>
        <w:t>6.1 Teams VTT parsing</w:t>
      </w:r>
    </w:p>
    <w:p>
      <w:pPr>
        <w:pStyle w:val="ListBullet"/>
      </w:pPr>
      <w:r>
        <w:t>Validate WEBVTT header where present.</w:t>
      </w:r>
    </w:p>
    <w:p>
      <w:pPr>
        <w:pStyle w:val="ListBullet"/>
      </w:pPr>
      <w:r>
        <w:t>Parse cue timings and speaker tags.</w:t>
      </w:r>
    </w:p>
    <w:p>
      <w:pPr>
        <w:pStyle w:val="ListBullet"/>
      </w:pPr>
      <w:r>
        <w:t>Merge consecutive cues from the same speaker for readability.</w:t>
      </w:r>
    </w:p>
    <w:p>
      <w:pPr>
        <w:pStyle w:val="ListBullet"/>
      </w:pPr>
      <w:r>
        <w:t>Retain timestamps and source cue IDs for evidence.</w:t>
      </w:r>
    </w:p>
    <w:p>
      <w:pPr>
        <w:pStyle w:val="ListBullet"/>
      </w:pPr>
      <w:r>
        <w:t>Optionally anonymize speaker labels before model calls.</w:t>
      </w:r>
    </w:p>
    <w:p>
      <w:pPr>
        <w:pStyle w:val="ListBullet"/>
      </w:pPr>
      <w:r>
        <w:t>Never derive participant performance, personality or sentiment scores.</w:t>
      </w:r>
    </w:p>
    <w:p>
      <w:r>
        <w:t>Teams meeting transcripts can be available with speaker names and timestamps; Microsoft support materials describe transcripts associated with Teams recordings and downloadable transcript formats where enabled [1].</w:t>
      </w:r>
    </w:p>
    <w:p>
      <w:pPr>
        <w:pStyle w:val="Heading2"/>
      </w:pPr>
      <w:r>
        <w:t>6.2 Marketing-segment detection</w:t>
      </w:r>
    </w:p>
    <w:p>
      <w:pPr>
        <w:pStyle w:val="ListBullet"/>
      </w:pPr>
      <w:r>
        <w:t>Rule/keyword baseline for campaign, audience, budget, channel, offer, launch, claim and region terms.</w:t>
      </w:r>
    </w:p>
    <w:p>
      <w:pPr>
        <w:pStyle w:val="ListBullet"/>
      </w:pPr>
      <w:r>
        <w:t>TF-IDF + Logistic Regression or Linear SVM optional classifier.</w:t>
      </w:r>
    </w:p>
    <w:p>
      <w:pPr>
        <w:pStyle w:val="ListBullet"/>
      </w:pPr>
      <w:r>
        <w:t>Segment-level output: relevant, possibly relevant or unrelated.</w:t>
      </w:r>
    </w:p>
    <w:p>
      <w:pPr>
        <w:pStyle w:val="ListBullet"/>
      </w:pPr>
      <w:r>
        <w:t>High recall is prioritized so relevant proposal sections are not silently dropped.</w:t>
      </w:r>
    </w:p>
    <w:p>
      <w:pPr>
        <w:pStyle w:val="ListBullet"/>
      </w:pPr>
      <w:r>
        <w:t>User can include/exclude segments before extraction.</w:t>
      </w:r>
    </w:p>
    <w:p>
      <w:pPr>
        <w:pStyle w:val="Heading2"/>
      </w:pPr>
      <w:r>
        <w:t>6.3 Structured campaign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Fields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campaign name, product/service, objective, campaign type, duration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Market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region, language, audience, segment, competitors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Channels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channels, assets, call to action, launch timeline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authorized budget, proposed spend, allocation, discount, revenue and conversion assumptions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Claims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explicit claims, implied claims, evidence, disclosures, endorsements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success metrics, baseline, target, owner, data source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Completeness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missing fields, contradictions, low-confidence extractions</w:t>
            </w:r>
          </w:p>
        </w:tc>
      </w:tr>
    </w:tbl>
    <w:p>
      <w:pPr>
        <w:pStyle w:val="Heading2"/>
      </w:pPr>
      <w:r>
        <w:t>6.4 Policy ingestion</w:t>
      </w:r>
    </w:p>
    <w:p>
      <w:pPr>
        <w:pStyle w:val="ListBullet"/>
      </w:pPr>
      <w:r>
        <w:t>Store policy title, jurisdiction, category, source, effective status and content.</w:t>
      </w:r>
    </w:p>
    <w:p>
      <w:pPr>
        <w:pStyle w:val="ListBullet"/>
      </w:pPr>
      <w:r>
        <w:t>Chunk by section and preserve citation labels.</w:t>
      </w:r>
    </w:p>
    <w:p>
      <w:pPr>
        <w:pStyle w:val="ListBullet"/>
      </w:pPr>
      <w:r>
        <w:t>Activate only reviewed policy packs.</w:t>
      </w:r>
    </w:p>
    <w:p>
      <w:pPr>
        <w:pStyle w:val="ListBullet"/>
      </w:pPr>
      <w:r>
        <w:t>Audit retrieval query and cited chunks.</w:t>
      </w:r>
    </w:p>
    <w:p>
      <w:pPr>
        <w:pStyle w:val="ListBullet"/>
      </w:pPr>
      <w:r>
        <w:t>Never allow retrieved document text to alter system instructions or tool permissions.</w:t>
      </w:r>
    </w:p>
    <w:p>
      <w:pPr>
        <w:pStyle w:val="Heading1"/>
      </w:pPr>
      <w:r>
        <w:t>7. Data sources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Data category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Recommended source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Historical marketing response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Maven Marketing Campaign Results.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Customer profiles, product preferences, channel performance and campaign response baseline.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Meeting text benchmark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MeetingBank.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Test segmentation and summarization on long public meeting transcripts; not marketing-specific.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Compliance policies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FTC advertising guidance; EU UCPD; synthetic internal policies.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Ground Audit Agent findings.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Synthetic campaign benchmark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Author-created labelled scenarios.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End-to-end extraction, rules, roles, conflict and revision evaluation.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Submitted campaign evidence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User-uploaded briefs, claims, budgets and notes.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Case-specific evaluation evidence.</w:t>
            </w:r>
          </w:p>
        </w:tc>
      </w:tr>
    </w:tbl>
    <w:p>
      <w:r>
        <w:t>The Maven dataset page describes marketing data for 2,240 customers covering customer profiles, product preferences, channel performance and campaign success and labels the dataset public domain [2]. MeetingBank contains 1,366 public meetings, transcripts and reference summaries and can test long-transcript processing, but it is not a marketing-campaign ground-truth dataset [3].</w:t>
      </w:r>
    </w:p>
    <w:p>
      <w:pPr>
        <w:pStyle w:val="Heading2"/>
      </w:pPr>
      <w:r>
        <w:t>7.1 Data-use boundaries</w:t>
      </w:r>
    </w:p>
    <w:p>
      <w:pPr>
        <w:pStyle w:val="ListBullet"/>
      </w:pPr>
      <w:r>
        <w:t>Do not state that the local SLM was trained on the project datasets unless it was actually fine-tuned.</w:t>
      </w:r>
    </w:p>
    <w:p>
      <w:pPr>
        <w:pStyle w:val="ListBullet"/>
      </w:pPr>
      <w:r>
        <w:t>Use historical data for aggregate benchmarks or conventional prediction, not as proof that a new campaign will succeed.</w:t>
      </w:r>
    </w:p>
    <w:p>
      <w:pPr>
        <w:pStyle w:val="ListBullet"/>
      </w:pPr>
      <w:r>
        <w:t>Do not operationalize protected characteristics for discriminatory targeting.</w:t>
      </w:r>
    </w:p>
    <w:p>
      <w:pPr>
        <w:pStyle w:val="ListBullet"/>
      </w:pPr>
      <w:r>
        <w:t>Synthetic benchmark cases must be labelled synthetic and include expected outputs.</w:t>
      </w:r>
    </w:p>
    <w:p>
      <w:pPr>
        <w:pStyle w:val="ListBullet"/>
      </w:pPr>
      <w:r>
        <w:t>Split conventional ML data into train, validation and untouched test sets.</w:t>
      </w:r>
    </w:p>
    <w:p>
      <w:pPr>
        <w:pStyle w:val="Heading2"/>
      </w:pPr>
      <w:r>
        <w:t>7.2 Synthetic benchmark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Scenario class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Strong proposals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Clear objective, defined audience, supported claims, budget fit and measurement plan.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Compliance risks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Unsupported claim, missing disclosure, region-policy mismatch, deceptive price language.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Financial risks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Budget overrun, missing cost, negative conservative ROI, margin below threshold.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Audience risks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Undefined audience, channel mismatch, ambiguous offer, unclear call to action.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Incomplete cases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Missing region, budget, evidence or owner.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Conflicts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High growth potential with hard compliance or budget gate.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Security cases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Transcript or policy text containing prompt-injection attempts.</w:t>
            </w:r>
          </w:p>
        </w:tc>
      </w:tr>
    </w:tbl>
    <w:p>
      <w:pPr>
        <w:pStyle w:val="Heading1"/>
      </w:pPr>
      <w:r>
        <w:t>8. Finance, scoring and evidence rules</w:t>
      </w:r>
    </w:p>
    <w:p>
      <w:pPr>
        <w:pStyle w:val="Heading2"/>
      </w:pPr>
      <w:r>
        <w:t>8.1 Deterministic formulas</w:t>
      </w:r>
    </w:p>
    <w:p>
      <w:r>
        <w:t>All authoritative calculations are performed in Python, not by the language model.</w:t>
      </w:r>
    </w:p>
    <w:p>
      <w:pPr>
        <w:pStyle w:val="ListBullet"/>
      </w:pPr>
      <w:r>
        <w:t>budget_variance = authorized_budget - proposed_spend</w:t>
      </w:r>
    </w:p>
    <w:p>
      <w:pPr>
        <w:pStyle w:val="ListBullet"/>
      </w:pPr>
      <w:r>
        <w:t>contingency_adjusted_cost = proposed_spend × (1 + configured_contingency_rate)</w:t>
      </w:r>
    </w:p>
    <w:p>
      <w:pPr>
        <w:pStyle w:val="ListBullet"/>
      </w:pPr>
      <w:r>
        <w:t>conservative_revenue = expected_conversions × revenue_per_conversion × configured_confidence_factor</w:t>
      </w:r>
    </w:p>
    <w:p>
      <w:pPr>
        <w:pStyle w:val="ListBullet"/>
      </w:pPr>
      <w:r>
        <w:t>conservative_roi = (conservative_revenue - total_campaign_cost) / total_campaign_cost</w:t>
      </w:r>
    </w:p>
    <w:p>
      <w:pPr>
        <w:pStyle w:val="ListBullet"/>
      </w:pPr>
      <w:r>
        <w:t>estimated_margin = (conservative_revenue - campaign_cost - offer_cost) / conservative_revenue</w:t>
      </w:r>
    </w:p>
    <w:p>
      <w:pPr>
        <w:pStyle w:val="Heading2"/>
      </w:pPr>
      <w:r>
        <w:t>8.2 Evidence hierarchy</w:t>
      </w:r>
    </w:p>
    <w:p>
      <w:pPr>
        <w:pStyle w:val="ListNumber"/>
      </w:pPr>
      <w:r>
        <w:t>Submitted verified evidence and deterministic calculations.</w:t>
      </w:r>
    </w:p>
    <w:p>
      <w:pPr>
        <w:pStyle w:val="ListNumber"/>
      </w:pPr>
      <w:r>
        <w:t>Activated policy text and source citations.</w:t>
      </w:r>
    </w:p>
    <w:p>
      <w:pPr>
        <w:pStyle w:val="ListNumber"/>
      </w:pPr>
      <w:r>
        <w:t>Historical aggregate data with provenance.</w:t>
      </w:r>
    </w:p>
    <w:p>
      <w:pPr>
        <w:pStyle w:val="ListNumber"/>
      </w:pPr>
      <w:r>
        <w:t>Transcript or campaign-brief statements.</w:t>
      </w:r>
    </w:p>
    <w:p>
      <w:pPr>
        <w:pStyle w:val="ListNumber"/>
      </w:pPr>
      <w:r>
        <w:t>Model-generated interpretation, always labelled as analysis rather than fact.</w:t>
      </w:r>
    </w:p>
    <w:p>
      <w:pPr>
        <w:pStyle w:val="Heading2"/>
      </w:pPr>
      <w:r>
        <w:t>8.3 Compliance basis</w:t>
      </w:r>
    </w:p>
    <w:p>
      <w:r>
        <w:t>FTC business guidance states that advertising claims must be truthful, cannot be deceptive or unfair, and must be evidence-based; specialized rules may apply to endorsements, reviews, health, environmental, children and online advertising [4]. The EU Unfair Commercial Practices Directive is overarching consumer-protection legislation addressing unfair practices, including untruthful information and aggressive marketing [5].</w:t>
      </w:r>
    </w:p>
    <w:p>
      <w:pPr>
        <w:pStyle w:val="Heading2"/>
      </w:pPr>
      <w:r>
        <w:t>8.4 Score calculation</w:t>
      </w:r>
    </w:p>
    <w:p>
      <w:pPr>
        <w:pStyle w:val="ListBullet"/>
      </w:pPr>
      <w:r>
        <w:t>Validate hard gates first.</w:t>
      </w:r>
    </w:p>
    <w:p>
      <w:pPr>
        <w:pStyle w:val="ListBullet"/>
      </w:pPr>
      <w:r>
        <w:t>Compute each dimension from explicit rubric items.</w:t>
      </w:r>
    </w:p>
    <w:p>
      <w:pPr>
        <w:pStyle w:val="ListBullet"/>
      </w:pPr>
      <w:r>
        <w:t>Store item-level points and evidence.</w:t>
      </w:r>
    </w:p>
    <w:p>
      <w:pPr>
        <w:pStyle w:val="ListBullet"/>
      </w:pPr>
      <w:r>
        <w:t>Cap or mark dimensions when required inputs are missing.</w:t>
      </w:r>
    </w:p>
    <w:p>
      <w:pPr>
        <w:pStyle w:val="ListBullet"/>
      </w:pPr>
      <w:r>
        <w:t>Do not allow high growth points to erase compliance or hard budget status.</w:t>
      </w:r>
    </w:p>
    <w:p>
      <w:pPr>
        <w:pStyle w:val="ListBullet"/>
      </w:pPr>
      <w:r>
        <w:t>Display score as decision support, not an objective truth.</w:t>
      </w:r>
    </w:p>
    <w:p>
      <w:pPr>
        <w:pStyle w:val="Heading1"/>
      </w:pPr>
      <w:r>
        <w:t>9. Safety, security and Responsible AI</w:t>
      </w:r>
    </w:p>
    <w:p>
      <w:r>
        <w:t>The project applies the NIST AI RMF concepts of Govern, Map, Measure and Manage and prioritizes valid, reliable, safe, secure, transparent, explainable, privacy-enhanced and fair behavior [6].</w:t>
      </w:r>
    </w:p>
    <w:p>
      <w:pPr>
        <w:pStyle w:val="Heading2"/>
      </w:pPr>
      <w:r>
        <w:t>9.1 Hard Responsible AI rules</w:t>
      </w:r>
    </w:p>
    <w:p>
      <w:pPr>
        <w:pStyle w:val="ListBullet"/>
      </w:pPr>
      <w:r>
        <w:t>No participant, employee or team-member performance ranking.</w:t>
      </w:r>
    </w:p>
    <w:p>
      <w:pPr>
        <w:pStyle w:val="ListBullet"/>
      </w:pPr>
      <w:r>
        <w:t>No inference or use of protected characteristics for employment or discriminatory targeting decisions.</w:t>
      </w:r>
    </w:p>
    <w:p>
      <w:pPr>
        <w:pStyle w:val="ListBullet"/>
      </w:pPr>
      <w:r>
        <w:t>No legal approval claim.</w:t>
      </w:r>
    </w:p>
    <w:p>
      <w:pPr>
        <w:pStyle w:val="ListBullet"/>
      </w:pPr>
      <w:r>
        <w:t>No autonomous campaign approval, budget release or execution.</w:t>
      </w:r>
    </w:p>
    <w:p>
      <w:pPr>
        <w:pStyle w:val="ListBullet"/>
      </w:pPr>
      <w:r>
        <w:t>No hidden chain-of-thought display; show evidence and concise rationale.</w:t>
      </w:r>
    </w:p>
    <w:p>
      <w:pPr>
        <w:pStyle w:val="ListBullet"/>
      </w:pPr>
      <w:r>
        <w:t>Human review and disposition are mandatory.</w:t>
      </w:r>
    </w:p>
    <w:p>
      <w:pPr>
        <w:pStyle w:val="ListBullet"/>
      </w:pPr>
      <w:r>
        <w:t>Uncertainty and missing information remain explicit.</w:t>
      </w:r>
    </w:p>
    <w:p>
      <w:pPr>
        <w:pStyle w:val="ListBullet"/>
      </w:pPr>
      <w:r>
        <w:t>LLM output is validated before use in calculations, routing or persistence.</w:t>
      </w:r>
    </w:p>
    <w:p>
      <w:pPr>
        <w:pStyle w:val="Heading2"/>
      </w:pPr>
      <w:r>
        <w:t>9.2 Prompt-injection defense</w:t>
      </w:r>
    </w:p>
    <w:p>
      <w:r>
        <w:t>OWASP describes prompt injection as inputs that alter model behavior, including indirect injection through external files, and notes that RAG and fine-tuning do not fully mitigate the problem [7].</w:t>
      </w:r>
    </w:p>
    <w:p>
      <w:pPr>
        <w:pStyle w:val="ListBullet"/>
      </w:pPr>
      <w:r>
        <w:t>Treat transcripts, policies, briefs and PDFs as untrusted data.</w:t>
      </w:r>
    </w:p>
    <w:p>
      <w:pPr>
        <w:pStyle w:val="ListBullet"/>
      </w:pPr>
      <w:r>
        <w:t>Delimit evidence from instructions in every model call.</w:t>
      </w:r>
    </w:p>
    <w:p>
      <w:pPr>
        <w:pStyle w:val="ListBullet"/>
      </w:pPr>
      <w:r>
        <w:t>Never grant uploaded text tool permissions.</w:t>
      </w:r>
    </w:p>
    <w:p>
      <w:pPr>
        <w:pStyle w:val="ListBullet"/>
      </w:pPr>
      <w:r>
        <w:t>Apply structured output validation and allow-listed actions.</w:t>
      </w:r>
    </w:p>
    <w:p>
      <w:pPr>
        <w:pStyle w:val="ListBullet"/>
      </w:pPr>
      <w:r>
        <w:t>Reject output that attempts to alter workflow policy or ignore hard gates.</w:t>
      </w:r>
    </w:p>
    <w:p>
      <w:pPr>
        <w:pStyle w:val="ListBullet"/>
      </w:pPr>
      <w:r>
        <w:t>Include adversarial benchmark cases.</w:t>
      </w:r>
    </w:p>
    <w:p>
      <w:pPr>
        <w:pStyle w:val="Heading2"/>
      </w:pPr>
      <w:r>
        <w:t>9.3 Privacy</w:t>
      </w:r>
    </w:p>
    <w:p>
      <w:pPr>
        <w:pStyle w:val="ListBullet"/>
      </w:pPr>
      <w:r>
        <w:t>Require the uploader to confirm authorization to process meeting artifacts.</w:t>
      </w:r>
    </w:p>
    <w:p>
      <w:pPr>
        <w:pStyle w:val="ListBullet"/>
      </w:pPr>
      <w:r>
        <w:t>Minimize speaker identity; anonymize where identity is unnecessary.</w:t>
      </w:r>
    </w:p>
    <w:p>
      <w:pPr>
        <w:pStyle w:val="ListBullet"/>
      </w:pPr>
      <w:r>
        <w:t>Provide local deletion and retention controls.</w:t>
      </w:r>
    </w:p>
    <w:p>
      <w:pPr>
        <w:pStyle w:val="ListBullet"/>
      </w:pPr>
      <w:r>
        <w:t>Do not send transcripts to external services unless explicitly configured and authorized.</w:t>
      </w:r>
    </w:p>
    <w:p>
      <w:pPr>
        <w:pStyle w:val="ListBullet"/>
      </w:pPr>
      <w:r>
        <w:t>Exclude secrets and personal data from logs.</w:t>
      </w:r>
    </w:p>
    <w:p>
      <w:pPr>
        <w:pStyle w:val="Heading1"/>
      </w:pPr>
      <w:r>
        <w:t>10. Metrics and evaluation</w:t>
      </w:r>
    </w:p>
    <w:p>
      <w:pPr>
        <w:pStyle w:val="Heading2"/>
      </w:pPr>
      <w:r>
        <w:t>10.1 Extraction and segmentation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Segment precision/recall/F1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Agreement with labelled marketing-relevant transcript segments.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Field precision/recall/F1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Correct extracted values by campaign field.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Required-field completion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Required fields correctly found or marked missing.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Evidence-span accuracy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Extracted field points to the correct transcript span.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Human correction rate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Share of fields corrected before agent execution.</w:t>
            </w:r>
          </w:p>
        </w:tc>
      </w:tr>
    </w:tbl>
    <w:p>
      <w:pPr>
        <w:pStyle w:val="Heading2"/>
      </w:pPr>
      <w:r>
        <w:t>10.2 Role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Metrics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Growth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Objective-detection accuracy, unsupported-assumption recall, evidence accuracy, reviewer usefulness.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Critical-rule recall, false-negative rate, false-positive rate, citation accuracy, jurisdiction selection.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Accountant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Exact calculation agreement, missing-input detection and budget-violation recall.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End-User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Agreement with labelled clarity/audience issues and unsupported-conclusion rate.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Intermediary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Hard-gate preservation, correct rerouting, iteration-limit compliance and unresolved-conflict escalation.</w:t>
            </w:r>
          </w:p>
        </w:tc>
      </w:tr>
    </w:tbl>
    <w:p>
      <w:pPr>
        <w:pStyle w:val="Heading2"/>
      </w:pPr>
      <w:r>
        <w:t>10.3 End-to-end metrics</w:t>
      </w:r>
    </w:p>
    <w:p>
      <w:pPr>
        <w:pStyle w:val="ListBullet"/>
      </w:pPr>
      <w:r>
        <w:t>Structured-output validity</w:t>
      </w:r>
    </w:p>
    <w:p>
      <w:pPr>
        <w:pStyle w:val="ListBullet"/>
      </w:pPr>
      <w:r>
        <w:t>Workflow completion rate</w:t>
      </w:r>
    </w:p>
    <w:p>
      <w:pPr>
        <w:pStyle w:val="ListBullet"/>
      </w:pPr>
      <w:r>
        <w:t>Correct hard-gate status</w:t>
      </w:r>
    </w:p>
    <w:p>
      <w:pPr>
        <w:pStyle w:val="ListBullet"/>
      </w:pPr>
      <w:r>
        <w:t>Score reproducibility</w:t>
      </w:r>
    </w:p>
    <w:p>
      <w:pPr>
        <w:pStyle w:val="ListBullet"/>
      </w:pPr>
      <w:r>
        <w:t>Contradiction rate</w:t>
      </w:r>
    </w:p>
    <w:p>
      <w:pPr>
        <w:pStyle w:val="ListBullet"/>
      </w:pPr>
      <w:r>
        <w:t>Evidence-grounding rate</w:t>
      </w:r>
    </w:p>
    <w:p>
      <w:pPr>
        <w:pStyle w:val="ListBullet"/>
      </w:pPr>
      <w:r>
        <w:t>Human acceptance or revision rate</w:t>
      </w:r>
    </w:p>
    <w:p>
      <w:pPr>
        <w:pStyle w:val="ListBullet"/>
      </w:pPr>
      <w:r>
        <w:t>Per-role and total latency</w:t>
      </w:r>
    </w:p>
    <w:p>
      <w:pPr>
        <w:pStyle w:val="ListBullet"/>
      </w:pPr>
      <w:r>
        <w:t>Provider failure and fallback activation rate</w:t>
      </w:r>
    </w:p>
    <w:p>
      <w:pPr>
        <w:pStyle w:val="ListBullet"/>
      </w:pPr>
      <w:r>
        <w:t>Resume-after-restart success</w:t>
      </w:r>
    </w:p>
    <w:p>
      <w:pPr>
        <w:pStyle w:val="Heading2"/>
      </w:pPr>
      <w:r>
        <w:t>10.4 Historical analytics model</w:t>
      </w:r>
    </w:p>
    <w:p>
      <w:pPr>
        <w:pStyle w:val="ListBullet"/>
      </w:pPr>
      <w:r>
        <w:t>Logistic Regression baseline for campaign response.</w:t>
      </w:r>
    </w:p>
    <w:p>
      <w:pPr>
        <w:pStyle w:val="ListBullet"/>
      </w:pPr>
      <w:r>
        <w:t>Random Forest or HistGradientBoosting comparison.</w:t>
      </w:r>
    </w:p>
    <w:p>
      <w:pPr>
        <w:pStyle w:val="ListBullet"/>
      </w:pPr>
      <w:r>
        <w:t>Precision, recall, F1, PR-AUC, ROC-AUC and calibration.</w:t>
      </w:r>
    </w:p>
    <w:p>
      <w:pPr>
        <w:pStyle w:val="ListBullet"/>
      </w:pPr>
      <w:r>
        <w:t>Aggregate use only; do not claim causality or guaranteed response.</w:t>
      </w:r>
    </w:p>
    <w:p>
      <w:pPr>
        <w:pStyle w:val="Heading1"/>
      </w:pPr>
      <w:r>
        <w:t>11. Testing and failure pathways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Invalid/empty transcript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Reject with actionable message.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No marketing discussion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Return NO_CAMPAIGN_DETECTED; allow manual segment selection.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Missing budget/region/audience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Mark insufficient information; do not fabricate.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Local model unavailable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Use deterministic provider or block flexible roles; display backend state.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Role timeout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Persist completed roles and allow targeted retry.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Malformed model JSON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Retry once with schema reinforcement, then mark role failed.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No policy coverage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SPECIALIST_REVIEW; do not claim compliance.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Policy retrieval no match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Show coverage gap and cited search context.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Score/hard-gate conflict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Hard gate wins; log discrepancy.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Database write failure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Do not claim saved; provide export fallback.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Prompt injection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Ignore hostile instruction, flag security finding, continue bounded workflow or require review.</w:t>
            </w:r>
          </w:p>
        </w:tc>
      </w:tr>
    </w:tbl>
    <w:p>
      <w:pPr>
        <w:pStyle w:val="Heading2"/>
      </w:pPr>
      <w:r>
        <w:t>11.1 Test suites</w:t>
      </w:r>
    </w:p>
    <w:p>
      <w:pPr>
        <w:pStyle w:val="ListBullet"/>
      </w:pPr>
      <w:r>
        <w:t>Unit: VTT parser, campaign schema, formulas, rubrics, hard gates, policy filters.</w:t>
      </w:r>
    </w:p>
    <w:p>
      <w:pPr>
        <w:pStyle w:val="ListBullet"/>
      </w:pPr>
      <w:r>
        <w:t>Integration: transcript-to-campaign, policy-to-audit, all roles-to-scorecard, persistence and resume.</w:t>
      </w:r>
    </w:p>
    <w:p>
      <w:pPr>
        <w:pStyle w:val="ListBullet"/>
      </w:pPr>
      <w:r>
        <w:t>Benchmark: labelled synthetic scenarios and transcript segments.</w:t>
      </w:r>
    </w:p>
    <w:p>
      <w:pPr>
        <w:pStyle w:val="ListBullet"/>
      </w:pPr>
      <w:r>
        <w:t>Security: prompt injection, malicious files, path traversal and output-handling tests.</w:t>
      </w:r>
    </w:p>
    <w:p>
      <w:pPr>
        <w:pStyle w:val="ListBullet"/>
      </w:pPr>
      <w:r>
        <w:t>UI: progress, retry, correction, revision comparison, history and export.</w:t>
      </w:r>
    </w:p>
    <w:p>
      <w:pPr>
        <w:pStyle w:val="ListBullet"/>
      </w:pPr>
      <w:r>
        <w:t>Performance: model-load, per-role latency, peak RAM and long-transcript segmentation.</w:t>
      </w:r>
    </w:p>
    <w:p>
      <w:pPr>
        <w:pStyle w:val="Heading1"/>
      </w:pPr>
      <w:r>
        <w:t>12. Build, transfer and release criteria</w:t>
      </w:r>
    </w:p>
    <w:p>
      <w:pPr>
        <w:pStyle w:val="Heading2"/>
      </w:pPr>
      <w:r>
        <w:t>12.1 Development and transfer</w:t>
      </w:r>
    </w:p>
    <w:p>
      <w:pPr>
        <w:pStyle w:val="ListBullet"/>
      </w:pPr>
      <w:r>
        <w:t>Develop and test on the personal laptop with Antigravity, but review all formulas, prompts and tests manually.</w:t>
      </w:r>
    </w:p>
    <w:p>
      <w:pPr>
        <w:pStyle w:val="ListBullet"/>
      </w:pPr>
      <w:r>
        <w:t>Use a provider abstraction: OllamaProvider, DeterministicProvider and FutureCloudProvider.</w:t>
      </w:r>
    </w:p>
    <w:p>
      <w:pPr>
        <w:pStyle w:val="ListBullet"/>
      </w:pPr>
      <w:r>
        <w:t>Package source, policies, model configuration, sample transcripts, benchmark cases and startup scripts; do not copy venv.</w:t>
      </w:r>
    </w:p>
    <w:p>
      <w:pPr>
        <w:pStyle w:val="ListBullet"/>
      </w:pPr>
      <w:r>
        <w:t>Create a fresh work-laptop venv and install from a pinned work-laptop requirements file.</w:t>
      </w:r>
    </w:p>
    <w:p>
      <w:pPr>
        <w:pStyle w:val="ListBullet"/>
      </w:pPr>
      <w:r>
        <w:t>Run on 127.0.0.1:8502 with SQLite and relative paths.</w:t>
      </w:r>
    </w:p>
    <w:p>
      <w:pPr>
        <w:pStyle w:val="ListBullet"/>
      </w:pPr>
      <w:r>
        <w:t>Use sequential role execution and compact evidence packets to fit CPU/RAM constraints.</w:t>
      </w:r>
    </w:p>
    <w:p>
      <w:pPr>
        <w:pStyle w:val="Heading2"/>
      </w:pPr>
      <w:r>
        <w:t>12.2 Release criteria</w:t>
      </w:r>
    </w:p>
    <w:p>
      <w:pPr>
        <w:pStyle w:val="ListBullet"/>
      </w:pPr>
      <w:r>
        <w:t>VTT and text upload function.</w:t>
      </w:r>
    </w:p>
    <w:p>
      <w:pPr>
        <w:pStyle w:val="ListBullet"/>
      </w:pPr>
      <w:r>
        <w:t>Relevant segments and structured campaign extraction function.</w:t>
      </w:r>
    </w:p>
    <w:p>
      <w:pPr>
        <w:pStyle w:val="ListBullet"/>
      </w:pPr>
      <w:r>
        <w:t>User correction is persisted.</w:t>
      </w:r>
    </w:p>
    <w:p>
      <w:pPr>
        <w:pStyle w:val="ListBullet"/>
      </w:pPr>
      <w:r>
        <w:t>Three core roles and two extension roles complete or fail safely.</w:t>
      </w:r>
    </w:p>
    <w:p>
      <w:pPr>
        <w:pStyle w:val="ListBullet"/>
      </w:pPr>
      <w:r>
        <w:t>Policy retrieval and citations function.</w:t>
      </w:r>
    </w:p>
    <w:p>
      <w:pPr>
        <w:pStyle w:val="ListBullet"/>
      </w:pPr>
      <w:r>
        <w:t>Accountant calculations exactly match tests.</w:t>
      </w:r>
    </w:p>
    <w:p>
      <w:pPr>
        <w:pStyle w:val="ListBullet"/>
      </w:pPr>
      <w:r>
        <w:t>Hard gates override score.</w:t>
      </w:r>
    </w:p>
    <w:p>
      <w:pPr>
        <w:pStyle w:val="ListBullet"/>
      </w:pPr>
      <w:r>
        <w:t>Intermediary reruns relevant roles within iteration limit.</w:t>
      </w:r>
    </w:p>
    <w:p>
      <w:pPr>
        <w:pStyle w:val="ListBullet"/>
      </w:pPr>
      <w:r>
        <w:t>Human disposition is mandatory.</w:t>
      </w:r>
    </w:p>
    <w:p>
      <w:pPr>
        <w:pStyle w:val="ListBullet"/>
      </w:pPr>
      <w:r>
        <w:t>History, audit and export survive restart.</w:t>
      </w:r>
    </w:p>
    <w:p>
      <w:pPr>
        <w:pStyle w:val="ListBullet"/>
      </w:pPr>
      <w:r>
        <w:t>Benchmark and security cases run from Test Lab.</w:t>
      </w:r>
    </w:p>
    <w:p>
      <w:pPr>
        <w:pStyle w:val="ListBullet"/>
      </w:pPr>
      <w:r>
        <w:t>Active model/provider is visible.</w:t>
      </w:r>
    </w:p>
    <w:p>
      <w:pPr>
        <w:pStyle w:val="Heading2"/>
      </w:pPr>
      <w:r>
        <w:t>12.3 Reserved interfaces</w:t>
      </w:r>
    </w:p>
    <w:p>
      <w:pPr>
        <w:pStyle w:val="ListBullet"/>
      </w:pPr>
      <w:r>
        <w:t>Microsoft Graph transcript connector</w:t>
      </w:r>
    </w:p>
    <w:p>
      <w:pPr>
        <w:pStyle w:val="ListBullet"/>
      </w:pPr>
      <w:r>
        <w:t>Cloud model provider</w:t>
      </w:r>
    </w:p>
    <w:p>
      <w:pPr>
        <w:pStyle w:val="ListBullet"/>
      </w:pPr>
      <w:r>
        <w:t>Object storage and relational database provider</w:t>
      </w:r>
    </w:p>
    <w:p>
      <w:pPr>
        <w:pStyle w:val="ListBullet"/>
      </w:pPr>
      <w:r>
        <w:t>Enterprise identity provider</w:t>
      </w:r>
    </w:p>
    <w:p>
      <w:pPr>
        <w:pStyle w:val="ListBullet"/>
      </w:pPr>
      <w:r>
        <w:t>Live transcription/OCR provider</w:t>
      </w:r>
    </w:p>
    <w:p>
      <w:pPr>
        <w:pStyle w:val="ListBullet"/>
      </w:pPr>
      <w:r>
        <w:t>Policy connector and approval workflow</w:t>
      </w:r>
    </w:p>
    <w:p>
      <w:pPr>
        <w:pStyle w:val="ListBullet"/>
      </w:pPr>
      <w:r>
        <w:t>Campaign-execution handoff, disabled by default and always human-controlled</w:t>
      </w:r>
    </w:p>
    <w:p>
      <w:pPr>
        <w:pStyle w:val="Heading1"/>
      </w:pPr>
      <w:r>
        <w:t>References and external standards</w:t>
      </w:r>
    </w:p>
    <w:p>
      <w:r>
        <w:t>External references are provided for grounding, constraints and implementation guidance. Product-specific thresholds in this document remain configurable prototype decisions unless a reference explicitly defines them.</w:t>
      </w:r>
    </w:p>
    <w:p>
      <w:r>
        <w:rPr>
          <w:b/>
        </w:rPr>
        <w:t xml:space="preserve">[1] Microsoft Support: video transcripts and Teams recordings. </w:t>
      </w:r>
      <w:hyperlink r:id="rId11">
        <w:r>
          <w:rPr>
            <w:color w:val="0563C1"/>
            <w:u w:val="single"/>
          </w:rPr>
          <w:t>Source</w:t>
        </w:r>
      </w:hyperlink>
      <w:r>
        <w:t xml:space="preserve"> - Teams recording transcript context and storage.</w:t>
      </w:r>
    </w:p>
    <w:p>
      <w:r>
        <w:rPr>
          <w:b/>
        </w:rPr>
        <w:t xml:space="preserve">[2] Maven Marketing Campaign Results. </w:t>
      </w:r>
      <w:hyperlink r:id="rId12">
        <w:r>
          <w:rPr>
            <w:color w:val="0563C1"/>
            <w:u w:val="single"/>
          </w:rPr>
          <w:t>Source</w:t>
        </w:r>
      </w:hyperlink>
      <w:r>
        <w:t xml:space="preserve"> - Public-domain campaign/customer dataset description.</w:t>
      </w:r>
    </w:p>
    <w:p>
      <w:r>
        <w:rPr>
          <w:b/>
        </w:rPr>
        <w:t xml:space="preserve">[3] MeetingBank Dataset. </w:t>
      </w:r>
      <w:hyperlink r:id="rId13">
        <w:r>
          <w:rPr>
            <w:color w:val="0563C1"/>
            <w:u w:val="single"/>
          </w:rPr>
          <w:t>Source</w:t>
        </w:r>
      </w:hyperlink>
      <w:r>
        <w:t xml:space="preserve"> - Public meeting transcript and summarization benchmark.</w:t>
      </w:r>
    </w:p>
    <w:p>
      <w:r>
        <w:rPr>
          <w:b/>
        </w:rPr>
        <w:t xml:space="preserve">[4] FTC Advertising and Marketing Guidance. </w:t>
      </w:r>
      <w:hyperlink r:id="rId14">
        <w:r>
          <w:rPr>
            <w:color w:val="0563C1"/>
            <w:u w:val="single"/>
          </w:rPr>
          <w:t>Source</w:t>
        </w:r>
      </w:hyperlink>
      <w:r>
        <w:t xml:space="preserve"> - Truthfulness, deception, fairness and evidence requirements.</w:t>
      </w:r>
    </w:p>
    <w:p>
      <w:r>
        <w:rPr>
          <w:b/>
        </w:rPr>
        <w:t xml:space="preserve">[5] European Commission: Unfair Commercial Practices Directive. </w:t>
      </w:r>
      <w:hyperlink r:id="rId15">
        <w:r>
          <w:rPr>
            <w:color w:val="0563C1"/>
            <w:u w:val="single"/>
          </w:rPr>
          <w:t>Source</w:t>
        </w:r>
      </w:hyperlink>
      <w:r>
        <w:t xml:space="preserve"> - EU unfair business-to-consumer practices guidance.</w:t>
      </w:r>
    </w:p>
    <w:p>
      <w:r>
        <w:rPr>
          <w:b/>
        </w:rPr>
        <w:t xml:space="preserve">[6] NIST AI Risk Management Framework 1.0. </w:t>
      </w:r>
      <w:hyperlink r:id="rId16">
        <w:r>
          <w:rPr>
            <w:color w:val="0563C1"/>
            <w:u w:val="single"/>
          </w:rPr>
          <w:t>Source</w:t>
        </w:r>
      </w:hyperlink>
      <w:r>
        <w:t xml:space="preserve"> - Voluntary AI risk-management framework.</w:t>
      </w:r>
    </w:p>
    <w:p>
      <w:r>
        <w:rPr>
          <w:b/>
        </w:rPr>
        <w:t xml:space="preserve">[7] OWASP LLM01 Prompt Injection. </w:t>
      </w:r>
      <w:hyperlink r:id="rId17">
        <w:r>
          <w:rPr>
            <w:color w:val="0563C1"/>
            <w:u w:val="single"/>
          </w:rPr>
          <w:t>Source</w:t>
        </w:r>
      </w:hyperlink>
      <w:r>
        <w:t xml:space="preserve"> - Direct and indirect prompt-injection risk.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Enterprise Reference Specification | Internship Project |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F5A94"/>
        <w:sz w:val="16"/>
      </w:rPr>
      <w:t>MAGI CAMPAIGN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7C8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88" w:right="288"/>
    </w:pPr>
    <w:rPr>
      <w:rFonts w:ascii="Aptos" w:hAnsi="Aptos"/>
      <w:b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microsoft.com/en-us/clipchamp/stream-pages/view-edit-and-manage-video-transcripts-and-captions" TargetMode="External"/><Relationship Id="rId12" Type="http://schemas.openxmlformats.org/officeDocument/2006/relationships/hyperlink" Target="https://mavenanalytics.io/data-playground/marketing-campaign-results" TargetMode="External"/><Relationship Id="rId13" Type="http://schemas.openxmlformats.org/officeDocument/2006/relationships/hyperlink" Target="https://meetingbank.github.io/" TargetMode="External"/><Relationship Id="rId14" Type="http://schemas.openxmlformats.org/officeDocument/2006/relationships/hyperlink" Target="https://www.ftc.gov/business-guidance/advertising-marketing" TargetMode="External"/><Relationship Id="rId15" Type="http://schemas.openxmlformats.org/officeDocument/2006/relationships/hyperlink" Target="https://commission.europa.eu/law/law-topic/consumer-protection-law/unfair-commercial-practices-and-price-indication/unfair-commercial-practices-directive_en" TargetMode="External"/><Relationship Id="rId16" Type="http://schemas.openxmlformats.org/officeDocument/2006/relationships/hyperlink" Target="https://www.nist.gov/publications/artificial-intelligence-risk-management-framework-ai-rmf-10" TargetMode="External"/><Relationship Id="rId17" Type="http://schemas.openxmlformats.org/officeDocument/2006/relationships/hyperlink" Target="https://genai.owasp.org/llmrisk/llm01-prompt-inje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Adithyash BChandaralingam</dc:creator>
  <keywords/>
  <dc:description>generated by python-docx</dc:description>
  <lastModifiedBy>Adithyash BChandaralingam</lastModifiedBy>
  <revision>1</revision>
  <dcterms:created xsi:type="dcterms:W3CDTF">2026-10-08T04:49:54.0431482Z</dcterms:created>
  <dcterms:modified xsi:type="dcterms:W3CDTF">2026-10-08T04:49:54.0431482Z</dcterms:modified>
  <category/>
</coreProperties>
</file>