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MULTI-AGENT MARKETING</w:t>
        <w:br/>
        <w:t>CAMPAIGN GOVERNANCE ENGINE</w:t>
      </w:r>
    </w:p>
    <w:p>
      <w:pPr>
        <w:jc w:val="center"/>
      </w:pPr>
      <w:r>
        <w:rPr>
          <w:b/>
          <w:color w:val="E86A33"/>
        </w:rPr>
        <w:t>PROJECT BIBLE • AUTHORITATIVE BUILD BRIEF • REVIEW-FOCUSED MCP</w:t>
      </w:r>
    </w:p>
    <w:p>
      <w:pPr>
        <w:jc w:val="center"/>
      </w:pPr>
      <w:r>
        <w:t>A single handoff document for a developer, LLM, coding agent, reviewer, or future maintainer.</w:t>
      </w:r>
    </w:p>
    <w:p>
      <w:pPr>
        <w:jc w:val="center"/>
      </w:pPr>
      <w:r>
        <w:t>Status: consolidates the original v2 specification and all project decisions made through the current design discussion. Later explicit change requests override this document.</w:t>
      </w:r>
    </w:p>
    <w:p>
      <w:pPr>
        <w:pStyle w:val="Heading1"/>
      </w:pPr>
      <w:r>
        <w:t>1. Executive intent</w:t>
      </w:r>
    </w:p>
    <w:p>
      <w:r>
        <w:t>Build a local-first, two-laptop, council-based marketing governance application. A user uploads a meeting transcript, brief, evidence, or enters a marketing idea/question. The system extracts a structured campaign proposal, asks for essential missing information, sends the proposal through a bounded specialist-agent council, applies deterministic governance controls, produces evidence-linked natural-language findings, and requires a human disposition.</w:t>
      </w:r>
    </w:p>
    <w:p>
      <w:r>
        <w:t>This is not a campaign execution bot and not a generic multi-agent chat application. It is a decision-support and governance product. The model can analyze and recommend. The system can gate. A human decides.</w:t>
      </w:r>
    </w:p>
    <w:p>
      <w:pPr>
        <w:pStyle w:val="Heading1"/>
      </w:pPr>
      <w:r>
        <w:t>2. Immutable central path</w:t>
      </w:r>
    </w:p>
    <w:p>
      <w:pPr>
        <w:ind w:left="360" w:right="360"/>
      </w:pPr>
      <w:r>
        <w:rPr>
          <w:rFonts w:ascii="Cascadia Mono" w:hAnsi="Cascadia Mono"/>
          <w:color w:val="17202A"/>
          <w:sz w:val="16"/>
        </w:rPr>
        <w:t>ENTER COUNCIL CONSOLE</w:t>
        <w:br/>
        <w:t xml:space="preserve">  -&gt; Upload transcript / brief / evidence OR enter idea/question</w:t>
        <w:br/>
        <w:t xml:space="preserve">  -&gt; Parse and isolate marketing/company-relevant evidence</w:t>
        <w:br/>
        <w:t xml:space="preserve">  -&gt; Extract structured campaign</w:t>
        <w:br/>
        <w:t xml:space="preserve">  -&gt; Sufficiency gate</w:t>
        <w:br/>
        <w:t xml:space="preserve">       -&gt; if insufficient: ask only for missing essentials</w:t>
        <w:br/>
        <w:t xml:space="preserve">       -&gt; if sufficient: continue</w:t>
        <w:br/>
        <w:t xml:space="preserve">  -&gt; Independent specialist round</w:t>
        <w:br/>
        <w:t xml:space="preserve">  -&gt; Bounded council reflection / challenge round</w:t>
        <w:br/>
        <w:t xml:space="preserve">  -&gt; Intermediary synthesis</w:t>
        <w:br/>
        <w:t xml:space="preserve">  -&gt; Deterministic hard gates + scorecard</w:t>
        <w:br/>
        <w:t xml:space="preserve">  -&gt; Natural-language evidence-backed report</w:t>
        <w:br/>
        <w:t xml:space="preserve">  -&gt; Human disposition</w:t>
        <w:br/>
        <w:t xml:space="preserve">  -&gt; Persist evaluation, agent outputs, events and decision</w:t>
      </w:r>
    </w:p>
    <w:p>
      <w:r>
        <w:t>North Star: A reviewer must be able to observe that a proposal entered the system, specialists examined it, specialists reacted to relevant peer findings, governance rules remained authoritative, evidence remained visible, and a human made the final decision.</w:t>
      </w:r>
    </w:p>
    <w:p>
      <w:pPr>
        <w:pStyle w:val="Heading1"/>
      </w:pPr>
      <w:r>
        <w:t>3. Product boundaries</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r>
              <w:rPr>
                <w:b/>
                <w:color w:val="FFFFFF"/>
                <w:sz w:val="17"/>
              </w:rPr>
              <w:t>The system does</w:t>
            </w:r>
          </w:p>
        </w:tc>
        <w:tc>
          <w:tcPr>
            <w:tcW w:type="dxa" w:w="5040"/>
            <w:shd w:fill="17324D"/>
            <w:vAlign w:val="center"/>
          </w:tcPr>
          <w:p>
            <w:r>
              <w:rPr>
                <w:b/>
                <w:color w:val="FFFFFF"/>
                <w:sz w:val="17"/>
              </w:rPr>
              <w:t>The system does not</w:t>
            </w:r>
          </w:p>
        </w:tc>
      </w:tr>
      <w:tr>
        <w:tc>
          <w:tcPr>
            <w:tcW w:type="dxa" w:w="5040"/>
            <w:vAlign w:val="center"/>
          </w:tcPr>
          <w:p>
            <w:r>
              <w:rPr>
                <w:sz w:val="16"/>
              </w:rPr>
              <w:t>Evaluate objectives, audience/channel fit, financial viability, evidence, message clarity, policy coverage and readiness.</w:t>
            </w:r>
          </w:p>
        </w:tc>
        <w:tc>
          <w:tcPr>
            <w:tcW w:type="dxa" w:w="5040"/>
            <w:vAlign w:val="center"/>
          </w:tcPr>
          <w:p>
            <w:r>
              <w:rPr>
                <w:sz w:val="16"/>
              </w:rPr>
              <w:t>Autonomously approve, publish, spend budget, or execute campaigns.</w:t>
            </w:r>
          </w:p>
        </w:tc>
      </w:tr>
      <w:tr>
        <w:tc>
          <w:tcPr>
            <w:tcW w:type="dxa" w:w="5040"/>
            <w:vAlign w:val="center"/>
            <w:shd w:fill="F3F6F8"/>
          </w:tcPr>
          <w:p>
            <w:r>
              <w:rPr>
                <w:sz w:val="16"/>
              </w:rPr>
              <w:t>Use authorized transcripts, briefs, submitted evidence, activated policy sources and approved historical aggregates.</w:t>
            </w:r>
          </w:p>
        </w:tc>
        <w:tc>
          <w:tcPr>
            <w:tcW w:type="dxa" w:w="5040"/>
            <w:vAlign w:val="center"/>
            <w:shd w:fill="F3F6F8"/>
          </w:tcPr>
          <w:p>
            <w:r>
              <w:rPr>
                <w:sz w:val="16"/>
              </w:rPr>
              <w:t>Monitor employees, rank participants, infer protected characteristics, or score individual sentiment.</w:t>
            </w:r>
          </w:p>
        </w:tc>
      </w:tr>
      <w:tr>
        <w:tc>
          <w:tcPr>
            <w:tcW w:type="dxa" w:w="5040"/>
            <w:vAlign w:val="center"/>
          </w:tcPr>
          <w:p>
            <w:r>
              <w:rPr>
                <w:sz w:val="16"/>
              </w:rPr>
              <w:t>Produce recommendations, revisions, citations, calculations and a governance state.</w:t>
            </w:r>
          </w:p>
        </w:tc>
        <w:tc>
          <w:tcPr>
            <w:tcW w:type="dxa" w:w="5040"/>
            <w:vAlign w:val="center"/>
          </w:tcPr>
          <w:p>
            <w:r>
              <w:rPr>
                <w:sz w:val="16"/>
              </w:rPr>
              <w:t>Provide legal certification or guarantee campaign success.</w:t>
            </w:r>
          </w:p>
        </w:tc>
      </w:tr>
      <w:tr>
        <w:tc>
          <w:tcPr>
            <w:tcW w:type="dxa" w:w="5040"/>
            <w:vAlign w:val="center"/>
            <w:shd w:fill="F3F6F8"/>
          </w:tcPr>
          <w:p>
            <w:r>
              <w:rPr>
                <w:sz w:val="16"/>
              </w:rPr>
              <w:t>Expose concise rationale, evidence, structured handoffs and council responses.</w:t>
            </w:r>
          </w:p>
        </w:tc>
        <w:tc>
          <w:tcPr>
            <w:tcW w:type="dxa" w:w="5040"/>
            <w:vAlign w:val="center"/>
            <w:shd w:fill="F3F6F8"/>
          </w:tcPr>
          <w:p>
            <w:r>
              <w:rPr>
                <w:sz w:val="16"/>
              </w:rPr>
              <w:t>Expose hidden chain-of-thought.</w:t>
            </w:r>
          </w:p>
        </w:tc>
      </w:tr>
    </w:tbl>
    <w:p/>
    <w:p>
      <w:pPr>
        <w:pStyle w:val="Heading1"/>
      </w:pPr>
      <w:r>
        <w:t>4. Users and primary workflow</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r>
              <w:rPr>
                <w:b/>
                <w:color w:val="FFFFFF"/>
                <w:sz w:val="17"/>
              </w:rPr>
              <w:t>Role</w:t>
            </w:r>
          </w:p>
        </w:tc>
        <w:tc>
          <w:tcPr>
            <w:tcW w:type="dxa" w:w="5040"/>
            <w:shd w:fill="17324D"/>
            <w:vAlign w:val="center"/>
          </w:tcPr>
          <w:p>
            <w:r>
              <w:rPr>
                <w:b/>
                <w:color w:val="FFFFFF"/>
                <w:sz w:val="17"/>
              </w:rPr>
              <w:t>Primary actions</w:t>
            </w:r>
          </w:p>
        </w:tc>
      </w:tr>
      <w:tr>
        <w:tc>
          <w:tcPr>
            <w:tcW w:type="dxa" w:w="5040"/>
            <w:vAlign w:val="center"/>
          </w:tcPr>
          <w:p>
            <w:r>
              <w:rPr>
                <w:sz w:val="16"/>
              </w:rPr>
              <w:t>Campaign analyst</w:t>
            </w:r>
          </w:p>
        </w:tc>
        <w:tc>
          <w:tcPr>
            <w:tcW w:type="dxa" w:w="5040"/>
            <w:vAlign w:val="center"/>
          </w:tcPr>
          <w:p>
            <w:r>
              <w:rPr>
                <w:sz w:val="16"/>
              </w:rPr>
              <w:t>Upload evidence, review extraction, answer missing-information prompts, run council, propose correction.</w:t>
            </w:r>
          </w:p>
        </w:tc>
      </w:tr>
      <w:tr>
        <w:tc>
          <w:tcPr>
            <w:tcW w:type="dxa" w:w="5040"/>
            <w:vAlign w:val="center"/>
            <w:shd w:fill="F3F6F8"/>
          </w:tcPr>
          <w:p>
            <w:r>
              <w:rPr>
                <w:sz w:val="16"/>
              </w:rPr>
              <w:t>Marketing reviewer</w:t>
            </w:r>
          </w:p>
        </w:tc>
        <w:tc>
          <w:tcPr>
            <w:tcW w:type="dxa" w:w="5040"/>
            <w:vAlign w:val="center"/>
            <w:shd w:fill="F3F6F8"/>
          </w:tcPr>
          <w:p>
            <w:r>
              <w:rPr>
                <w:sz w:val="16"/>
              </w:rPr>
              <w:t>Inspect evidence, council conclusions and scorecard; record disposition.</w:t>
            </w:r>
          </w:p>
        </w:tc>
      </w:tr>
      <w:tr>
        <w:tc>
          <w:tcPr>
            <w:tcW w:type="dxa" w:w="5040"/>
            <w:vAlign w:val="center"/>
          </w:tcPr>
          <w:p>
            <w:r>
              <w:rPr>
                <w:sz w:val="16"/>
              </w:rPr>
              <w:t>Policy curator</w:t>
            </w:r>
          </w:p>
        </w:tc>
        <w:tc>
          <w:tcPr>
            <w:tcW w:type="dxa" w:w="5040"/>
            <w:vAlign w:val="center"/>
          </w:tcPr>
          <w:p>
            <w:r>
              <w:rPr>
                <w:sz w:val="16"/>
              </w:rPr>
              <w:t>Import/review policy material and retrieval behavior.</w:t>
            </w:r>
          </w:p>
        </w:tc>
      </w:tr>
      <w:tr>
        <w:tc>
          <w:tcPr>
            <w:tcW w:type="dxa" w:w="5040"/>
            <w:vAlign w:val="center"/>
            <w:shd w:fill="F3F6F8"/>
          </w:tcPr>
          <w:p>
            <w:r>
              <w:rPr>
                <w:sz w:val="16"/>
              </w:rPr>
              <w:t>Administrator</w:t>
            </w:r>
          </w:p>
        </w:tc>
        <w:tc>
          <w:tcPr>
            <w:tcW w:type="dxa" w:w="5040"/>
            <w:vAlign w:val="center"/>
            <w:shd w:fill="F3F6F8"/>
          </w:tcPr>
          <w:p>
            <w:r>
              <w:rPr>
                <w:sz w:val="16"/>
              </w:rPr>
              <w:t>Manage provider, runtime and future benchmark settings.</w:t>
            </w:r>
          </w:p>
        </w:tc>
      </w:tr>
      <w:tr>
        <w:tc>
          <w:tcPr>
            <w:tcW w:type="dxa" w:w="5040"/>
            <w:vAlign w:val="center"/>
          </w:tcPr>
          <w:p>
            <w:r>
              <w:rPr>
                <w:sz w:val="16"/>
              </w:rPr>
              <w:t>Auditor</w:t>
            </w:r>
          </w:p>
        </w:tc>
        <w:tc>
          <w:tcPr>
            <w:tcW w:type="dxa" w:w="5040"/>
            <w:vAlign w:val="center"/>
          </w:tcPr>
          <w:p>
            <w:r>
              <w:rPr>
                <w:sz w:val="16"/>
              </w:rPr>
              <w:t>Read evaluation history, findings and decisions.</w:t>
            </w:r>
          </w:p>
        </w:tc>
      </w:tr>
    </w:tbl>
    <w:p/>
    <w:p>
      <w:pPr>
        <w:pStyle w:val="Heading1"/>
      </w:pPr>
      <w:r>
        <w:t>5. Council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24D"/>
            <w:vAlign w:val="center"/>
          </w:tcPr>
          <w:p>
            <w:r>
              <w:rPr>
                <w:b/>
                <w:color w:val="FFFFFF"/>
                <w:sz w:val="17"/>
              </w:rPr>
              <w:t>Agent</w:t>
            </w:r>
          </w:p>
        </w:tc>
        <w:tc>
          <w:tcPr>
            <w:tcW w:type="dxa" w:w="3360"/>
            <w:shd w:fill="17324D"/>
            <w:vAlign w:val="center"/>
          </w:tcPr>
          <w:p>
            <w:r>
              <w:rPr>
                <w:b/>
                <w:color w:val="FFFFFF"/>
                <w:sz w:val="17"/>
              </w:rPr>
              <w:t>Responsibility</w:t>
            </w:r>
          </w:p>
        </w:tc>
        <w:tc>
          <w:tcPr>
            <w:tcW w:type="dxa" w:w="3360"/>
            <w:shd w:fill="17324D"/>
            <w:vAlign w:val="center"/>
          </w:tcPr>
          <w:p>
            <w:r>
              <w:rPr>
                <w:b/>
                <w:color w:val="FFFFFF"/>
                <w:sz w:val="17"/>
              </w:rPr>
              <w:t>Authority boundary</w:t>
            </w:r>
          </w:p>
        </w:tc>
      </w:tr>
      <w:tr>
        <w:tc>
          <w:tcPr>
            <w:tcW w:type="dxa" w:w="3360"/>
            <w:vAlign w:val="center"/>
          </w:tcPr>
          <w:p>
            <w:r>
              <w:rPr>
                <w:sz w:val="16"/>
              </w:rPr>
              <w:t>Growth</w:t>
            </w:r>
          </w:p>
        </w:tc>
        <w:tc>
          <w:tcPr>
            <w:tcW w:type="dxa" w:w="3360"/>
            <w:vAlign w:val="center"/>
          </w:tcPr>
          <w:p>
            <w:r>
              <w:rPr>
                <w:sz w:val="16"/>
              </w:rPr>
              <w:t>Objective clarity, opportunity, audience/channel fit, measurable outcomes, unsupported growth assumptions.</w:t>
            </w:r>
          </w:p>
        </w:tc>
        <w:tc>
          <w:tcPr>
            <w:tcW w:type="dxa" w:w="3360"/>
            <w:vAlign w:val="center"/>
          </w:tcPr>
          <w:p>
            <w:r>
              <w:rPr>
                <w:sz w:val="16"/>
              </w:rPr>
              <w:t>Cannot determine compliance or approve.</w:t>
            </w:r>
          </w:p>
        </w:tc>
      </w:tr>
      <w:tr>
        <w:tc>
          <w:tcPr>
            <w:tcW w:type="dxa" w:w="3360"/>
            <w:vAlign w:val="center"/>
            <w:shd w:fill="F3F6F8"/>
          </w:tcPr>
          <w:p>
            <w:r>
              <w:rPr>
                <w:sz w:val="16"/>
              </w:rPr>
              <w:t>Audit</w:t>
            </w:r>
          </w:p>
        </w:tc>
        <w:tc>
          <w:tcPr>
            <w:tcW w:type="dxa" w:w="3360"/>
            <w:vAlign w:val="center"/>
            <w:shd w:fill="F3F6F8"/>
          </w:tcPr>
          <w:p>
            <w:r>
              <w:rPr>
                <w:sz w:val="16"/>
              </w:rPr>
              <w:t>Policy-grounded findings, claims, disclosures, severity, evidence and required action.</w:t>
            </w:r>
          </w:p>
        </w:tc>
        <w:tc>
          <w:tcPr>
            <w:tcW w:type="dxa" w:w="3360"/>
            <w:vAlign w:val="center"/>
            <w:shd w:fill="F3F6F8"/>
          </w:tcPr>
          <w:p>
            <w:r>
              <w:rPr>
                <w:sz w:val="16"/>
              </w:rPr>
              <w:t>No legal certification; missing policy coverage escalates.</w:t>
            </w:r>
          </w:p>
        </w:tc>
      </w:tr>
      <w:tr>
        <w:tc>
          <w:tcPr>
            <w:tcW w:type="dxa" w:w="3360"/>
            <w:vAlign w:val="center"/>
          </w:tcPr>
          <w:p>
            <w:r>
              <w:rPr>
                <w:sz w:val="16"/>
              </w:rPr>
              <w:t>Accountant / Finance</w:t>
            </w:r>
          </w:p>
        </w:tc>
        <w:tc>
          <w:tcPr>
            <w:tcW w:type="dxa" w:w="3360"/>
            <w:vAlign w:val="center"/>
          </w:tcPr>
          <w:p>
            <w:r>
              <w:rPr>
                <w:sz w:val="16"/>
              </w:rPr>
              <w:t>Explain authoritative budget variance, contingency cost, conservative revenue, ROI and margin calculations.</w:t>
            </w:r>
          </w:p>
        </w:tc>
        <w:tc>
          <w:tcPr>
            <w:tcW w:type="dxa" w:w="3360"/>
            <w:vAlign w:val="center"/>
          </w:tcPr>
          <w:p>
            <w:r>
              <w:rPr>
                <w:sz w:val="16"/>
              </w:rPr>
              <w:t>Does not replace deterministic Python calculations.</w:t>
            </w:r>
          </w:p>
        </w:tc>
      </w:tr>
      <w:tr>
        <w:tc>
          <w:tcPr>
            <w:tcW w:type="dxa" w:w="3360"/>
            <w:vAlign w:val="center"/>
            <w:shd w:fill="F3F6F8"/>
          </w:tcPr>
          <w:p>
            <w:r>
              <w:rPr>
                <w:sz w:val="16"/>
              </w:rPr>
              <w:t>Audience</w:t>
            </w:r>
          </w:p>
        </w:tc>
        <w:tc>
          <w:tcPr>
            <w:tcW w:type="dxa" w:w="3360"/>
            <w:vAlign w:val="center"/>
            <w:shd w:fill="F3F6F8"/>
          </w:tcPr>
          <w:p>
            <w:r>
              <w:rPr>
                <w:sz w:val="16"/>
              </w:rPr>
              <w:t>Message clarity, ambiguity, likely interpretations and wording risks for the supplied audience profile.</w:t>
            </w:r>
          </w:p>
        </w:tc>
        <w:tc>
          <w:tcPr>
            <w:tcW w:type="dxa" w:w="3360"/>
            <w:vAlign w:val="center"/>
            <w:shd w:fill="F3F6F8"/>
          </w:tcPr>
          <w:p>
            <w:r>
              <w:rPr>
                <w:sz w:val="16"/>
              </w:rPr>
              <w:t>Does not claim to represent real customers or predict individuals.</w:t>
            </w:r>
          </w:p>
        </w:tc>
      </w:tr>
      <w:tr>
        <w:tc>
          <w:tcPr>
            <w:tcW w:type="dxa" w:w="3360"/>
            <w:vAlign w:val="center"/>
          </w:tcPr>
          <w:p>
            <w:r>
              <w:rPr>
                <w:sz w:val="16"/>
              </w:rPr>
              <w:t>Intermediary</w:t>
            </w:r>
          </w:p>
        </w:tc>
        <w:tc>
          <w:tcPr>
            <w:tcW w:type="dxa" w:w="3360"/>
            <w:vAlign w:val="center"/>
          </w:tcPr>
          <w:p>
            <w:r>
              <w:rPr>
                <w:sz w:val="16"/>
              </w:rPr>
              <w:t>Consolidate validated outputs, preserve hard gates, identify conflicts, propose bounded revisions and roles to rerun.</w:t>
            </w:r>
          </w:p>
        </w:tc>
        <w:tc>
          <w:tcPr>
            <w:tcW w:type="dxa" w:w="3360"/>
            <w:vAlign w:val="center"/>
          </w:tcPr>
          <w:p>
            <w:r>
              <w:rPr>
                <w:sz w:val="16"/>
              </w:rPr>
              <w:t>Cannot approve or delete authoritative gates.</w:t>
            </w:r>
          </w:p>
        </w:tc>
      </w:tr>
    </w:tbl>
    <w:p/>
    <w:p>
      <w:pPr>
        <w:pStyle w:val="Heading2"/>
      </w:pPr>
      <w:r>
        <w:t>5.1 Bounded council protocol</w:t>
      </w:r>
    </w:p>
    <w:p>
      <w:pPr>
        <w:pStyle w:val="ListNumber"/>
      </w:pPr>
      <w:r>
        <w:t>Round 1: Growth, Audit, Finance and Audience produce independent structured assessments.</w:t>
      </w:r>
    </w:p>
    <w:p>
      <w:pPr>
        <w:pStyle w:val="ListNumber"/>
      </w:pPr>
      <w:r>
        <w:t>Council digest: the orchestrator gives each relevant specialist concise peer findings, not unrestricted chat logs or the full transcript again.</w:t>
      </w:r>
    </w:p>
    <w:p>
      <w:pPr>
        <w:pStyle w:val="ListNumber"/>
      </w:pPr>
      <w:r>
        <w:t>Round 2: a specialist may concur, challenge, qualify or revise its position. The response must cite the issue being addressed.</w:t>
      </w:r>
    </w:p>
    <w:p>
      <w:pPr>
        <w:pStyle w:val="ListNumber"/>
      </w:pPr>
      <w:r>
        <w:t>The Intermediary receives validated first-round outputs plus bounded council responses and produces the consolidated position.</w:t>
      </w:r>
    </w:p>
    <w:p>
      <w:pPr>
        <w:pStyle w:val="ListNumber"/>
      </w:pPr>
      <w:r>
        <w:t>Deterministic hard gates run outside model authority. A positive opinion cannot erase a compliance, hard-budget, missing-essential-information, missing-policy-coverage or unsupported-material-claim gate.</w:t>
      </w:r>
    </w:p>
    <w:p>
      <w:pPr>
        <w:pStyle w:val="ListNumber"/>
      </w:pPr>
      <w:r>
        <w:t>The human reviewer records the final disposition.</w:t>
      </w:r>
    </w:p>
    <w:p>
      <w:r>
        <w:t>There are no free-form infinite debates. Round count is bounded. This controls latency, context size, reproducibility and review clarity while preserving genuine inter-agent awareness.</w:t>
      </w:r>
    </w:p>
    <w:p>
      <w:pPr>
        <w:pStyle w:val="Heading1"/>
      </w:pPr>
      <w:r>
        <w:t>6. Orchestration and model strategy</w:t>
      </w:r>
    </w:p>
    <w:p>
      <w:pPr>
        <w:pStyle w:val="ListBullet"/>
      </w:pPr>
      <w:r>
        <w:t>Use LangGraph lightly as the workflow/orchestration and state-transition layer. Do not use it as an autonomous thinking engine.</w:t>
      </w:r>
    </w:p>
    <w:p>
      <w:pPr>
        <w:pStyle w:val="ListBullet"/>
      </w:pPr>
      <w:r>
        <w:t>Preferred graph: START -&gt; extraction -&gt; sufficiency gate -&gt; independent specialist nodes -&gt; council digest/reflection -&gt; Intermediary -&gt; deterministic governance -&gt; results -&gt; human disposition -&gt; END.</w:t>
      </w:r>
    </w:p>
    <w:p>
      <w:pPr>
        <w:pStyle w:val="ListBullet"/>
      </w:pPr>
      <w:r>
        <w:t>Run one local model service through Ollama. Do not load one model instance per agent.</w:t>
      </w:r>
    </w:p>
    <w:p>
      <w:pPr>
        <w:pStyle w:val="ListBullet"/>
      </w:pPr>
      <w:r>
        <w:t>Primary review model target: Qwen 2.5 3B in a Q4_K_M quantization, because the user has confirmed the personal laptop can run it and speed is prioritized.</w:t>
      </w:r>
    </w:p>
    <w:p>
      <w:pPr>
        <w:pStyle w:val="ListBullet"/>
      </w:pPr>
      <w:r>
        <w:t>Keep ModelProvider as an interface so Llama 3.2 3B, Phi-4 mini, Mistral 7B v0.3 or Qwen 2.5 7B can be evaluated later without rewriting agents.</w:t>
      </w:r>
    </w:p>
    <w:p>
      <w:pPr>
        <w:pStyle w:val="ListBullet"/>
      </w:pPr>
      <w:r>
        <w:t>Validate model outputs against strict Pydantic schemas. Retry malformed structured output once, then fail visibly and preserve state.</w:t>
      </w:r>
    </w:p>
    <w:p>
      <w:pPr>
        <w:pStyle w:val="ListBullet"/>
      </w:pPr>
      <w:r>
        <w:t>Use compact evidence packets and compact peer digests. Avoid resending the full transcript to every agent.</w:t>
      </w:r>
    </w:p>
    <w:p>
      <w:pPr>
        <w:pStyle w:val="Heading1"/>
      </w:pPr>
      <w:r>
        <w:t>7. Two-laptop deployment</w:t>
      </w:r>
    </w:p>
    <w:p>
      <w:pPr>
        <w:ind w:left="360" w:right="360"/>
      </w:pPr>
      <w:r>
        <w:rPr>
          <w:rFonts w:ascii="Cascadia Mono" w:hAnsi="Cascadia Mono"/>
          <w:color w:val="17202A"/>
          <w:sz w:val="16"/>
        </w:rPr>
        <w:t>WORK LAPTOP / CLIENT</w:t>
        <w:br/>
        <w:t>Browser only</w:t>
        <w:br/>
        <w:t xml:space="preserve">       | approved private Wi-Fi / hotspot</w:t>
        <w:br/>
        <w:t xml:space="preserve">       v</w:t>
        <w:br/>
        <w:t>PERSONAL LAPTOP / SERVER</w:t>
        <w:br/>
        <w:t>FastAPI + React static build</w:t>
        <w:br/>
        <w:t>LangGraph orchestrator</w:t>
        <w:br/>
        <w:t>Ollama local model</w:t>
        <w:br/>
        <w:t>Policy retrieval</w:t>
        <w:br/>
        <w:t>Deterministic finance/scoring</w:t>
        <w:br/>
        <w:t>SQLite + local files</w:t>
        <w:br/>
        <w:t>Event stream + audit history</w:t>
      </w:r>
    </w:p>
    <w:p>
      <w:pPr>
        <w:pStyle w:val="ListBullet"/>
      </w:pPr>
      <w:r>
        <w:t>Personal laptop is authoritative for model files, transcripts, policies, database and evaluation state.</w:t>
      </w:r>
    </w:p>
    <w:p>
      <w:pPr>
        <w:pStyle w:val="ListBullet"/>
      </w:pPr>
      <w:r>
        <w:t>Work laptop is a browser client. It displays temporary UI state and evaluation identifiers only.</w:t>
      </w:r>
    </w:p>
    <w:p>
      <w:pPr>
        <w:pStyle w:val="ListBullet"/>
      </w:pPr>
      <w:r>
        <w:t>FastAPI serves frontend and API from the same origin for the first release.</w:t>
      </w:r>
    </w:p>
    <w:p>
      <w:pPr>
        <w:pStyle w:val="ListBullet"/>
      </w:pPr>
      <w:r>
        <w:t>Bind to 0.0.0.0 only for the approved private demonstration network. Do not expose the server to the public internet.</w:t>
      </w:r>
    </w:p>
    <w:p>
      <w:pPr>
        <w:pStyle w:val="ListBullet"/>
      </w:pPr>
      <w:r>
        <w:t>Reconnect behavior must at least restore persisted evaluation state and last completed stage.</w:t>
      </w:r>
    </w:p>
    <w:p>
      <w:pPr>
        <w:pStyle w:val="Heading1"/>
      </w:pPr>
      <w:r>
        <w:t>8. Application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24D"/>
            <w:vAlign w:val="center"/>
          </w:tcPr>
          <w:p>
            <w:r>
              <w:rPr>
                <w:b/>
                <w:color w:val="FFFFFF"/>
                <w:sz w:val="17"/>
              </w:rPr>
              <w:t>Area</w:t>
            </w:r>
          </w:p>
        </w:tc>
        <w:tc>
          <w:tcPr>
            <w:tcW w:type="dxa" w:w="3360"/>
            <w:shd w:fill="17324D"/>
            <w:vAlign w:val="center"/>
          </w:tcPr>
          <w:p>
            <w:r>
              <w:rPr>
                <w:b/>
                <w:color w:val="FFFFFF"/>
                <w:sz w:val="17"/>
              </w:rPr>
              <w:t>Chosen implementation</w:t>
            </w:r>
          </w:p>
        </w:tc>
        <w:tc>
          <w:tcPr>
            <w:tcW w:type="dxa" w:w="3360"/>
            <w:shd w:fill="17324D"/>
            <w:vAlign w:val="center"/>
          </w:tcPr>
          <w:p>
            <w:r>
              <w:rPr>
                <w:b/>
                <w:color w:val="FFFFFF"/>
                <w:sz w:val="17"/>
              </w:rPr>
              <w:t>Extension socket</w:t>
            </w:r>
          </w:p>
        </w:tc>
      </w:tr>
      <w:tr>
        <w:tc>
          <w:tcPr>
            <w:tcW w:type="dxa" w:w="3360"/>
            <w:vAlign w:val="center"/>
          </w:tcPr>
          <w:p>
            <w:r>
              <w:rPr>
                <w:sz w:val="16"/>
              </w:rPr>
              <w:t>Client</w:t>
            </w:r>
          </w:p>
        </w:tc>
        <w:tc>
          <w:tcPr>
            <w:tcW w:type="dxa" w:w="3360"/>
            <w:vAlign w:val="center"/>
          </w:tcPr>
          <w:p>
            <w:r>
              <w:rPr>
                <w:sz w:val="16"/>
              </w:rPr>
              <w:t>React + TypeScript + Vite</w:t>
            </w:r>
          </w:p>
        </w:tc>
        <w:tc>
          <w:tcPr>
            <w:tcW w:type="dxa" w:w="3360"/>
            <w:vAlign w:val="center"/>
          </w:tcPr>
          <w:p>
            <w:r>
              <w:rPr>
                <w:sz w:val="16"/>
              </w:rPr>
              <w:t>Keep components independent of backend storage.</w:t>
            </w:r>
          </w:p>
        </w:tc>
      </w:tr>
      <w:tr>
        <w:tc>
          <w:tcPr>
            <w:tcW w:type="dxa" w:w="3360"/>
            <w:vAlign w:val="center"/>
            <w:shd w:fill="F3F6F8"/>
          </w:tcPr>
          <w:p>
            <w:r>
              <w:rPr>
                <w:sz w:val="16"/>
              </w:rPr>
              <w:t>Styling</w:t>
            </w:r>
          </w:p>
        </w:tc>
        <w:tc>
          <w:tcPr>
            <w:tcW w:type="dxa" w:w="3360"/>
            <w:vAlign w:val="center"/>
            <w:shd w:fill="F3F6F8"/>
          </w:tcPr>
          <w:p>
            <w:r>
              <w:rPr>
                <w:sz w:val="16"/>
              </w:rPr>
              <w:t>Purpose-built CSS/design tokens; utility CSS only if it does not dilute visual language</w:t>
            </w:r>
          </w:p>
        </w:tc>
        <w:tc>
          <w:tcPr>
            <w:tcW w:type="dxa" w:w="3360"/>
            <w:vAlign w:val="center"/>
            <w:shd w:fill="F3F6F8"/>
          </w:tcPr>
          <w:p>
            <w:r>
              <w:rPr>
                <w:sz w:val="16"/>
              </w:rPr>
              <w:t>Reusable theme tokens.</w:t>
            </w:r>
          </w:p>
        </w:tc>
      </w:tr>
      <w:tr>
        <w:tc>
          <w:tcPr>
            <w:tcW w:type="dxa" w:w="3360"/>
            <w:vAlign w:val="center"/>
          </w:tcPr>
          <w:p>
            <w:r>
              <w:rPr>
                <w:sz w:val="16"/>
              </w:rPr>
              <w:t>Motion</w:t>
            </w:r>
          </w:p>
        </w:tc>
        <w:tc>
          <w:tcPr>
            <w:tcW w:type="dxa" w:w="3360"/>
            <w:vAlign w:val="center"/>
          </w:tcPr>
          <w:p>
            <w:r>
              <w:rPr>
                <w:sz w:val="16"/>
              </w:rPr>
              <w:t>CSS + SVG; optional small React motion utility where useful</w:t>
            </w:r>
          </w:p>
        </w:tc>
        <w:tc>
          <w:tcPr>
            <w:tcW w:type="dxa" w:w="3360"/>
            <w:vAlign w:val="center"/>
          </w:tcPr>
          <w:p>
            <w:r>
              <w:rPr>
                <w:sz w:val="16"/>
              </w:rPr>
              <w:t>Reduced-motion mode.</w:t>
            </w:r>
          </w:p>
        </w:tc>
      </w:tr>
      <w:tr>
        <w:tc>
          <w:tcPr>
            <w:tcW w:type="dxa" w:w="3360"/>
            <w:vAlign w:val="center"/>
            <w:shd w:fill="F3F6F8"/>
          </w:tcPr>
          <w:p>
            <w:r>
              <w:rPr>
                <w:sz w:val="16"/>
              </w:rPr>
              <w:t>Server</w:t>
            </w:r>
          </w:p>
        </w:tc>
        <w:tc>
          <w:tcPr>
            <w:tcW w:type="dxa" w:w="3360"/>
            <w:vAlign w:val="center"/>
            <w:shd w:fill="F3F6F8"/>
          </w:tcPr>
          <w:p>
            <w:r>
              <w:rPr>
                <w:sz w:val="16"/>
              </w:rPr>
              <w:t>FastAPI + Uvicorn</w:t>
            </w:r>
          </w:p>
        </w:tc>
        <w:tc>
          <w:tcPr>
            <w:tcW w:type="dxa" w:w="3360"/>
            <w:vAlign w:val="center"/>
            <w:shd w:fill="F3F6F8"/>
          </w:tcPr>
          <w:p>
            <w:r>
              <w:rPr>
                <w:sz w:val="16"/>
              </w:rPr>
              <w:t>Provider/service interfaces.</w:t>
            </w:r>
          </w:p>
        </w:tc>
      </w:tr>
      <w:tr>
        <w:tc>
          <w:tcPr>
            <w:tcW w:type="dxa" w:w="3360"/>
            <w:vAlign w:val="center"/>
          </w:tcPr>
          <w:p>
            <w:r>
              <w:rPr>
                <w:sz w:val="16"/>
              </w:rPr>
              <w:t>Schemas</w:t>
            </w:r>
          </w:p>
        </w:tc>
        <w:tc>
          <w:tcPr>
            <w:tcW w:type="dxa" w:w="3360"/>
            <w:vAlign w:val="center"/>
          </w:tcPr>
          <w:p>
            <w:r>
              <w:rPr>
                <w:sz w:val="16"/>
              </w:rPr>
              <w:t>Pydantic; aligned TypeScript types</w:t>
            </w:r>
          </w:p>
        </w:tc>
        <w:tc>
          <w:tcPr>
            <w:tcW w:type="dxa" w:w="3360"/>
            <w:vAlign w:val="center"/>
          </w:tcPr>
          <w:p>
            <w:r>
              <w:rPr>
                <w:sz w:val="16"/>
              </w:rPr>
              <w:t>JSON Schema/codegen later.</w:t>
            </w:r>
          </w:p>
        </w:tc>
      </w:tr>
      <w:tr>
        <w:tc>
          <w:tcPr>
            <w:tcW w:type="dxa" w:w="3360"/>
            <w:vAlign w:val="center"/>
            <w:shd w:fill="F3F6F8"/>
          </w:tcPr>
          <w:p>
            <w:r>
              <w:rPr>
                <w:sz w:val="16"/>
              </w:rPr>
              <w:t>Orchestration</w:t>
            </w:r>
          </w:p>
        </w:tc>
        <w:tc>
          <w:tcPr>
            <w:tcW w:type="dxa" w:w="3360"/>
            <w:vAlign w:val="center"/>
            <w:shd w:fill="F3F6F8"/>
          </w:tcPr>
          <w:p>
            <w:r>
              <w:rPr>
                <w:sz w:val="16"/>
              </w:rPr>
              <w:t>Light LangGraph</w:t>
            </w:r>
          </w:p>
        </w:tc>
        <w:tc>
          <w:tcPr>
            <w:tcW w:type="dxa" w:w="3360"/>
            <w:vAlign w:val="center"/>
            <w:shd w:fill="F3F6F8"/>
          </w:tcPr>
          <w:p>
            <w:r>
              <w:rPr>
                <w:sz w:val="16"/>
              </w:rPr>
              <w:t>Graph nodes must still call stable service contracts.</w:t>
            </w:r>
          </w:p>
        </w:tc>
      </w:tr>
      <w:tr>
        <w:tc>
          <w:tcPr>
            <w:tcW w:type="dxa" w:w="3360"/>
            <w:vAlign w:val="center"/>
          </w:tcPr>
          <w:p>
            <w:r>
              <w:rPr>
                <w:sz w:val="16"/>
              </w:rPr>
              <w:t>Model</w:t>
            </w:r>
          </w:p>
        </w:tc>
        <w:tc>
          <w:tcPr>
            <w:tcW w:type="dxa" w:w="3360"/>
            <w:vAlign w:val="center"/>
          </w:tcPr>
          <w:p>
            <w:r>
              <w:rPr>
                <w:sz w:val="16"/>
              </w:rPr>
              <w:t>Ollama + Qwen 2.5 3B Q4_K_M</w:t>
            </w:r>
          </w:p>
        </w:tc>
        <w:tc>
          <w:tcPr>
            <w:tcW w:type="dxa" w:w="3360"/>
            <w:vAlign w:val="center"/>
          </w:tcPr>
          <w:p>
            <w:r>
              <w:rPr>
                <w:sz w:val="16"/>
              </w:rPr>
              <w:t>ModelProvider adapters.</w:t>
            </w:r>
          </w:p>
        </w:tc>
      </w:tr>
      <w:tr>
        <w:tc>
          <w:tcPr>
            <w:tcW w:type="dxa" w:w="3360"/>
            <w:vAlign w:val="center"/>
            <w:shd w:fill="F3F6F8"/>
          </w:tcPr>
          <w:p>
            <w:r>
              <w:rPr>
                <w:sz w:val="16"/>
              </w:rPr>
              <w:t>Storage</w:t>
            </w:r>
          </w:p>
        </w:tc>
        <w:tc>
          <w:tcPr>
            <w:tcW w:type="dxa" w:w="3360"/>
            <w:vAlign w:val="center"/>
            <w:shd w:fill="F3F6F8"/>
          </w:tcPr>
          <w:p>
            <w:r>
              <w:rPr>
                <w:sz w:val="16"/>
              </w:rPr>
              <w:t>SQLite + SQLAlchemy/local file store</w:t>
            </w:r>
          </w:p>
        </w:tc>
        <w:tc>
          <w:tcPr>
            <w:tcW w:type="dxa" w:w="3360"/>
            <w:vAlign w:val="center"/>
            <w:shd w:fill="F3F6F8"/>
          </w:tcPr>
          <w:p>
            <w:r>
              <w:rPr>
                <w:sz w:val="16"/>
              </w:rPr>
              <w:t>StorageProvider/repository boundary.</w:t>
            </w:r>
          </w:p>
        </w:tc>
      </w:tr>
      <w:tr>
        <w:tc>
          <w:tcPr>
            <w:tcW w:type="dxa" w:w="3360"/>
            <w:vAlign w:val="center"/>
          </w:tcPr>
          <w:p>
            <w:r>
              <w:rPr>
                <w:sz w:val="16"/>
              </w:rPr>
              <w:t>Policy retrieval</w:t>
            </w:r>
          </w:p>
        </w:tc>
        <w:tc>
          <w:tcPr>
            <w:tcW w:type="dxa" w:w="3360"/>
            <w:vAlign w:val="center"/>
          </w:tcPr>
          <w:p>
            <w:r>
              <w:rPr>
                <w:sz w:val="16"/>
              </w:rPr>
              <w:t>Simple real lexical/TF-IDF retrieval for review build</w:t>
            </w:r>
          </w:p>
        </w:tc>
        <w:tc>
          <w:tcPr>
            <w:tcW w:type="dxa" w:w="3360"/>
            <w:vAlign w:val="center"/>
          </w:tcPr>
          <w:p>
            <w:r>
              <w:rPr>
                <w:sz w:val="16"/>
              </w:rPr>
              <w:t>FaissPolicyProvider later.</w:t>
            </w:r>
          </w:p>
        </w:tc>
      </w:tr>
      <w:tr>
        <w:tc>
          <w:tcPr>
            <w:tcW w:type="dxa" w:w="3360"/>
            <w:vAlign w:val="center"/>
            <w:shd w:fill="F3F6F8"/>
          </w:tcPr>
          <w:p>
            <w:r>
              <w:rPr>
                <w:sz w:val="16"/>
              </w:rPr>
              <w:t>Finance/scoring</w:t>
            </w:r>
          </w:p>
        </w:tc>
        <w:tc>
          <w:tcPr>
            <w:tcW w:type="dxa" w:w="3360"/>
            <w:vAlign w:val="center"/>
            <w:shd w:fill="F3F6F8"/>
          </w:tcPr>
          <w:p>
            <w:r>
              <w:rPr>
                <w:sz w:val="16"/>
              </w:rPr>
              <w:t>Python Decimal/tested functions</w:t>
            </w:r>
          </w:p>
        </w:tc>
        <w:tc>
          <w:tcPr>
            <w:tcW w:type="dxa" w:w="3360"/>
            <w:vAlign w:val="center"/>
            <w:shd w:fill="F3F6F8"/>
          </w:tcPr>
          <w:p>
            <w:r>
              <w:rPr>
                <w:sz w:val="16"/>
              </w:rPr>
              <w:t>Never LLM arithmetic.</w:t>
            </w:r>
          </w:p>
        </w:tc>
      </w:tr>
      <w:tr>
        <w:tc>
          <w:tcPr>
            <w:tcW w:type="dxa" w:w="3360"/>
            <w:vAlign w:val="center"/>
          </w:tcPr>
          <w:p>
            <w:r>
              <w:rPr>
                <w:sz w:val="16"/>
              </w:rPr>
              <w:t>Testing</w:t>
            </w:r>
          </w:p>
        </w:tc>
        <w:tc>
          <w:tcPr>
            <w:tcW w:type="dxa" w:w="3360"/>
            <w:vAlign w:val="center"/>
          </w:tcPr>
          <w:p>
            <w:r>
              <w:rPr>
                <w:sz w:val="16"/>
              </w:rPr>
              <w:t>Pytest + focused API/browser smoke tests</w:t>
            </w:r>
          </w:p>
        </w:tc>
        <w:tc>
          <w:tcPr>
            <w:tcW w:type="dxa" w:w="3360"/>
            <w:vAlign w:val="center"/>
          </w:tcPr>
          <w:p>
            <w:r>
              <w:rPr>
                <w:sz w:val="16"/>
              </w:rPr>
              <w:t>Broader benchmark lab later.</w:t>
            </w:r>
          </w:p>
        </w:tc>
      </w:tr>
    </w:tbl>
    <w:p/>
    <w:p>
      <w:pPr>
        <w:pStyle w:val="Heading1"/>
      </w:pPr>
      <w:r>
        <w:t>9. Information architecture and progressive disclosure</w:t>
      </w:r>
    </w:p>
    <w:p>
      <w:r>
        <w:t>The default experience is utility-first. The main function is available immediately. Secondary pages support the council rather than hiding the council behind navigation.</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r>
              <w:rPr>
                <w:b/>
                <w:color w:val="FFFFFF"/>
                <w:sz w:val="17"/>
              </w:rPr>
              <w:t>Disclosure layer</w:t>
            </w:r>
          </w:p>
        </w:tc>
        <w:tc>
          <w:tcPr>
            <w:tcW w:type="dxa" w:w="5040"/>
            <w:shd w:fill="17324D"/>
            <w:vAlign w:val="center"/>
          </w:tcPr>
          <w:p>
            <w:r>
              <w:rPr>
                <w:b/>
                <w:color w:val="FFFFFF"/>
                <w:sz w:val="17"/>
              </w:rPr>
              <w:t>What the user sees</w:t>
            </w:r>
          </w:p>
        </w:tc>
      </w:tr>
      <w:tr>
        <w:tc>
          <w:tcPr>
            <w:tcW w:type="dxa" w:w="5040"/>
            <w:vAlign w:val="center"/>
          </w:tcPr>
          <w:p>
            <w:r>
              <w:rPr>
                <w:sz w:val="16"/>
              </w:rPr>
              <w:t>Layer 0 — immediate utility</w:t>
            </w:r>
          </w:p>
        </w:tc>
        <w:tc>
          <w:tcPr>
            <w:tcW w:type="dxa" w:w="5040"/>
            <w:vAlign w:val="center"/>
          </w:tcPr>
          <w:p>
            <w:r>
              <w:rPr>
                <w:sz w:val="16"/>
              </w:rPr>
              <w:t>Upload transcript/brief/evidence, optional idea/question input, geometric waiting agents, Run Council, system health.</w:t>
            </w:r>
          </w:p>
        </w:tc>
      </w:tr>
      <w:tr>
        <w:tc>
          <w:tcPr>
            <w:tcW w:type="dxa" w:w="5040"/>
            <w:vAlign w:val="center"/>
            <w:shd w:fill="F3F6F8"/>
          </w:tcPr>
          <w:p>
            <w:r>
              <w:rPr>
                <w:sz w:val="16"/>
              </w:rPr>
              <w:t>Layer 1 — operations</w:t>
            </w:r>
          </w:p>
        </w:tc>
        <w:tc>
          <w:tcPr>
            <w:tcW w:type="dxa" w:w="5040"/>
            <w:vAlign w:val="center"/>
            <w:shd w:fill="F3F6F8"/>
          </w:tcPr>
          <w:p>
            <w:r>
              <w:rPr>
                <w:sz w:val="16"/>
              </w:rPr>
              <w:t>Live agent state, communication pulses, current council stage, essential event stream.</w:t>
            </w:r>
          </w:p>
        </w:tc>
      </w:tr>
      <w:tr>
        <w:tc>
          <w:tcPr>
            <w:tcW w:type="dxa" w:w="5040"/>
            <w:vAlign w:val="center"/>
          </w:tcPr>
          <w:p>
            <w:r>
              <w:rPr>
                <w:sz w:val="16"/>
              </w:rPr>
              <w:t>Layer 2 — explanation</w:t>
            </w:r>
          </w:p>
        </w:tc>
        <w:tc>
          <w:tcPr>
            <w:tcW w:type="dxa" w:w="5040"/>
            <w:vAlign w:val="center"/>
          </w:tcPr>
          <w:p>
            <w:r>
              <w:rPr>
                <w:sz w:val="16"/>
              </w:rPr>
              <w:t>Expandable agent accordion: inputs, evidence used, natural-language finding, recommendation, council response, final position, runtime.</w:t>
            </w:r>
          </w:p>
        </w:tc>
      </w:tr>
      <w:tr>
        <w:tc>
          <w:tcPr>
            <w:tcW w:type="dxa" w:w="5040"/>
            <w:vAlign w:val="center"/>
            <w:shd w:fill="F3F6F8"/>
          </w:tcPr>
          <w:p>
            <w:r>
              <w:rPr>
                <w:sz w:val="16"/>
              </w:rPr>
              <w:t>Layer 3 — technical trace</w:t>
            </w:r>
          </w:p>
        </w:tc>
        <w:tc>
          <w:tcPr>
            <w:tcW w:type="dxa" w:w="5040"/>
            <w:vAlign w:val="center"/>
            <w:shd w:fill="F3F6F8"/>
          </w:tcPr>
          <w:p>
            <w:r>
              <w:rPr>
                <w:sz w:val="16"/>
              </w:rPr>
              <w:t>Policy IDs, structured payloads, calculation trace, model/provider, evidence coverage and operational metrics.</w:t>
            </w:r>
          </w:p>
        </w:tc>
      </w:tr>
      <w:tr>
        <w:tc>
          <w:tcPr>
            <w:tcW w:type="dxa" w:w="5040"/>
            <w:vAlign w:val="center"/>
          </w:tcPr>
          <w:p>
            <w:r>
              <w:rPr>
                <w:sz w:val="16"/>
              </w:rPr>
              <w:t>Layer 4 — administration</w:t>
            </w:r>
          </w:p>
        </w:tc>
        <w:tc>
          <w:tcPr>
            <w:tcW w:type="dxa" w:w="5040"/>
            <w:vAlign w:val="center"/>
          </w:tcPr>
          <w:p>
            <w:r>
              <w:rPr>
                <w:sz w:val="16"/>
              </w:rPr>
              <w:t>Policy library, history, behavior tuning, system settings, later test/data functionality.</w:t>
            </w:r>
          </w:p>
        </w:tc>
      </w:tr>
    </w:tbl>
    <w:p/>
    <w:p>
      <w:pPr>
        <w:pStyle w:val="Heading1"/>
      </w:pPr>
      <w:r>
        <w:t>10. Landing / Council Console</w:t>
      </w:r>
    </w:p>
    <w:p>
      <w:pPr>
        <w:ind w:left="360" w:right="360"/>
      </w:pPr>
      <w:r>
        <w:rPr>
          <w:rFonts w:ascii="Cascadia Mono" w:hAnsi="Cascadia Mono"/>
          <w:color w:val="17202A"/>
          <w:sz w:val="16"/>
        </w:rPr>
        <w:t>TOP STATUS RAIL: evaluation | server | model | policy | database | connection</w:t>
        <w:br/>
        <w:br/>
        <w:t xml:space="preserve">                INTERMEDIARY CORE</w:t>
        <w:br/>
        <w:t xml:space="preserve">             /       |       \</w:t>
        <w:br/>
        <w:t xml:space="preserve">      GROWTH       AUDIT      FINANCE</w:t>
        <w:br/>
        <w:t xml:space="preserve">             \      |      /</w:t>
        <w:br/>
        <w:t xml:space="preserve">                AUDIENCE</w:t>
        <w:br/>
        <w:br/>
        <w:t>UPLOAD / QUESTION       AGENT TRANSPARENCY ACCORDION</w:t>
        <w:br/>
        <w:t>transcript               Growth       [expand]</w:t>
        <w:br/>
        <w:t>brief                    Audit        [expand]</w:t>
        <w:br/>
        <w:t>evidence                 Finance      [expand]</w:t>
        <w:br/>
        <w:t>idea/question            Audience     [expand]</w:t>
        <w:br/>
        <w:t>[RUN COUNCIL]            Intermediary [expand]</w:t>
        <w:br/>
        <w:br/>
        <w:t>EVENT / HANDOFF STREAM + GOVERNANCE STATE</w:t>
      </w:r>
    </w:p>
    <w:p>
      <w:pPr>
        <w:pStyle w:val="ListBullet"/>
      </w:pPr>
      <w:r>
        <w:t>Landing page must not be a passive dashboard or marketing splash page.</w:t>
      </w:r>
    </w:p>
    <w:p>
      <w:pPr>
        <w:pStyle w:val="ListBullet"/>
      </w:pPr>
      <w:r>
        <w:t>Upload must be available on first view.</w:t>
      </w:r>
    </w:p>
    <w:p>
      <w:pPr>
        <w:pStyle w:val="ListBullet"/>
      </w:pPr>
      <w:r>
        <w:t>Agent geometry is visible before execution in a waiting state.</w:t>
      </w:r>
    </w:p>
    <w:p>
      <w:pPr>
        <w:pStyle w:val="ListBullet"/>
      </w:pPr>
      <w:r>
        <w:t>If extraction lacks essential information, open an in-page clarification panel or modal. Ask only for fields required to proceed.</w:t>
      </w:r>
    </w:p>
    <w:p>
      <w:pPr>
        <w:pStyle w:val="ListBullet"/>
      </w:pPr>
      <w:r>
        <w:t>Once sufficient, the same surface shows real execution and bounded council communication.</w:t>
      </w:r>
    </w:p>
    <w:p>
      <w:pPr>
        <w:pStyle w:val="ListBullet"/>
      </w:pPr>
      <w:r>
        <w:t>Charts and detailed tables use drawers/accordions so the primary council geometry stays dominant.</w:t>
      </w:r>
    </w:p>
    <w:p>
      <w:pPr>
        <w:pStyle w:val="Heading1"/>
      </w:pPr>
      <w:r>
        <w:t>11. Clarification loop</w:t>
      </w:r>
    </w:p>
    <w:p>
      <w:r>
        <w:t>Missing information is an interactive state, not a generic error. The extraction service must identify missing essentials and contradictions. The UI states what is known, what is missing, why the missing item matters, and the exact next action. A user can enter the field manually or add supporting evidence. The council does not run a dependent analysis until required inputs exist.</w:t>
      </w:r>
    </w:p>
    <w:p>
      <w:pPr>
        <w:pStyle w:val="Heading1"/>
      </w:pPr>
      <w:r>
        <w:t>12. Natural-language results contract</w:t>
      </w:r>
    </w:p>
    <w:p>
      <w:r>
        <w:t>The database and agent boundary use structured data. The human interface converts validated fields into concise conversational professional language.</w:t>
      </w:r>
    </w:p>
    <w:p>
      <w:pPr>
        <w:ind w:left="360" w:right="360"/>
      </w:pPr>
      <w:r>
        <w:rPr>
          <w:rFonts w:ascii="Cascadia Mono" w:hAnsi="Cascadia Mono"/>
          <w:color w:val="17202A"/>
          <w:sz w:val="16"/>
        </w:rPr>
        <w:t>Finding</w:t>
        <w:br/>
        <w:t>The campaign presents the 50% growth figure as a guaranteed outcome.</w:t>
        <w:br/>
        <w:br/>
        <w:t>Why it matters</w:t>
        <w:br/>
        <w:t>The evidence package does not currently support presenting this outcome as guaranteed.</w:t>
        <w:br/>
        <w:br/>
        <w:t>Evidence</w:t>
        <w:br/>
        <w:t>Transcript 00:14:21-00:14:38; active policy source FTC-ADV-04.</w:t>
        <w:br/>
        <w:br/>
        <w:t>Recommended action</w:t>
        <w:br/>
        <w:t>Present the figure as a measurable objective, or add evidence that substantiates the material claim.</w:t>
      </w:r>
    </w:p>
    <w:p>
      <w:pPr>
        <w:pStyle w:val="ListBullet"/>
      </w:pPr>
      <w:r>
        <w:t>Write what happened, why it matters, what evidence supports it, and what action is recommended.</w:t>
      </w:r>
    </w:p>
    <w:p>
      <w:pPr>
        <w:pStyle w:val="ListBullet"/>
      </w:pPr>
      <w:r>
        <w:t>Do not show terse machine labels as the primary result.</w:t>
      </w:r>
    </w:p>
    <w:p>
      <w:pPr>
        <w:pStyle w:val="ListBullet"/>
      </w:pPr>
      <w:r>
        <w:t>Do not invent evidence or unsupported certainty.</w:t>
      </w:r>
    </w:p>
    <w:p>
      <w:pPr>
        <w:pStyle w:val="ListBullet"/>
      </w:pPr>
      <w:r>
        <w:t>Keep machine-readable JSON available in the technical trace, not as the default reviewer experience.</w:t>
      </w:r>
    </w:p>
    <w:p>
      <w:pPr>
        <w:pStyle w:val="Heading1"/>
      </w:pPr>
      <w:r>
        <w:t>13. Scoring and hard gates</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r>
              <w:rPr>
                <w:b/>
                <w:color w:val="FFFFFF"/>
                <w:sz w:val="17"/>
              </w:rPr>
              <w:t>Dimension</w:t>
            </w:r>
          </w:p>
        </w:tc>
        <w:tc>
          <w:tcPr>
            <w:tcW w:type="dxa" w:w="5040"/>
            <w:shd w:fill="17324D"/>
            <w:vAlign w:val="center"/>
          </w:tcPr>
          <w:p>
            <w:r>
              <w:rPr>
                <w:b/>
                <w:color w:val="FFFFFF"/>
                <w:sz w:val="17"/>
              </w:rPr>
              <w:t>Weight</w:t>
            </w:r>
          </w:p>
        </w:tc>
      </w:tr>
      <w:tr>
        <w:tc>
          <w:tcPr>
            <w:tcW w:type="dxa" w:w="5040"/>
            <w:vAlign w:val="center"/>
          </w:tcPr>
          <w:p>
            <w:r>
              <w:rPr>
                <w:sz w:val="16"/>
              </w:rPr>
              <w:t>Growth alignment</w:t>
            </w:r>
          </w:p>
        </w:tc>
        <w:tc>
          <w:tcPr>
            <w:tcW w:type="dxa" w:w="5040"/>
            <w:vAlign w:val="center"/>
          </w:tcPr>
          <w:p>
            <w:r>
              <w:rPr>
                <w:sz w:val="16"/>
              </w:rPr>
              <w:t>25</w:t>
            </w:r>
          </w:p>
        </w:tc>
      </w:tr>
      <w:tr>
        <w:tc>
          <w:tcPr>
            <w:tcW w:type="dxa" w:w="5040"/>
            <w:vAlign w:val="center"/>
            <w:shd w:fill="F3F6F8"/>
          </w:tcPr>
          <w:p>
            <w:r>
              <w:rPr>
                <w:sz w:val="16"/>
              </w:rPr>
              <w:t>Audience/channel fit</w:t>
            </w:r>
          </w:p>
        </w:tc>
        <w:tc>
          <w:tcPr>
            <w:tcW w:type="dxa" w:w="5040"/>
            <w:vAlign w:val="center"/>
            <w:shd w:fill="F3F6F8"/>
          </w:tcPr>
          <w:p>
            <w:r>
              <w:rPr>
                <w:sz w:val="16"/>
              </w:rPr>
              <w:t>20</w:t>
            </w:r>
          </w:p>
        </w:tc>
      </w:tr>
      <w:tr>
        <w:tc>
          <w:tcPr>
            <w:tcW w:type="dxa" w:w="5040"/>
            <w:vAlign w:val="center"/>
          </w:tcPr>
          <w:p>
            <w:r>
              <w:rPr>
                <w:sz w:val="16"/>
              </w:rPr>
              <w:t>Financial viability</w:t>
            </w:r>
          </w:p>
        </w:tc>
        <w:tc>
          <w:tcPr>
            <w:tcW w:type="dxa" w:w="5040"/>
            <w:vAlign w:val="center"/>
          </w:tcPr>
          <w:p>
            <w:r>
              <w:rPr>
                <w:sz w:val="16"/>
              </w:rPr>
              <w:t>20</w:t>
            </w:r>
          </w:p>
        </w:tc>
      </w:tr>
      <w:tr>
        <w:tc>
          <w:tcPr>
            <w:tcW w:type="dxa" w:w="5040"/>
            <w:vAlign w:val="center"/>
            <w:shd w:fill="F3F6F8"/>
          </w:tcPr>
          <w:p>
            <w:r>
              <w:rPr>
                <w:sz w:val="16"/>
              </w:rPr>
              <w:t>Evidence quality</w:t>
            </w:r>
          </w:p>
        </w:tc>
        <w:tc>
          <w:tcPr>
            <w:tcW w:type="dxa" w:w="5040"/>
            <w:vAlign w:val="center"/>
            <w:shd w:fill="F3F6F8"/>
          </w:tcPr>
          <w:p>
            <w:r>
              <w:rPr>
                <w:sz w:val="16"/>
              </w:rPr>
              <w:t>15</w:t>
            </w:r>
          </w:p>
        </w:tc>
      </w:tr>
      <w:tr>
        <w:tc>
          <w:tcPr>
            <w:tcW w:type="dxa" w:w="5040"/>
            <w:vAlign w:val="center"/>
          </w:tcPr>
          <w:p>
            <w:r>
              <w:rPr>
                <w:sz w:val="16"/>
              </w:rPr>
              <w:t>Message clarity</w:t>
            </w:r>
          </w:p>
        </w:tc>
        <w:tc>
          <w:tcPr>
            <w:tcW w:type="dxa" w:w="5040"/>
            <w:vAlign w:val="center"/>
          </w:tcPr>
          <w:p>
            <w:r>
              <w:rPr>
                <w:sz w:val="16"/>
              </w:rPr>
              <w:t>10</w:t>
            </w:r>
          </w:p>
        </w:tc>
      </w:tr>
      <w:tr>
        <w:tc>
          <w:tcPr>
            <w:tcW w:type="dxa" w:w="5040"/>
            <w:vAlign w:val="center"/>
            <w:shd w:fill="F3F6F8"/>
          </w:tcPr>
          <w:p>
            <w:r>
              <w:rPr>
                <w:sz w:val="16"/>
              </w:rPr>
              <w:t>Operational readiness</w:t>
            </w:r>
          </w:p>
        </w:tc>
        <w:tc>
          <w:tcPr>
            <w:tcW w:type="dxa" w:w="5040"/>
            <w:vAlign w:val="center"/>
            <w:shd w:fill="F3F6F8"/>
          </w:tcPr>
          <w:p>
            <w:r>
              <w:rPr>
                <w:sz w:val="16"/>
              </w:rPr>
              <w:t>10</w:t>
            </w:r>
          </w:p>
        </w:tc>
      </w:tr>
    </w:tbl>
    <w:p/>
    <w:p>
      <w:pPr>
        <w:pStyle w:val="ListBullet"/>
      </w:pPr>
      <w:r>
        <w:t>Weighted score is secondary to hard gates.</w:t>
      </w:r>
    </w:p>
    <w:p>
      <w:pPr>
        <w:pStyle w:val="ListBullet"/>
      </w:pPr>
      <w:r>
        <w:t>Candidate hard gates from the original specification: critical policy finding, hard budget violation, missing essential information, missing policy coverage, unsupported material claim.</w:t>
      </w:r>
    </w:p>
    <w:p>
      <w:pPr>
        <w:pStyle w:val="ListBullet"/>
      </w:pPr>
      <w:r>
        <w:t>The UI keeps an active blocking banner visible while a hard gate exists.</w:t>
      </w:r>
    </w:p>
    <w:p>
      <w:pPr>
        <w:pStyle w:val="ListBullet"/>
      </w:pPr>
      <w:r>
        <w:t>The scorecard must expose formula trace and evidence, not only a final number.</w:t>
      </w:r>
    </w:p>
    <w:p>
      <w:pPr>
        <w:pStyle w:val="Heading1"/>
      </w:pPr>
      <w:r>
        <w:t>14. Reviewer metrics and transparency</w:t>
      </w:r>
    </w:p>
    <w:p>
      <w:r>
        <w:t>Use metrics that can be measured from the live system. Do not claim accuracy, precision, recall, ROC-AUC or PR-AUC until a labeled evaluation set and measurement procedure exist.</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r>
              <w:rPr>
                <w:b/>
                <w:color w:val="FFFFFF"/>
                <w:sz w:val="17"/>
              </w:rPr>
              <w:t>Metric group</w:t>
            </w:r>
          </w:p>
        </w:tc>
        <w:tc>
          <w:tcPr>
            <w:tcW w:type="dxa" w:w="5040"/>
            <w:shd w:fill="17324D"/>
            <w:vAlign w:val="center"/>
          </w:tcPr>
          <w:p>
            <w:r>
              <w:rPr>
                <w:b/>
                <w:color w:val="FFFFFF"/>
                <w:sz w:val="17"/>
              </w:rPr>
              <w:t>Review-safe examples</w:t>
            </w:r>
          </w:p>
        </w:tc>
      </w:tr>
      <w:tr>
        <w:tc>
          <w:tcPr>
            <w:tcW w:type="dxa" w:w="5040"/>
            <w:vAlign w:val="center"/>
          </w:tcPr>
          <w:p>
            <w:r>
              <w:rPr>
                <w:sz w:val="16"/>
              </w:rPr>
              <w:t>Runtime</w:t>
            </w:r>
          </w:p>
        </w:tc>
        <w:tc>
          <w:tcPr>
            <w:tcW w:type="dxa" w:w="5040"/>
            <w:vAlign w:val="center"/>
          </w:tcPr>
          <w:p>
            <w:r>
              <w:rPr>
                <w:sz w:val="16"/>
              </w:rPr>
              <w:t>Extraction time, per-agent runtime, council-round duration, total evaluation duration.</w:t>
            </w:r>
          </w:p>
        </w:tc>
      </w:tr>
      <w:tr>
        <w:tc>
          <w:tcPr>
            <w:tcW w:type="dxa" w:w="5040"/>
            <w:vAlign w:val="center"/>
            <w:shd w:fill="F3F6F8"/>
          </w:tcPr>
          <w:p>
            <w:r>
              <w:rPr>
                <w:sz w:val="16"/>
              </w:rPr>
              <w:t>Evidence</w:t>
            </w:r>
          </w:p>
        </w:tc>
        <w:tc>
          <w:tcPr>
            <w:tcW w:type="dxa" w:w="5040"/>
            <w:vAlign w:val="center"/>
            <w:shd w:fill="F3F6F8"/>
          </w:tcPr>
          <w:p>
            <w:r>
              <w:rPr>
                <w:sz w:val="16"/>
              </w:rPr>
              <w:t>Transcript segments used, evidence references, policies retrieved, citation count, fields with source spans.</w:t>
            </w:r>
          </w:p>
        </w:tc>
      </w:tr>
      <w:tr>
        <w:tc>
          <w:tcPr>
            <w:tcW w:type="dxa" w:w="5040"/>
            <w:vAlign w:val="center"/>
          </w:tcPr>
          <w:p>
            <w:r>
              <w:rPr>
                <w:sz w:val="16"/>
              </w:rPr>
              <w:t>Quality/state</w:t>
            </w:r>
          </w:p>
        </w:tc>
        <w:tc>
          <w:tcPr>
            <w:tcW w:type="dxa" w:w="5040"/>
            <w:vAlign w:val="center"/>
          </w:tcPr>
          <w:p>
            <w:r>
              <w:rPr>
                <w:sz w:val="16"/>
              </w:rPr>
              <w:t>Missing fields, contradictions, policy findings by severity, unsupported claims, gates triggered.</w:t>
            </w:r>
          </w:p>
        </w:tc>
      </w:tr>
      <w:tr>
        <w:tc>
          <w:tcPr>
            <w:tcW w:type="dxa" w:w="5040"/>
            <w:vAlign w:val="center"/>
            <w:shd w:fill="F3F6F8"/>
          </w:tcPr>
          <w:p>
            <w:r>
              <w:rPr>
                <w:sz w:val="16"/>
              </w:rPr>
              <w:t>Governance</w:t>
            </w:r>
          </w:p>
        </w:tc>
        <w:tc>
          <w:tcPr>
            <w:tcW w:type="dxa" w:w="5040"/>
            <w:vAlign w:val="center"/>
            <w:shd w:fill="F3F6F8"/>
          </w:tcPr>
          <w:p>
            <w:r>
              <w:rPr>
                <w:sz w:val="16"/>
              </w:rPr>
              <w:t>Dimension scores, formula trace, roles revised after council review, final readiness state.</w:t>
            </w:r>
          </w:p>
        </w:tc>
      </w:tr>
      <w:tr>
        <w:tc>
          <w:tcPr>
            <w:tcW w:type="dxa" w:w="5040"/>
            <w:vAlign w:val="center"/>
          </w:tcPr>
          <w:p>
            <w:r>
              <w:rPr>
                <w:sz w:val="16"/>
              </w:rPr>
              <w:t>Reliability</w:t>
            </w:r>
          </w:p>
        </w:tc>
        <w:tc>
          <w:tcPr>
            <w:tcW w:type="dxa" w:w="5040"/>
            <w:vAlign w:val="center"/>
          </w:tcPr>
          <w:p>
            <w:r>
              <w:rPr>
                <w:sz w:val="16"/>
              </w:rPr>
              <w:t>Provider used, fallback state, schema-validation status, persisted stage.</w:t>
            </w:r>
          </w:p>
        </w:tc>
      </w:tr>
    </w:tbl>
    <w:p/>
    <w:p>
      <w:pPr>
        <w:pStyle w:val="Heading1"/>
      </w:pPr>
      <w:r>
        <w:t>15. Visual language: industrial cyber-governance console</w:t>
      </w:r>
    </w:p>
    <w:p>
      <w:r>
        <w:t>The visual target is a copyright-safe reinterpretation of the supplied retro geometric command-console reference. Preserve the visual grammar, not the protected names, Japanese text, exact composition, logos, characters, or franchise artwork. The product should be cyber-maximalist through geometry and information density while remaining corporate, legible and operational.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24D"/>
            <w:vAlign w:val="center"/>
          </w:tcPr>
          <w:p>
            <w:r>
              <w:rPr>
                <w:b/>
                <w:color w:val="FFFFFF"/>
                <w:sz w:val="17"/>
              </w:rPr>
              <w:t>Token</w:t>
            </w:r>
          </w:p>
        </w:tc>
        <w:tc>
          <w:tcPr>
            <w:tcW w:type="dxa" w:w="3360"/>
            <w:shd w:fill="17324D"/>
            <w:vAlign w:val="center"/>
          </w:tcPr>
          <w:p>
            <w:r>
              <w:rPr>
                <w:b/>
                <w:color w:val="FFFFFF"/>
                <w:sz w:val="17"/>
              </w:rPr>
              <w:t>Baseline</w:t>
            </w:r>
          </w:p>
        </w:tc>
        <w:tc>
          <w:tcPr>
            <w:tcW w:type="dxa" w:w="3360"/>
            <w:shd w:fill="17324D"/>
            <w:vAlign w:val="center"/>
          </w:tcPr>
          <w:p>
            <w:r>
              <w:rPr>
                <w:b/>
                <w:color w:val="FFFFFF"/>
                <w:sz w:val="17"/>
              </w:rPr>
              <w:t>Use</w:t>
            </w:r>
          </w:p>
        </w:tc>
      </w:tr>
      <w:tr>
        <w:tc>
          <w:tcPr>
            <w:tcW w:type="dxa" w:w="3360"/>
            <w:vAlign w:val="center"/>
          </w:tcPr>
          <w:p>
            <w:r>
              <w:rPr>
                <w:sz w:val="16"/>
              </w:rPr>
              <w:t>Void</w:t>
            </w:r>
          </w:p>
        </w:tc>
        <w:tc>
          <w:tcPr>
            <w:tcW w:type="dxa" w:w="3360"/>
            <w:vAlign w:val="center"/>
          </w:tcPr>
          <w:p>
            <w:r>
              <w:rPr>
                <w:sz w:val="16"/>
              </w:rPr>
              <w:t>#07090B</w:t>
            </w:r>
          </w:p>
        </w:tc>
        <w:tc>
          <w:tcPr>
            <w:tcW w:type="dxa" w:w="3360"/>
            <w:vAlign w:val="center"/>
          </w:tcPr>
          <w:p>
            <w:r>
              <w:rPr>
                <w:sz w:val="16"/>
              </w:rPr>
              <w:t>Primary background</w:t>
            </w:r>
          </w:p>
        </w:tc>
      </w:tr>
      <w:tr>
        <w:tc>
          <w:tcPr>
            <w:tcW w:type="dxa" w:w="3360"/>
            <w:vAlign w:val="center"/>
            <w:shd w:fill="F3F6F8"/>
          </w:tcPr>
          <w:p>
            <w:r>
              <w:rPr>
                <w:sz w:val="16"/>
              </w:rPr>
              <w:t>Panel black</w:t>
            </w:r>
          </w:p>
        </w:tc>
        <w:tc>
          <w:tcPr>
            <w:tcW w:type="dxa" w:w="3360"/>
            <w:vAlign w:val="center"/>
            <w:shd w:fill="F3F6F8"/>
          </w:tcPr>
          <w:p>
            <w:r>
              <w:rPr>
                <w:sz w:val="16"/>
              </w:rPr>
              <w:t>#0E1114</w:t>
            </w:r>
          </w:p>
        </w:tc>
        <w:tc>
          <w:tcPr>
            <w:tcW w:type="dxa" w:w="3360"/>
            <w:vAlign w:val="center"/>
            <w:shd w:fill="F3F6F8"/>
          </w:tcPr>
          <w:p>
            <w:r>
              <w:rPr>
                <w:sz w:val="16"/>
              </w:rPr>
              <w:t>Secondary surfaces</w:t>
            </w:r>
          </w:p>
        </w:tc>
      </w:tr>
      <w:tr>
        <w:tc>
          <w:tcPr>
            <w:tcW w:type="dxa" w:w="3360"/>
            <w:vAlign w:val="center"/>
          </w:tcPr>
          <w:p>
            <w:r>
              <w:rPr>
                <w:sz w:val="16"/>
              </w:rPr>
              <w:t>Signal amber</w:t>
            </w:r>
          </w:p>
        </w:tc>
        <w:tc>
          <w:tcPr>
            <w:tcW w:type="dxa" w:w="3360"/>
            <w:vAlign w:val="center"/>
          </w:tcPr>
          <w:p>
            <w:r>
              <w:rPr>
                <w:sz w:val="16"/>
              </w:rPr>
              <w:t>#F59E0B</w:t>
            </w:r>
          </w:p>
        </w:tc>
        <w:tc>
          <w:tcPr>
            <w:tcW w:type="dxa" w:w="3360"/>
            <w:vAlign w:val="center"/>
          </w:tcPr>
          <w:p>
            <w:r>
              <w:rPr>
                <w:sz w:val="16"/>
              </w:rPr>
              <w:t>Frames, command controls, active labels</w:t>
            </w:r>
          </w:p>
        </w:tc>
      </w:tr>
      <w:tr>
        <w:tc>
          <w:tcPr>
            <w:tcW w:type="dxa" w:w="3360"/>
            <w:vAlign w:val="center"/>
            <w:shd w:fill="F3F6F8"/>
          </w:tcPr>
          <w:p>
            <w:r>
              <w:rPr>
                <w:sz w:val="16"/>
              </w:rPr>
              <w:t>Agent cyan</w:t>
            </w:r>
          </w:p>
        </w:tc>
        <w:tc>
          <w:tcPr>
            <w:tcW w:type="dxa" w:w="3360"/>
            <w:vAlign w:val="center"/>
            <w:shd w:fill="F3F6F8"/>
          </w:tcPr>
          <w:p>
            <w:r>
              <w:rPr>
                <w:sz w:val="16"/>
              </w:rPr>
              <w:t>#43B4D8</w:t>
            </w:r>
          </w:p>
        </w:tc>
        <w:tc>
          <w:tcPr>
            <w:tcW w:type="dxa" w:w="3360"/>
            <w:vAlign w:val="center"/>
            <w:shd w:fill="F3F6F8"/>
          </w:tcPr>
          <w:p>
            <w:r>
              <w:rPr>
                <w:sz w:val="16"/>
              </w:rPr>
              <w:t>Agent modules / information surfaces</w:t>
            </w:r>
          </w:p>
        </w:tc>
      </w:tr>
      <w:tr>
        <w:tc>
          <w:tcPr>
            <w:tcW w:type="dxa" w:w="3360"/>
            <w:vAlign w:val="center"/>
          </w:tcPr>
          <w:p>
            <w:r>
              <w:rPr>
                <w:sz w:val="16"/>
              </w:rPr>
              <w:t>Telemetry green</w:t>
            </w:r>
          </w:p>
        </w:tc>
        <w:tc>
          <w:tcPr>
            <w:tcW w:type="dxa" w:w="3360"/>
            <w:vAlign w:val="center"/>
          </w:tcPr>
          <w:p>
            <w:r>
              <w:rPr>
                <w:sz w:val="16"/>
              </w:rPr>
              <w:t>#2CC36B</w:t>
            </w:r>
          </w:p>
        </w:tc>
        <w:tc>
          <w:tcPr>
            <w:tcW w:type="dxa" w:w="3360"/>
            <w:vAlign w:val="center"/>
          </w:tcPr>
          <w:p>
            <w:r>
              <w:rPr>
                <w:sz w:val="16"/>
              </w:rPr>
              <w:t>Handoffs, health, completed states</w:t>
            </w:r>
          </w:p>
        </w:tc>
      </w:tr>
      <w:tr>
        <w:tc>
          <w:tcPr>
            <w:tcW w:type="dxa" w:w="3360"/>
            <w:vAlign w:val="center"/>
            <w:shd w:fill="F3F6F8"/>
          </w:tcPr>
          <w:p>
            <w:r>
              <w:rPr>
                <w:sz w:val="16"/>
              </w:rPr>
              <w:t>Critical red</w:t>
            </w:r>
          </w:p>
        </w:tc>
        <w:tc>
          <w:tcPr>
            <w:tcW w:type="dxa" w:w="3360"/>
            <w:vAlign w:val="center"/>
            <w:shd w:fill="F3F6F8"/>
          </w:tcPr>
          <w:p>
            <w:r>
              <w:rPr>
                <w:sz w:val="16"/>
              </w:rPr>
              <w:t>#D43A32</w:t>
            </w:r>
          </w:p>
        </w:tc>
        <w:tc>
          <w:tcPr>
            <w:tcW w:type="dxa" w:w="3360"/>
            <w:vAlign w:val="center"/>
            <w:shd w:fill="F3F6F8"/>
          </w:tcPr>
          <w:p>
            <w:r>
              <w:rPr>
                <w:sz w:val="16"/>
              </w:rPr>
              <w:t>Hard gates and failures</w:t>
            </w:r>
          </w:p>
        </w:tc>
      </w:tr>
      <w:tr>
        <w:tc>
          <w:tcPr>
            <w:tcW w:type="dxa" w:w="3360"/>
            <w:vAlign w:val="center"/>
          </w:tcPr>
          <w:p>
            <w:r>
              <w:rPr>
                <w:sz w:val="16"/>
              </w:rPr>
              <w:t>Ivory</w:t>
            </w:r>
          </w:p>
        </w:tc>
        <w:tc>
          <w:tcPr>
            <w:tcW w:type="dxa" w:w="3360"/>
            <w:vAlign w:val="center"/>
          </w:tcPr>
          <w:p>
            <w:r>
              <w:rPr>
                <w:sz w:val="16"/>
              </w:rPr>
              <w:t>#F2E8D5</w:t>
            </w:r>
          </w:p>
        </w:tc>
        <w:tc>
          <w:tcPr>
            <w:tcW w:type="dxa" w:w="3360"/>
            <w:vAlign w:val="center"/>
          </w:tcPr>
          <w:p>
            <w:r>
              <w:rPr>
                <w:sz w:val="16"/>
              </w:rPr>
              <w:t>Readable foreground text</w:t>
            </w:r>
          </w:p>
        </w:tc>
      </w:tr>
      <w:tr>
        <w:tc>
          <w:tcPr>
            <w:tcW w:type="dxa" w:w="3360"/>
            <w:vAlign w:val="center"/>
            <w:shd w:fill="F3F6F8"/>
          </w:tcPr>
          <w:p>
            <w:r>
              <w:rPr>
                <w:sz w:val="16"/>
              </w:rPr>
              <w:t>Muted steel</w:t>
            </w:r>
          </w:p>
        </w:tc>
        <w:tc>
          <w:tcPr>
            <w:tcW w:type="dxa" w:w="3360"/>
            <w:vAlign w:val="center"/>
            <w:shd w:fill="F3F6F8"/>
          </w:tcPr>
          <w:p>
            <w:r>
              <w:rPr>
                <w:sz w:val="16"/>
              </w:rPr>
              <w:t>#6B7785</w:t>
            </w:r>
          </w:p>
        </w:tc>
        <w:tc>
          <w:tcPr>
            <w:tcW w:type="dxa" w:w="3360"/>
            <w:vAlign w:val="center"/>
            <w:shd w:fill="F3F6F8"/>
          </w:tcPr>
          <w:p>
            <w:r>
              <w:rPr>
                <w:sz w:val="16"/>
              </w:rPr>
              <w:t>Secondary metadata</w:t>
            </w:r>
          </w:p>
        </w:tc>
      </w:tr>
    </w:tbl>
    <w:p/>
    <w:p>
      <w:pPr>
        <w:pStyle w:val="ListBullet"/>
      </w:pPr>
      <w:r>
        <w:t>Use mono/technical typography such as IBM Plex Mono, JetBrains Mono or Cascadia Mono, with a condensed display face only when needed.</w:t>
      </w:r>
    </w:p>
    <w:p>
      <w:pPr>
        <w:pStyle w:val="ListBullet"/>
      </w:pPr>
      <w:r>
        <w:t>Use thin 1–2 px technical frames, clipped/polygonal agent shells and strong symmetry.</w:t>
      </w:r>
    </w:p>
    <w:p>
      <w:pPr>
        <w:pStyle w:val="ListBullet"/>
      </w:pPr>
      <w:r>
        <w:t>Avoid glassmorphism, soft shadows, gradient blobs, oversized rounded SaaS cards and generic AI sparkle motifs.</w:t>
      </w:r>
    </w:p>
    <w:p>
      <w:pPr>
        <w:pStyle w:val="ListBullet"/>
      </w:pPr>
      <w:r>
        <w:t>Add subtle operational wear only: fine grain, faint scanline/noise, occasional frame irregularity, minute abrasion. Wear must never reduce contrast or legibility.</w:t>
      </w:r>
    </w:p>
    <w:p>
      <w:pPr>
        <w:pStyle w:val="ListBullet"/>
      </w:pPr>
      <w:r>
        <w:t>Cyber-maximalism must come from information density, framing, layering, geometry and live telemetry. Do not create random decorative clutter.</w:t>
      </w:r>
    </w:p>
    <w:p>
      <w:pPr>
        <w:pStyle w:val="Heading2"/>
      </w:pPr>
      <w:r>
        <w:t>15.1 Motion language</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r>
              <w:rPr>
                <w:b/>
                <w:color w:val="FFFFFF"/>
                <w:sz w:val="17"/>
              </w:rPr>
              <w:t>State</w:t>
            </w:r>
          </w:p>
        </w:tc>
        <w:tc>
          <w:tcPr>
            <w:tcW w:type="dxa" w:w="5040"/>
            <w:shd w:fill="17324D"/>
            <w:vAlign w:val="center"/>
          </w:tcPr>
          <w:p>
            <w:r>
              <w:rPr>
                <w:b/>
                <w:color w:val="FFFFFF"/>
                <w:sz w:val="17"/>
              </w:rPr>
              <w:t>Behavior</w:t>
            </w:r>
          </w:p>
        </w:tc>
      </w:tr>
      <w:tr>
        <w:tc>
          <w:tcPr>
            <w:tcW w:type="dxa" w:w="5040"/>
            <w:vAlign w:val="center"/>
          </w:tcPr>
          <w:p>
            <w:r>
              <w:rPr>
                <w:sz w:val="16"/>
              </w:rPr>
              <w:t>Waiting</w:t>
            </w:r>
          </w:p>
        </w:tc>
        <w:tc>
          <w:tcPr>
            <w:tcW w:type="dxa" w:w="5040"/>
            <w:vAlign w:val="center"/>
          </w:tcPr>
          <w:p>
            <w:r>
              <w:rPr>
                <w:sz w:val="16"/>
              </w:rPr>
              <w:t>Static amber outline.</w:t>
            </w:r>
          </w:p>
        </w:tc>
      </w:tr>
      <w:tr>
        <w:tc>
          <w:tcPr>
            <w:tcW w:type="dxa" w:w="5040"/>
            <w:vAlign w:val="center"/>
            <w:shd w:fill="F3F6F8"/>
          </w:tcPr>
          <w:p>
            <w:r>
              <w:rPr>
                <w:sz w:val="16"/>
              </w:rPr>
              <w:t>Running</w:t>
            </w:r>
          </w:p>
        </w:tc>
        <w:tc>
          <w:tcPr>
            <w:tcW w:type="dxa" w:w="5040"/>
            <w:vAlign w:val="center"/>
            <w:shd w:fill="F3F6F8"/>
          </w:tcPr>
          <w:p>
            <w:r>
              <w:rPr>
                <w:sz w:val="16"/>
              </w:rPr>
              <w:t>Border-only pulse, maximum two cycles per second; restrained luminance.</w:t>
            </w:r>
          </w:p>
        </w:tc>
      </w:tr>
      <w:tr>
        <w:tc>
          <w:tcPr>
            <w:tcW w:type="dxa" w:w="5040"/>
            <w:vAlign w:val="center"/>
          </w:tcPr>
          <w:p>
            <w:r>
              <w:rPr>
                <w:sz w:val="16"/>
              </w:rPr>
              <w:t>Handoff</w:t>
            </w:r>
          </w:p>
        </w:tc>
        <w:tc>
          <w:tcPr>
            <w:tcW w:type="dxa" w:w="5040"/>
            <w:vAlign w:val="center"/>
          </w:tcPr>
          <w:p>
            <w:r>
              <w:rPr>
                <w:sz w:val="16"/>
              </w:rPr>
              <w:t>Slow directional dash/glow from source to target; about 1.4–1.8 second cycle.</w:t>
            </w:r>
          </w:p>
        </w:tc>
      </w:tr>
      <w:tr>
        <w:tc>
          <w:tcPr>
            <w:tcW w:type="dxa" w:w="5040"/>
            <w:vAlign w:val="center"/>
            <w:shd w:fill="F3F6F8"/>
          </w:tcPr>
          <w:p>
            <w:r>
              <w:rPr>
                <w:sz w:val="16"/>
              </w:rPr>
              <w:t>Completed</w:t>
            </w:r>
          </w:p>
        </w:tc>
        <w:tc>
          <w:tcPr>
            <w:tcW w:type="dxa" w:w="5040"/>
            <w:vAlign w:val="center"/>
            <w:shd w:fill="F3F6F8"/>
          </w:tcPr>
          <w:p>
            <w:r>
              <w:rPr>
                <w:sz w:val="16"/>
              </w:rPr>
              <w:t>One cyan-to-green transition, then static completed marker.</w:t>
            </w:r>
          </w:p>
        </w:tc>
      </w:tr>
      <w:tr>
        <w:tc>
          <w:tcPr>
            <w:tcW w:type="dxa" w:w="5040"/>
            <w:vAlign w:val="center"/>
          </w:tcPr>
          <w:p>
            <w:r>
              <w:rPr>
                <w:sz w:val="16"/>
              </w:rPr>
              <w:t>Failed</w:t>
            </w:r>
          </w:p>
        </w:tc>
        <w:tc>
          <w:tcPr>
            <w:tcW w:type="dxa" w:w="5040"/>
            <w:vAlign w:val="center"/>
          </w:tcPr>
          <w:p>
            <w:r>
              <w:rPr>
                <w:sz w:val="16"/>
              </w:rPr>
              <w:t>One short red transition, then static red. No repeated flash.</w:t>
            </w:r>
          </w:p>
        </w:tc>
      </w:tr>
      <w:tr>
        <w:tc>
          <w:tcPr>
            <w:tcW w:type="dxa" w:w="5040"/>
            <w:vAlign w:val="center"/>
            <w:shd w:fill="F3F6F8"/>
          </w:tcPr>
          <w:p>
            <w:r>
              <w:rPr>
                <w:sz w:val="16"/>
              </w:rPr>
              <w:t>Reduced motion</w:t>
            </w:r>
          </w:p>
        </w:tc>
        <w:tc>
          <w:tcPr>
            <w:tcW w:type="dxa" w:w="5040"/>
            <w:vAlign w:val="center"/>
            <w:shd w:fill="F3F6F8"/>
          </w:tcPr>
          <w:p>
            <w:r>
              <w:rPr>
                <w:sz w:val="16"/>
              </w:rPr>
              <w:t>No repeated pulse or moving dash; static border/text status.</w:t>
            </w:r>
          </w:p>
        </w:tc>
      </w:tr>
    </w:tbl>
    <w:p/>
    <w:p>
      <w:pPr>
        <w:pStyle w:val="Heading1"/>
      </w:pPr>
      <w:r>
        <w:t>16. Tables and graphs</w:t>
      </w:r>
    </w:p>
    <w:p>
      <w:pPr>
        <w:pStyle w:val="ListBullet"/>
      </w:pPr>
      <w:r>
        <w:t>Charts exist to explain governance, not decorate the UI.</w:t>
      </w:r>
    </w:p>
    <w:p>
      <w:pPr>
        <w:pStyle w:val="ListBullet"/>
      </w:pPr>
      <w:r>
        <w:t>Every chart has a table or inspectable numeric view.</w:t>
      </w:r>
    </w:p>
    <w:p>
      <w:pPr>
        <w:pStyle w:val="ListBullet"/>
      </w:pPr>
      <w:r>
        <w:t>Preferred review visuals: governance dimension bar/radar, hard-gate matrix, per-agent runtime bars/timeline, evidence/policy coverage table, score formula table and compact workflow-state graph.</w:t>
      </w:r>
    </w:p>
    <w:p>
      <w:pPr>
        <w:pStyle w:val="ListBullet"/>
      </w:pPr>
      <w:r>
        <w:t>Style visualizations with the same black/amber/cyan/green/red/ivory tokens, thin frames, minimal fills and monospace labels.</w:t>
      </w:r>
    </w:p>
    <w:p>
      <w:pPr>
        <w:pStyle w:val="ListBullet"/>
      </w:pPr>
      <w:r>
        <w:t>Keep charts in drawers, collapsible side panels or lower sections so they do not overpower the agent council.</w:t>
      </w:r>
    </w:p>
    <w:p>
      <w:pPr>
        <w:pStyle w:val="Heading1"/>
      </w:pPr>
      <w:r>
        <w:t>17. Safety and Responsible AI contract</w:t>
      </w:r>
    </w:p>
    <w:p>
      <w:pPr>
        <w:pStyle w:val="ListBullet"/>
      </w:pPr>
      <w:r>
        <w:t>Authorized artifacts only.</w:t>
      </w:r>
    </w:p>
    <w:p>
      <w:pPr>
        <w:pStyle w:val="ListBullet"/>
      </w:pPr>
      <w:r>
        <w:t>Uploaded transcript, briefs, policy text and retrieved text are untrusted evidence. Embedded instructions cannot change system rules or call tools.</w:t>
      </w:r>
    </w:p>
    <w:p>
      <w:pPr>
        <w:pStyle w:val="ListBullet"/>
      </w:pPr>
      <w:r>
        <w:t>No employee or participant evaluation, ranking or individual sentiment scoring.</w:t>
      </w:r>
    </w:p>
    <w:p>
      <w:pPr>
        <w:pStyle w:val="ListBullet"/>
      </w:pPr>
      <w:r>
        <w:t>No protected-characteristic inference or discriminatory targeting.</w:t>
      </w:r>
    </w:p>
    <w:p>
      <w:pPr>
        <w:pStyle w:val="ListBullet"/>
      </w:pPr>
      <w:r>
        <w:t>No autonomous campaign approval, execution or budget release.</w:t>
      </w:r>
    </w:p>
    <w:p>
      <w:pPr>
        <w:pStyle w:val="ListBullet"/>
      </w:pPr>
      <w:r>
        <w:t>Policy findings must cite an activated source. Missing required policy coverage escalates to specialist/human review.</w:t>
      </w:r>
    </w:p>
    <w:p>
      <w:pPr>
        <w:pStyle w:val="ListBullet"/>
      </w:pPr>
      <w:r>
        <w:t>Hard gates execute outside model authority.</w:t>
      </w:r>
    </w:p>
    <w:p>
      <w:pPr>
        <w:pStyle w:val="ListBullet"/>
      </w:pPr>
      <w:r>
        <w:t>Finance calculations are deterministic and authoritative outside the LLM.</w:t>
      </w:r>
    </w:p>
    <w:p>
      <w:pPr>
        <w:pStyle w:val="ListBullet"/>
      </w:pPr>
      <w:r>
        <w:t>Human disposition is mandatory.</w:t>
      </w:r>
    </w:p>
    <w:p>
      <w:pPr>
        <w:pStyle w:val="ListBullet"/>
      </w:pPr>
      <w:r>
        <w:t>Persist only concise rationale, findings, evidence, handoffs and decisions. Do not expose or store hidden chain-of-thought.</w:t>
      </w:r>
    </w:p>
    <w:p>
      <w:pPr>
        <w:pStyle w:val="ListBullet"/>
      </w:pPr>
      <w:r>
        <w:t>Failure and fallback states must be visible; never silently pretend that a model/policy/database component succeeded.</w:t>
      </w:r>
    </w:p>
    <w:p>
      <w:pPr>
        <w:pStyle w:val="Heading1"/>
      </w:pPr>
      <w:r>
        <w:t>18. Agent behavior tuning page</w:t>
      </w:r>
    </w:p>
    <w:p>
      <w:r>
        <w:t>Behavior tuning is a bounded extension. Sliders may change presentation or analytic posture slightly. Safety, policy precedence, hard gates and human authority are immutable.</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r>
              <w:rPr>
                <w:b/>
                <w:color w:val="FFFFFF"/>
                <w:sz w:val="17"/>
              </w:rPr>
              <w:t>Allowed tuning examples</w:t>
            </w:r>
          </w:p>
        </w:tc>
        <w:tc>
          <w:tcPr>
            <w:tcW w:type="dxa" w:w="5040"/>
            <w:shd w:fill="17324D"/>
            <w:vAlign w:val="center"/>
          </w:tcPr>
          <w:p>
            <w:r>
              <w:rPr>
                <w:b/>
                <w:color w:val="FFFFFF"/>
                <w:sz w:val="17"/>
              </w:rPr>
              <w:t>Never tunable</w:t>
            </w:r>
          </w:p>
        </w:tc>
      </w:tr>
      <w:tr>
        <w:tc>
          <w:tcPr>
            <w:tcW w:type="dxa" w:w="5040"/>
            <w:vAlign w:val="center"/>
          </w:tcPr>
          <w:p>
            <w:r>
              <w:rPr>
                <w:sz w:val="16"/>
              </w:rPr>
              <w:t>Conservative ↔ exploratory growth posture</w:t>
            </w:r>
          </w:p>
        </w:tc>
        <w:tc>
          <w:tcPr>
            <w:tcW w:type="dxa" w:w="5040"/>
            <w:vAlign w:val="center"/>
          </w:tcPr>
          <w:p>
            <w:r>
              <w:rPr>
                <w:sz w:val="16"/>
              </w:rPr>
              <w:t>Whether compliance findings apply</w:t>
            </w:r>
          </w:p>
        </w:tc>
      </w:tr>
      <w:tr>
        <w:tc>
          <w:tcPr>
            <w:tcW w:type="dxa" w:w="5040"/>
            <w:vAlign w:val="center"/>
            <w:shd w:fill="F3F6F8"/>
          </w:tcPr>
          <w:p>
            <w:r>
              <w:rPr>
                <w:sz w:val="16"/>
              </w:rPr>
              <w:t>Near-term ↔ long-term opportunity emphasis</w:t>
            </w:r>
          </w:p>
        </w:tc>
        <w:tc>
          <w:tcPr>
            <w:tcW w:type="dxa" w:w="5040"/>
            <w:vAlign w:val="center"/>
            <w:shd w:fill="F3F6F8"/>
          </w:tcPr>
          <w:p>
            <w:r>
              <w:rPr>
                <w:sz w:val="16"/>
              </w:rPr>
              <w:t>Whether a hard budget gate can be ignored</w:t>
            </w:r>
          </w:p>
        </w:tc>
      </w:tr>
      <w:tr>
        <w:tc>
          <w:tcPr>
            <w:tcW w:type="dxa" w:w="5040"/>
            <w:vAlign w:val="center"/>
          </w:tcPr>
          <w:p>
            <w:r>
              <w:rPr>
                <w:sz w:val="16"/>
              </w:rPr>
              <w:t>Concise ↔ detailed explanation</w:t>
            </w:r>
          </w:p>
        </w:tc>
        <w:tc>
          <w:tcPr>
            <w:tcW w:type="dxa" w:w="5040"/>
            <w:vAlign w:val="center"/>
          </w:tcPr>
          <w:p>
            <w:r>
              <w:rPr>
                <w:sz w:val="16"/>
              </w:rPr>
              <w:t>Whether protected characteristics can be inferred</w:t>
            </w:r>
          </w:p>
        </w:tc>
      </w:tr>
      <w:tr>
        <w:tc>
          <w:tcPr>
            <w:tcW w:type="dxa" w:w="5040"/>
            <w:vAlign w:val="center"/>
            <w:shd w:fill="F3F6F8"/>
          </w:tcPr>
          <w:p>
            <w:r>
              <w:rPr>
                <w:sz w:val="16"/>
              </w:rPr>
              <w:t>Literal ↔ interpretive audience reading within supplied evidence</w:t>
            </w:r>
          </w:p>
        </w:tc>
        <w:tc>
          <w:tcPr>
            <w:tcW w:type="dxa" w:w="5040"/>
            <w:vAlign w:val="center"/>
            <w:shd w:fill="F3F6F8"/>
          </w:tcPr>
          <w:p>
            <w:r>
              <w:rPr>
                <w:sz w:val="16"/>
              </w:rPr>
              <w:t>Whether the system can autonomously approve</w:t>
            </w:r>
          </w:p>
        </w:tc>
      </w:tr>
      <w:tr>
        <w:tc>
          <w:tcPr>
            <w:tcW w:type="dxa" w:w="5040"/>
            <w:vAlign w:val="center"/>
          </w:tcPr>
          <w:p>
            <w:r>
              <w:rPr>
                <w:sz w:val="16"/>
              </w:rPr>
              <w:t>Minimum ↔ broader policy retrieval depth</w:t>
            </w:r>
          </w:p>
        </w:tc>
        <w:tc>
          <w:tcPr>
            <w:tcW w:type="dxa" w:w="5040"/>
            <w:vAlign w:val="center"/>
          </w:tcPr>
          <w:p>
            <w:r>
              <w:rPr>
                <w:sz w:val="16"/>
              </w:rPr>
              <w:t>Whether unsupported evidence can be invented</w:t>
            </w:r>
          </w:p>
        </w:tc>
      </w:tr>
    </w:tbl>
    <w:p/>
    <w:p>
      <w:r>
        <w:t>Tuning values must be stored as versioned configuration, displayed in the evaluation metadata, and translated into bounded prompt/configuration parameters. They must not silently rewrite core agent contracts.</w:t>
      </w:r>
    </w:p>
    <w:p>
      <w:pPr>
        <w:pStyle w:val="Heading1"/>
      </w:pPr>
      <w:r>
        <w:t>19. Architecture constitution</w:t>
      </w:r>
    </w:p>
    <w:p>
      <w:pPr>
        <w:pStyle w:val="ListNumber"/>
      </w:pPr>
      <w:r>
        <w:t>The core path may not be bypassed by a new feature.</w:t>
      </w:r>
    </w:p>
    <w:p>
      <w:pPr>
        <w:pStyle w:val="ListNumber"/>
      </w:pPr>
      <w:r>
        <w:t>Frontend communicates with FastAPI only. React never reads SQLite or Ollama directly.</w:t>
      </w:r>
    </w:p>
    <w:p>
      <w:pPr>
        <w:pStyle w:val="ListNumber"/>
      </w:pPr>
      <w:r>
        <w:t>Business logic lives in services/providers, not route handlers or React components.</w:t>
      </w:r>
    </w:p>
    <w:p>
      <w:pPr>
        <w:pStyle w:val="ListNumber"/>
      </w:pPr>
      <w:r>
        <w:t>All stable boundaries use typed schemas.</w:t>
      </w:r>
    </w:p>
    <w:p>
      <w:pPr>
        <w:pStyle w:val="ListNumber"/>
      </w:pPr>
      <w:r>
        <w:t>Agents accept validated inputs and return validated outputs.</w:t>
      </w:r>
    </w:p>
    <w:p>
      <w:pPr>
        <w:pStyle w:val="ListNumber"/>
      </w:pPr>
      <w:r>
        <w:t>Peer interaction occurs through orchestrated council messages/digests. Do not create uncontrolled private agent-to-agent loops.</w:t>
      </w:r>
    </w:p>
    <w:p>
      <w:pPr>
        <w:pStyle w:val="ListNumber"/>
      </w:pPr>
      <w:r>
        <w:t>The Intermediary synthesizes; the Intermediary does not erase authoritative gates.</w:t>
      </w:r>
    </w:p>
    <w:p>
      <w:pPr>
        <w:pStyle w:val="ListNumber"/>
      </w:pPr>
      <w:r>
        <w:t>Python deterministic functions are authoritative for finance and hard-gate evaluation.</w:t>
      </w:r>
    </w:p>
    <w:p>
      <w:pPr>
        <w:pStyle w:val="ListNumber"/>
      </w:pPr>
      <w:r>
        <w:t>Every completed workflow stage is persisted.</w:t>
      </w:r>
    </w:p>
    <w:p>
      <w:pPr>
        <w:pStyle w:val="ListNumber"/>
      </w:pPr>
      <w:r>
        <w:t>Every important transition emits a timestamped human-readable event plus structured metadata.</w:t>
      </w:r>
    </w:p>
    <w:p>
      <w:pPr>
        <w:pStyle w:val="ListNumber"/>
      </w:pPr>
      <w:r>
        <w:t>No visible control is decorative. It must act, be intentionally disabled with a reason, or be removed.</w:t>
      </w:r>
    </w:p>
    <w:p>
      <w:pPr>
        <w:pStyle w:val="ListNumber"/>
      </w:pPr>
      <w:r>
        <w:t>Provider/repository interfaces must protect future plug-and-play replacement: ModelProvider, PolicyProvider, StorageRepository, optional HistoricalDataProvider and MetricsProvider.</w:t>
      </w:r>
    </w:p>
    <w:p>
      <w:pPr>
        <w:pStyle w:val="ListNumber"/>
      </w:pPr>
      <w:r>
        <w:t>Prefer extension over replacement. A future FAISS retriever, cloud model, analytics engine or test lab plugs into a stable interface instead of rewriting the council.</w:t>
      </w:r>
    </w:p>
    <w:p>
      <w:pPr>
        <w:pStyle w:val="ListNumber"/>
      </w:pPr>
      <w:r>
        <w:t>Minor implementation leeway is allowed when it makes the review build safer, faster or simpler, provided the central path, safety boundaries, persisted contracts and visual language do not change.</w:t>
      </w:r>
    </w:p>
    <w:p>
      <w:pPr>
        <w:pStyle w:val="Heading1"/>
      </w:pPr>
      <w:r>
        <w:t>20. API contract</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r>
              <w:rPr>
                <w:b/>
                <w:color w:val="FFFFFF"/>
                <w:sz w:val="17"/>
              </w:rPr>
              <w:t>Method / route</w:t>
            </w:r>
          </w:p>
        </w:tc>
        <w:tc>
          <w:tcPr>
            <w:tcW w:type="dxa" w:w="5040"/>
            <w:shd w:fill="17324D"/>
            <w:vAlign w:val="center"/>
          </w:tcPr>
          <w:p>
            <w:r>
              <w:rPr>
                <w:b/>
                <w:color w:val="FFFFFF"/>
                <w:sz w:val="17"/>
              </w:rPr>
              <w:t>Purpose</w:t>
            </w:r>
          </w:p>
        </w:tc>
      </w:tr>
      <w:tr>
        <w:tc>
          <w:tcPr>
            <w:tcW w:type="dxa" w:w="5040"/>
            <w:vAlign w:val="center"/>
          </w:tcPr>
          <w:p>
            <w:r>
              <w:rPr>
                <w:sz w:val="16"/>
              </w:rPr>
              <w:t>GET /api/health</w:t>
            </w:r>
          </w:p>
        </w:tc>
        <w:tc>
          <w:tcPr>
            <w:tcW w:type="dxa" w:w="5040"/>
            <w:vAlign w:val="center"/>
          </w:tcPr>
          <w:p>
            <w:r>
              <w:rPr>
                <w:sz w:val="16"/>
              </w:rPr>
              <w:t>Server, model, database, policy index and workflow health.</w:t>
            </w:r>
          </w:p>
        </w:tc>
      </w:tr>
      <w:tr>
        <w:tc>
          <w:tcPr>
            <w:tcW w:type="dxa" w:w="5040"/>
            <w:vAlign w:val="center"/>
            <w:shd w:fill="F3F6F8"/>
          </w:tcPr>
          <w:p>
            <w:r>
              <w:rPr>
                <w:sz w:val="16"/>
              </w:rPr>
              <w:t>POST /api/evaluations</w:t>
            </w:r>
          </w:p>
        </w:tc>
        <w:tc>
          <w:tcPr>
            <w:tcW w:type="dxa" w:w="5040"/>
            <w:vAlign w:val="center"/>
            <w:shd w:fill="F3F6F8"/>
          </w:tcPr>
          <w:p>
            <w:r>
              <w:rPr>
                <w:sz w:val="16"/>
              </w:rPr>
              <w:t>Create evaluation.</w:t>
            </w:r>
          </w:p>
        </w:tc>
      </w:tr>
      <w:tr>
        <w:tc>
          <w:tcPr>
            <w:tcW w:type="dxa" w:w="5040"/>
            <w:vAlign w:val="center"/>
          </w:tcPr>
          <w:p>
            <w:r>
              <w:rPr>
                <w:sz w:val="16"/>
              </w:rPr>
              <w:t>POST /api/evaluations/{id}/artifacts</w:t>
            </w:r>
          </w:p>
        </w:tc>
        <w:tc>
          <w:tcPr>
            <w:tcW w:type="dxa" w:w="5040"/>
            <w:vAlign w:val="center"/>
          </w:tcPr>
          <w:p>
            <w:r>
              <w:rPr>
                <w:sz w:val="16"/>
              </w:rPr>
              <w:t>Upload transcript, brief or evidence.</w:t>
            </w:r>
          </w:p>
        </w:tc>
      </w:tr>
      <w:tr>
        <w:tc>
          <w:tcPr>
            <w:tcW w:type="dxa" w:w="5040"/>
            <w:vAlign w:val="center"/>
            <w:shd w:fill="F3F6F8"/>
          </w:tcPr>
          <w:p>
            <w:r>
              <w:rPr>
                <w:sz w:val="16"/>
              </w:rPr>
              <w:t>POST /api/evaluations/{id}/extract</w:t>
            </w:r>
          </w:p>
        </w:tc>
        <w:tc>
          <w:tcPr>
            <w:tcW w:type="dxa" w:w="5040"/>
            <w:vAlign w:val="center"/>
            <w:shd w:fill="F3F6F8"/>
          </w:tcPr>
          <w:p>
            <w:r>
              <w:rPr>
                <w:sz w:val="16"/>
              </w:rPr>
              <w:t>Parse and extract campaign.</w:t>
            </w:r>
          </w:p>
        </w:tc>
      </w:tr>
      <w:tr>
        <w:tc>
          <w:tcPr>
            <w:tcW w:type="dxa" w:w="5040"/>
            <w:vAlign w:val="center"/>
          </w:tcPr>
          <w:p>
            <w:r>
              <w:rPr>
                <w:sz w:val="16"/>
              </w:rPr>
              <w:t>PATCH /api/evaluations/{id}/campaign</w:t>
            </w:r>
          </w:p>
        </w:tc>
        <w:tc>
          <w:tcPr>
            <w:tcW w:type="dxa" w:w="5040"/>
            <w:vAlign w:val="center"/>
          </w:tcPr>
          <w:p>
            <w:r>
              <w:rPr>
                <w:sz w:val="16"/>
              </w:rPr>
              <w:t>Save corrected/clarified campaign fields.</w:t>
            </w:r>
          </w:p>
        </w:tc>
      </w:tr>
      <w:tr>
        <w:tc>
          <w:tcPr>
            <w:tcW w:type="dxa" w:w="5040"/>
            <w:vAlign w:val="center"/>
            <w:shd w:fill="F3F6F8"/>
          </w:tcPr>
          <w:p>
            <w:r>
              <w:rPr>
                <w:sz w:val="16"/>
              </w:rPr>
              <w:t>POST /api/evaluations/{id}/run</w:t>
            </w:r>
          </w:p>
        </w:tc>
        <w:tc>
          <w:tcPr>
            <w:tcW w:type="dxa" w:w="5040"/>
            <w:vAlign w:val="center"/>
            <w:shd w:fill="F3F6F8"/>
          </w:tcPr>
          <w:p>
            <w:r>
              <w:rPr>
                <w:sz w:val="16"/>
              </w:rPr>
              <w:t>Start/resume council processing.</w:t>
            </w:r>
          </w:p>
        </w:tc>
      </w:tr>
      <w:tr>
        <w:tc>
          <w:tcPr>
            <w:tcW w:type="dxa" w:w="5040"/>
            <w:vAlign w:val="center"/>
          </w:tcPr>
          <w:p>
            <w:r>
              <w:rPr>
                <w:sz w:val="16"/>
              </w:rPr>
              <w:t>GET /api/evaluations/{id}/status</w:t>
            </w:r>
          </w:p>
        </w:tc>
        <w:tc>
          <w:tcPr>
            <w:tcW w:type="dxa" w:w="5040"/>
            <w:vAlign w:val="center"/>
          </w:tcPr>
          <w:p>
            <w:r>
              <w:rPr>
                <w:sz w:val="16"/>
              </w:rPr>
              <w:t>Current stage, percent/state, current roles and messages.</w:t>
            </w:r>
          </w:p>
        </w:tc>
      </w:tr>
      <w:tr>
        <w:tc>
          <w:tcPr>
            <w:tcW w:type="dxa" w:w="5040"/>
            <w:vAlign w:val="center"/>
            <w:shd w:fill="F3F6F8"/>
          </w:tcPr>
          <w:p>
            <w:r>
              <w:rPr>
                <w:sz w:val="16"/>
              </w:rPr>
              <w:t>GET /api/evaluations/{id}/results</w:t>
            </w:r>
          </w:p>
        </w:tc>
        <w:tc>
          <w:tcPr>
            <w:tcW w:type="dxa" w:w="5040"/>
            <w:vAlign w:val="center"/>
            <w:shd w:fill="F3F6F8"/>
          </w:tcPr>
          <w:p>
            <w:r>
              <w:rPr>
                <w:sz w:val="16"/>
              </w:rPr>
              <w:t>Findings, scorecard, citations, council responses and revision.</w:t>
            </w:r>
          </w:p>
        </w:tc>
      </w:tr>
      <w:tr>
        <w:tc>
          <w:tcPr>
            <w:tcW w:type="dxa" w:w="5040"/>
            <w:vAlign w:val="center"/>
          </w:tcPr>
          <w:p>
            <w:r>
              <w:rPr>
                <w:sz w:val="16"/>
              </w:rPr>
              <w:t>POST /api/evaluations/{id}/disposition</w:t>
            </w:r>
          </w:p>
        </w:tc>
        <w:tc>
          <w:tcPr>
            <w:tcW w:type="dxa" w:w="5040"/>
            <w:vAlign w:val="center"/>
          </w:tcPr>
          <w:p>
            <w:r>
              <w:rPr>
                <w:sz w:val="16"/>
              </w:rPr>
              <w:t>Record human decision and notes.</w:t>
            </w:r>
          </w:p>
        </w:tc>
      </w:tr>
      <w:tr>
        <w:tc>
          <w:tcPr>
            <w:tcW w:type="dxa" w:w="5040"/>
            <w:vAlign w:val="center"/>
            <w:shd w:fill="F3F6F8"/>
          </w:tcPr>
          <w:p>
            <w:r>
              <w:rPr>
                <w:sz w:val="16"/>
              </w:rPr>
              <w:t>GET /api/evaluations/{id}/events</w:t>
            </w:r>
          </w:p>
        </w:tc>
        <w:tc>
          <w:tcPr>
            <w:tcW w:type="dxa" w:w="5040"/>
            <w:vAlign w:val="center"/>
            <w:shd w:fill="F3F6F8"/>
          </w:tcPr>
          <w:p>
            <w:r>
              <w:rPr>
                <w:sz w:val="16"/>
              </w:rPr>
              <w:t>SSE or polling feed for workflow events.</w:t>
            </w:r>
          </w:p>
        </w:tc>
      </w:tr>
      <w:tr>
        <w:tc>
          <w:tcPr>
            <w:tcW w:type="dxa" w:w="5040"/>
            <w:vAlign w:val="center"/>
          </w:tcPr>
          <w:p>
            <w:r>
              <w:rPr>
                <w:sz w:val="16"/>
              </w:rPr>
              <w:t>GET /api/audit</w:t>
            </w:r>
          </w:p>
        </w:tc>
        <w:tc>
          <w:tcPr>
            <w:tcW w:type="dxa" w:w="5040"/>
            <w:vAlign w:val="center"/>
          </w:tcPr>
          <w:p>
            <w:r>
              <w:rPr>
                <w:sz w:val="16"/>
              </w:rPr>
              <w:t>Authorized audit/history view.</w:t>
            </w:r>
          </w:p>
        </w:tc>
      </w:tr>
    </w:tbl>
    <w:p/>
    <w:p>
      <w:pPr>
        <w:pStyle w:val="Heading1"/>
      </w:pPr>
      <w:r>
        <w:t>21. Persistence model</w:t>
      </w:r>
    </w:p>
    <w:p>
      <w:pPr>
        <w:pStyle w:val="ListBullet"/>
      </w:pPr>
      <w:r>
        <w:t>Minimum durable entities: evaluations, uploaded artifacts/file metadata, normalized transcript segments, extracted campaign, agent runs, council responses/handoffs, policy citations, calculations, scorecard/gates, workflow events, tuning snapshot and human dispositions.</w:t>
      </w:r>
    </w:p>
    <w:p>
      <w:pPr>
        <w:pStyle w:val="ListBullet"/>
      </w:pPr>
      <w:r>
        <w:t>SQLite is authoritative for review-stage structured state. Uploaded files remain on the server-side local file store.</w:t>
      </w:r>
    </w:p>
    <w:p>
      <w:pPr>
        <w:pStyle w:val="ListBullet"/>
      </w:pPr>
      <w:r>
        <w:t>Persist after each completed specialist and council stage. Refreshing the browser must not erase completed work.</w:t>
      </w:r>
    </w:p>
    <w:p>
      <w:pPr>
        <w:pStyle w:val="ListBullet"/>
      </w:pPr>
      <w:r>
        <w:t>Use migrations or an explicit schema-version mechanism from the beginning so later iterations do not silently drift.</w:t>
      </w:r>
    </w:p>
    <w:p>
      <w:pPr>
        <w:pStyle w:val="Heading1"/>
      </w:pPr>
      <w:r>
        <w:t>22. Data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24D"/>
            <w:vAlign w:val="center"/>
          </w:tcPr>
          <w:p>
            <w:r>
              <w:rPr>
                <w:b/>
                <w:color w:val="FFFFFF"/>
                <w:sz w:val="17"/>
              </w:rPr>
              <w:t>Data</w:t>
            </w:r>
          </w:p>
        </w:tc>
        <w:tc>
          <w:tcPr>
            <w:tcW w:type="dxa" w:w="3360"/>
            <w:shd w:fill="17324D"/>
            <w:vAlign w:val="center"/>
          </w:tcPr>
          <w:p>
            <w:r>
              <w:rPr>
                <w:b/>
                <w:color w:val="FFFFFF"/>
                <w:sz w:val="17"/>
              </w:rPr>
              <w:t>Purpose</w:t>
            </w:r>
          </w:p>
        </w:tc>
        <w:tc>
          <w:tcPr>
            <w:tcW w:type="dxa" w:w="3360"/>
            <w:shd w:fill="17324D"/>
            <w:vAlign w:val="center"/>
          </w:tcPr>
          <w:p>
            <w:r>
              <w:rPr>
                <w:b/>
                <w:color w:val="FFFFFF"/>
                <w:sz w:val="17"/>
              </w:rPr>
              <w:t>Review-build treatment</w:t>
            </w:r>
          </w:p>
        </w:tc>
      </w:tr>
      <w:tr>
        <w:tc>
          <w:tcPr>
            <w:tcW w:type="dxa" w:w="3360"/>
            <w:vAlign w:val="center"/>
          </w:tcPr>
          <w:p>
            <w:r>
              <w:rPr>
                <w:sz w:val="16"/>
              </w:rPr>
              <w:t>Teams VTT / text / briefs</w:t>
            </w:r>
          </w:p>
        </w:tc>
        <w:tc>
          <w:tcPr>
            <w:tcW w:type="dxa" w:w="3360"/>
            <w:vAlign w:val="center"/>
          </w:tcPr>
          <w:p>
            <w:r>
              <w:rPr>
                <w:sz w:val="16"/>
              </w:rPr>
              <w:t>Primary case evidence</w:t>
            </w:r>
          </w:p>
        </w:tc>
        <w:tc>
          <w:tcPr>
            <w:tcW w:type="dxa" w:w="3360"/>
            <w:vAlign w:val="center"/>
          </w:tcPr>
          <w:p>
            <w:r>
              <w:rPr>
                <w:sz w:val="16"/>
              </w:rPr>
              <w:t>Real parser; prepared and reviewer-provided inputs.</w:t>
            </w:r>
          </w:p>
        </w:tc>
      </w:tr>
      <w:tr>
        <w:tc>
          <w:tcPr>
            <w:tcW w:type="dxa" w:w="3360"/>
            <w:vAlign w:val="center"/>
            <w:shd w:fill="F3F6F8"/>
          </w:tcPr>
          <w:p>
            <w:r>
              <w:rPr>
                <w:sz w:val="16"/>
              </w:rPr>
              <w:t>Maven Marketing Campaign Results</w:t>
            </w:r>
          </w:p>
        </w:tc>
        <w:tc>
          <w:tcPr>
            <w:tcW w:type="dxa" w:w="3360"/>
            <w:vAlign w:val="center"/>
            <w:shd w:fill="F3F6F8"/>
          </w:tcPr>
          <w:p>
            <w:r>
              <w:rPr>
                <w:sz w:val="16"/>
              </w:rPr>
              <w:t>Aggregate response/channel benchmark described in original spec</w:t>
            </w:r>
          </w:p>
        </w:tc>
        <w:tc>
          <w:tcPr>
            <w:tcW w:type="dxa" w:w="3360"/>
            <w:vAlign w:val="center"/>
            <w:shd w:fill="F3F6F8"/>
          </w:tcPr>
          <w:p>
            <w:r>
              <w:rPr>
                <w:sz w:val="16"/>
              </w:rPr>
              <w:t>Optional real aggregate/context provider; do not block core path.</w:t>
            </w:r>
          </w:p>
        </w:tc>
      </w:tr>
      <w:tr>
        <w:tc>
          <w:tcPr>
            <w:tcW w:type="dxa" w:w="3360"/>
            <w:vAlign w:val="center"/>
          </w:tcPr>
          <w:p>
            <w:r>
              <w:rPr>
                <w:sz w:val="16"/>
              </w:rPr>
              <w:t>MeetingBank</w:t>
            </w:r>
          </w:p>
        </w:tc>
        <w:tc>
          <w:tcPr>
            <w:tcW w:type="dxa" w:w="3360"/>
            <w:vAlign w:val="center"/>
          </w:tcPr>
          <w:p>
            <w:r>
              <w:rPr>
                <w:sz w:val="16"/>
              </w:rPr>
              <w:t>Long-transcript processing benchmark, not marketing ground truth</w:t>
            </w:r>
          </w:p>
        </w:tc>
        <w:tc>
          <w:tcPr>
            <w:tcW w:type="dxa" w:w="3360"/>
            <w:vAlign w:val="center"/>
          </w:tcPr>
          <w:p>
            <w:r>
              <w:rPr>
                <w:sz w:val="16"/>
              </w:rPr>
              <w:t>Deferred from live path; compatibility retained.</w:t>
            </w:r>
          </w:p>
        </w:tc>
      </w:tr>
      <w:tr>
        <w:tc>
          <w:tcPr>
            <w:tcW w:type="dxa" w:w="3360"/>
            <w:vAlign w:val="center"/>
            <w:shd w:fill="F3F6F8"/>
          </w:tcPr>
          <w:p>
            <w:r>
              <w:rPr>
                <w:sz w:val="16"/>
              </w:rPr>
              <w:t>FTC/EU + synthetic internal policy packs</w:t>
            </w:r>
          </w:p>
        </w:tc>
        <w:tc>
          <w:tcPr>
            <w:tcW w:type="dxa" w:w="3360"/>
            <w:vAlign w:val="center"/>
            <w:shd w:fill="F3F6F8"/>
          </w:tcPr>
          <w:p>
            <w:r>
              <w:rPr>
                <w:sz w:val="16"/>
              </w:rPr>
              <w:t>Audit retrieval/citations</w:t>
            </w:r>
          </w:p>
        </w:tc>
        <w:tc>
          <w:tcPr>
            <w:tcW w:type="dxa" w:w="3360"/>
            <w:vAlign w:val="center"/>
            <w:shd w:fill="F3F6F8"/>
          </w:tcPr>
          <w:p>
            <w:r>
              <w:rPr>
                <w:sz w:val="16"/>
              </w:rPr>
              <w:t>Use a small approved real subset plus transparent synthetic internal rules; broader packs plug in later.</w:t>
            </w:r>
          </w:p>
        </w:tc>
      </w:tr>
      <w:tr>
        <w:tc>
          <w:tcPr>
            <w:tcW w:type="dxa" w:w="3360"/>
            <w:vAlign w:val="center"/>
          </w:tcPr>
          <w:p>
            <w:r>
              <w:rPr>
                <w:sz w:val="16"/>
              </w:rPr>
              <w:t>Synthetic campaign cases</w:t>
            </w:r>
          </w:p>
        </w:tc>
        <w:tc>
          <w:tcPr>
            <w:tcW w:type="dxa" w:w="3360"/>
            <w:vAlign w:val="center"/>
          </w:tcPr>
          <w:p>
            <w:r>
              <w:rPr>
                <w:sz w:val="16"/>
              </w:rPr>
              <w:t>Regression, hard-gate, council, security and demonstration tests</w:t>
            </w:r>
          </w:p>
        </w:tc>
        <w:tc>
          <w:tcPr>
            <w:tcW w:type="dxa" w:w="3360"/>
            <w:vAlign w:val="center"/>
          </w:tcPr>
          <w:p>
            <w:r>
              <w:rPr>
                <w:sz w:val="16"/>
              </w:rPr>
              <w:t>Keep a small labeled suite with known expected gates.</w:t>
            </w:r>
          </w:p>
        </w:tc>
      </w:tr>
    </w:tbl>
    <w:p/>
    <w:p>
      <w:r>
        <w:t>Do not fabricate performance measurements. Synthetic cases may be used for testing, but the UI/documentation must label synthetic data as synthetic.</w:t>
      </w:r>
    </w:p>
    <w:p>
      <w:pPr>
        <w:pStyle w:val="Heading1"/>
      </w:pPr>
      <w:r>
        <w:t>23. What is intentionally deferred</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r>
              <w:rPr>
                <w:b/>
                <w:color w:val="FFFFFF"/>
                <w:sz w:val="17"/>
              </w:rPr>
              <w:t>Deferred feature</w:t>
            </w:r>
          </w:p>
        </w:tc>
        <w:tc>
          <w:tcPr>
            <w:tcW w:type="dxa" w:w="5040"/>
            <w:shd w:fill="17324D"/>
            <w:vAlign w:val="center"/>
          </w:tcPr>
          <w:p>
            <w:r>
              <w:rPr>
                <w:b/>
                <w:color w:val="FFFFFF"/>
                <w:sz w:val="17"/>
              </w:rPr>
              <w:t>What remains now so it can plug in later</w:t>
            </w:r>
          </w:p>
        </w:tc>
      </w:tr>
      <w:tr>
        <w:tc>
          <w:tcPr>
            <w:tcW w:type="dxa" w:w="5040"/>
            <w:vAlign w:val="center"/>
          </w:tcPr>
          <w:p>
            <w:r>
              <w:rPr>
                <w:sz w:val="16"/>
              </w:rPr>
              <w:t>Full benchmark/ML metrics lab</w:t>
            </w:r>
          </w:p>
        </w:tc>
        <w:tc>
          <w:tcPr>
            <w:tcW w:type="dxa" w:w="5040"/>
            <w:vAlign w:val="center"/>
          </w:tcPr>
          <w:p>
            <w:r>
              <w:rPr>
                <w:sz w:val="16"/>
              </w:rPr>
              <w:t>BenchmarkCase and MetricsProvider contracts; small regression cases only.</w:t>
            </w:r>
          </w:p>
        </w:tc>
      </w:tr>
      <w:tr>
        <w:tc>
          <w:tcPr>
            <w:tcW w:type="dxa" w:w="5040"/>
            <w:vAlign w:val="center"/>
            <w:shd w:fill="F3F6F8"/>
          </w:tcPr>
          <w:p>
            <w:r>
              <w:rPr>
                <w:sz w:val="16"/>
              </w:rPr>
              <w:t>Full FAISS/embedding policy stack</w:t>
            </w:r>
          </w:p>
        </w:tc>
        <w:tc>
          <w:tcPr>
            <w:tcW w:type="dxa" w:w="5040"/>
            <w:vAlign w:val="center"/>
            <w:shd w:fill="F3F6F8"/>
          </w:tcPr>
          <w:p>
            <w:r>
              <w:rPr>
                <w:sz w:val="16"/>
              </w:rPr>
              <w:t>PolicyProvider search/get contract; real simple retriever now; FaissPolicyProvider slot later.</w:t>
            </w:r>
          </w:p>
        </w:tc>
      </w:tr>
      <w:tr>
        <w:tc>
          <w:tcPr>
            <w:tcW w:type="dxa" w:w="5040"/>
            <w:vAlign w:val="center"/>
          </w:tcPr>
          <w:p>
            <w:r>
              <w:rPr>
                <w:sz w:val="16"/>
              </w:rPr>
              <w:t>Large policy corpus</w:t>
            </w:r>
          </w:p>
        </w:tc>
        <w:tc>
          <w:tcPr>
            <w:tcW w:type="dxa" w:w="5040"/>
            <w:vAlign w:val="center"/>
          </w:tcPr>
          <w:p>
            <w:r>
              <w:rPr>
                <w:sz w:val="16"/>
              </w:rPr>
              <w:t>Versioned policy-source format and activation metadata.</w:t>
            </w:r>
          </w:p>
        </w:tc>
      </w:tr>
      <w:tr>
        <w:tc>
          <w:tcPr>
            <w:tcW w:type="dxa" w:w="5040"/>
            <w:vAlign w:val="center"/>
            <w:shd w:fill="F3F6F8"/>
          </w:tcPr>
          <w:p>
            <w:r>
              <w:rPr>
                <w:sz w:val="16"/>
              </w:rPr>
              <w:t>Advanced reconnect/retry engine</w:t>
            </w:r>
          </w:p>
        </w:tc>
        <w:tc>
          <w:tcPr>
            <w:tcW w:type="dxa" w:w="5040"/>
            <w:vAlign w:val="center"/>
            <w:shd w:fill="F3F6F8"/>
          </w:tcPr>
          <w:p>
            <w:r>
              <w:rPr>
                <w:sz w:val="16"/>
              </w:rPr>
              <w:t>Persisted stage/checkpoint and safe per-stage retry.</w:t>
            </w:r>
          </w:p>
        </w:tc>
      </w:tr>
      <w:tr>
        <w:tc>
          <w:tcPr>
            <w:tcW w:type="dxa" w:w="5040"/>
            <w:vAlign w:val="center"/>
          </w:tcPr>
          <w:p>
            <w:r>
              <w:rPr>
                <w:sz w:val="16"/>
              </w:rPr>
              <w:t>Historical predictive model</w:t>
            </w:r>
          </w:p>
        </w:tc>
        <w:tc>
          <w:tcPr>
            <w:tcW w:type="dxa" w:w="5040"/>
            <w:vAlign w:val="center"/>
          </w:tcPr>
          <w:p>
            <w:r>
              <w:rPr>
                <w:sz w:val="16"/>
              </w:rPr>
              <w:t>HistoricalDataProvider interface and aggregate input schema.</w:t>
            </w:r>
          </w:p>
        </w:tc>
      </w:tr>
      <w:tr>
        <w:tc>
          <w:tcPr>
            <w:tcW w:type="dxa" w:w="5040"/>
            <w:vAlign w:val="center"/>
            <w:shd w:fill="F3F6F8"/>
          </w:tcPr>
          <w:p>
            <w:r>
              <w:rPr>
                <w:sz w:val="16"/>
              </w:rPr>
              <w:t>Extensive test dashboard</w:t>
            </w:r>
          </w:p>
        </w:tc>
        <w:tc>
          <w:tcPr>
            <w:tcW w:type="dxa" w:w="5040"/>
            <w:vAlign w:val="center"/>
            <w:shd w:fill="F3F6F8"/>
          </w:tcPr>
          <w:p>
            <w:r>
              <w:rPr>
                <w:sz w:val="16"/>
              </w:rPr>
              <w:t>Routes/components may be added later against stable test/metrics APIs.</w:t>
            </w:r>
          </w:p>
        </w:tc>
      </w:tr>
      <w:tr>
        <w:tc>
          <w:tcPr>
            <w:tcW w:type="dxa" w:w="5040"/>
            <w:vAlign w:val="center"/>
          </w:tcPr>
          <w:p>
            <w:r>
              <w:rPr>
                <w:sz w:val="16"/>
              </w:rPr>
              <w:t>Cloud deployment/model APIs</w:t>
            </w:r>
          </w:p>
        </w:tc>
        <w:tc>
          <w:tcPr>
            <w:tcW w:type="dxa" w:w="5040"/>
            <w:vAlign w:val="center"/>
          </w:tcPr>
          <w:p>
            <w:r>
              <w:rPr>
                <w:sz w:val="16"/>
              </w:rPr>
              <w:t>Provider interface only; no paid dependency required for review.</w:t>
            </w:r>
          </w:p>
        </w:tc>
      </w:tr>
      <w:tr>
        <w:tc>
          <w:tcPr>
            <w:tcW w:type="dxa" w:w="5040"/>
            <w:vAlign w:val="center"/>
            <w:shd w:fill="F3F6F8"/>
          </w:tcPr>
          <w:p>
            <w:r>
              <w:rPr>
                <w:sz w:val="16"/>
              </w:rPr>
              <w:t>Full autonomous replanning/debate</w:t>
            </w:r>
          </w:p>
        </w:tc>
        <w:tc>
          <w:tcPr>
            <w:tcW w:type="dxa" w:w="5040"/>
            <w:vAlign w:val="center"/>
            <w:shd w:fill="F3F6F8"/>
          </w:tcPr>
          <w:p>
            <w:r>
              <w:rPr>
                <w:sz w:val="16"/>
              </w:rPr>
              <w:t>Bounded council protocol only.</w:t>
            </w:r>
          </w:p>
        </w:tc>
      </w:tr>
    </w:tbl>
    <w:p/>
    <w:p>
      <w:pPr>
        <w:pStyle w:val="Heading1"/>
      </w:pPr>
      <w:r>
        <w:t>24. AntiGravity implementation doctrine</w:t>
      </w:r>
    </w:p>
    <w:p>
      <w:r>
        <w:t>AntiGravity is the primary coding executor. Prompts must be narrow, contract-driven and testable. Do not repeatedly ask it to “build the whole project.” Every prompt should state Goal, Existing contracts to inspect, Inputs, Outputs, Constraints, Files permitted to change, Acceptance tests and Explicit non-goals.</w:t>
      </w:r>
    </w:p>
    <w:p>
      <w:pPr>
        <w:pStyle w:val="ListNumber"/>
      </w:pPr>
      <w:r>
        <w:t>Repository constitution and docs: write ARCHITECTURE_RULES.md, README.md and ADRs before substantial implementation. AntiGravity must read them before modifying architecture.</w:t>
      </w:r>
    </w:p>
    <w:p>
      <w:pPr>
        <w:pStyle w:val="ListNumber"/>
      </w:pPr>
      <w:r>
        <w:t>Create repository/folder boundaries and configuration. Avoid generating decorative placeholder pages.</w:t>
      </w:r>
    </w:p>
    <w:p>
      <w:pPr>
        <w:pStyle w:val="ListNumber"/>
      </w:pPr>
      <w:r>
        <w:t>Define Pydantic domain schemas and matching frontend types before agent implementation.</w:t>
      </w:r>
    </w:p>
    <w:p>
      <w:pPr>
        <w:pStyle w:val="ListNumber"/>
      </w:pPr>
      <w:r>
        <w:t>Implement SQLite repositories and schema migration/versioning.</w:t>
      </w:r>
    </w:p>
    <w:p>
      <w:pPr>
        <w:pStyle w:val="ListNumber"/>
      </w:pPr>
      <w:r>
        <w:t>Implement ModelProvider and Ollama adapter with a deterministic fallback reserved for failure/testing, clearly labeled when active.</w:t>
      </w:r>
    </w:p>
    <w:p>
      <w:pPr>
        <w:pStyle w:val="ListNumber"/>
      </w:pPr>
      <w:r>
        <w:t>Implement transcript parser, evidence-span IDs, extraction service and sufficiency gate.</w:t>
      </w:r>
    </w:p>
    <w:p>
      <w:pPr>
        <w:pStyle w:val="ListNumber"/>
      </w:pPr>
      <w:r>
        <w:t>Implement deterministic finance and governance/hard-gate functions with unit tests.</w:t>
      </w:r>
    </w:p>
    <w:p>
      <w:pPr>
        <w:pStyle w:val="ListNumber"/>
      </w:pPr>
      <w:r>
        <w:t>Implement PolicyProvider and simple real retrieval with source IDs/citations.</w:t>
      </w:r>
    </w:p>
    <w:p>
      <w:pPr>
        <w:pStyle w:val="ListNumber"/>
      </w:pPr>
      <w:r>
        <w:t>Implement specialist agent runner and prompts against strict schemas.</w:t>
      </w:r>
    </w:p>
    <w:p>
      <w:pPr>
        <w:pStyle w:val="ListNumber"/>
      </w:pPr>
      <w:r>
        <w:t>Implement light LangGraph council orchestration, bounded reflection, checkpoint events and Intermediary synthesis.</w:t>
      </w:r>
    </w:p>
    <w:p>
      <w:pPr>
        <w:pStyle w:val="ListNumber"/>
      </w:pPr>
      <w:r>
        <w:t>Implement FastAPI routes and SSE/polling event surface against services; keep route logic thin.</w:t>
      </w:r>
    </w:p>
    <w:p>
      <w:pPr>
        <w:pStyle w:val="ListNumber"/>
      </w:pPr>
      <w:r>
        <w:t>Implement the complete Council Console vertical slice before secondary pages.</w:t>
      </w:r>
    </w:p>
    <w:p>
      <w:pPr>
        <w:pStyle w:val="ListNumber"/>
      </w:pPr>
      <w:r>
        <w:t>Connect real state to geometric agent modules, line animations, accordion transparency and event stream.</w:t>
      </w:r>
    </w:p>
    <w:p>
      <w:pPr>
        <w:pStyle w:val="ListNumber"/>
      </w:pPr>
      <w:r>
        <w:t>Implement natural-language presentation, score tables, operational charts and human disposition.</w:t>
      </w:r>
    </w:p>
    <w:p>
      <w:pPr>
        <w:pStyle w:val="ListNumber"/>
      </w:pPr>
      <w:r>
        <w:t>Add History, Policy, Tuning and System pages only after the central path passes end-to-end.</w:t>
      </w:r>
    </w:p>
    <w:p>
      <w:pPr>
        <w:pStyle w:val="ListNumber"/>
      </w:pPr>
      <w:r>
        <w:t>Run smoke tests on the two-laptop network and preserve a safe local-only fallback for solo testing.</w:t>
      </w:r>
    </w:p>
    <w:p>
      <w:pPr>
        <w:pStyle w:val="Heading2"/>
      </w:pPr>
      <w:r>
        <w:t>24.1 Token-efficiency rules for AntiGravity</w:t>
      </w:r>
    </w:p>
    <w:p>
      <w:pPr>
        <w:pStyle w:val="ListBullet"/>
      </w:pPr>
      <w:r>
        <w:t>Provide file paths and existing interfaces instead of restating the whole project in every prompt.</w:t>
      </w:r>
    </w:p>
    <w:p>
      <w:pPr>
        <w:pStyle w:val="ListBullet"/>
      </w:pPr>
      <w:r>
        <w:t>Ask AntiGravity to inspect relevant files before editing and to avoid rewriting unrelated files.</w:t>
      </w:r>
    </w:p>
    <w:p>
      <w:pPr>
        <w:pStyle w:val="ListBullet"/>
      </w:pPr>
      <w:r>
        <w:t>One subsystem per prompt. Combine only tightly coupled tasks.</w:t>
      </w:r>
    </w:p>
    <w:p>
      <w:pPr>
        <w:pStyle w:val="ListBullet"/>
      </w:pPr>
      <w:r>
        <w:t>Require it to report changed files, tests run and unresolved issues concisely.</w:t>
      </w:r>
    </w:p>
    <w:p>
      <w:pPr>
        <w:pStyle w:val="ListBullet"/>
      </w:pPr>
      <w:r>
        <w:t>Prefer repair prompts that include the exact failing test/error and contract over broad “fix everything” prompts.</w:t>
      </w:r>
    </w:p>
    <w:p>
      <w:pPr>
        <w:pStyle w:val="ListBullet"/>
      </w:pPr>
      <w:r>
        <w:t>Keep prompts and agent context in version-controlled files so the same contract is reused rather than regenerated.</w:t>
      </w:r>
    </w:p>
    <w:p>
      <w:pPr>
        <w:pStyle w:val="Heading1"/>
      </w:pPr>
      <w:r>
        <w:t>25. Suggested repository shape</w:t>
      </w:r>
    </w:p>
    <w:p>
      <w:pPr>
        <w:ind w:left="360" w:right="360"/>
      </w:pPr>
      <w:r>
        <w:rPr>
          <w:rFonts w:ascii="Cascadia Mono" w:hAnsi="Cascadia Mono"/>
          <w:color w:val="17202A"/>
          <w:sz w:val="16"/>
        </w:rPr>
        <w:t>root/</w:t>
        <w:br/>
        <w:t xml:space="preserve">  frontend/</w:t>
        <w:br/>
        <w:t xml:space="preserve">    src/components/agent-map/</w:t>
        <w:br/>
        <w:t xml:space="preserve">    src/components/transparency/</w:t>
        <w:br/>
        <w:t xml:space="preserve">    src/components/charts/</w:t>
        <w:br/>
        <w:t xml:space="preserve">    src/pages/</w:t>
        <w:br/>
        <w:t xml:space="preserve">    src/api/</w:t>
        <w:br/>
        <w:t xml:space="preserve">    src/types/</w:t>
        <w:br/>
        <w:t xml:space="preserve">    src/theme/</w:t>
        <w:br/>
        <w:t xml:space="preserve">  backend/</w:t>
        <w:br/>
        <w:t xml:space="preserve">    api/</w:t>
        <w:br/>
        <w:t xml:space="preserve">    agents/</w:t>
        <w:br/>
        <w:t xml:space="preserve">      growth/  audit/  finance/  audience/  intermediary/</w:t>
        <w:br/>
        <w:t xml:space="preserve">    orchestration/</w:t>
        <w:br/>
        <w:t xml:space="preserve">    schemas/</w:t>
        <w:br/>
        <w:t xml:space="preserve">    services/</w:t>
        <w:br/>
        <w:t xml:space="preserve">    providers/</w:t>
        <w:br/>
        <w:t xml:space="preserve">    governance/</w:t>
        <w:br/>
        <w:t xml:space="preserve">    db/</w:t>
        <w:br/>
        <w:t xml:space="preserve">    ingestion/</w:t>
        <w:br/>
        <w:t xml:space="preserve">  policies/</w:t>
        <w:br/>
        <w:t xml:space="preserve">  datasets/</w:t>
        <w:br/>
        <w:t xml:space="preserve">  tests/</w:t>
        <w:br/>
        <w:t xml:space="preserve">  docs/</w:t>
        <w:br/>
        <w:t xml:space="preserve">    adr/</w:t>
        <w:br/>
        <w:t xml:space="preserve">  ARCHITECTURE_RULES.md</w:t>
        <w:br/>
        <w:t xml:space="preserve">  README.md</w:t>
      </w:r>
    </w:p>
    <w:p>
      <w:pPr>
        <w:pStyle w:val="Heading1"/>
      </w:pPr>
      <w:r>
        <w:t>26. Human-readable documentation standard</w:t>
      </w:r>
    </w:p>
    <w:p>
      <w:r>
        <w:t>README, setup, operations, errors and safety instructions use ASD-STE100-inspired controlled technical English. This project does not reproduce the copyrighted STE dictionary.</w:t>
      </w:r>
    </w:p>
    <w:p>
      <w:pPr>
        <w:pStyle w:val="ListBullet"/>
      </w:pPr>
      <w:r>
        <w:t>Use one term for one object/action in a workflow.</w:t>
      </w:r>
    </w:p>
    <w:p>
      <w:pPr>
        <w:pStyle w:val="ListBullet"/>
      </w:pPr>
      <w:r>
        <w:t>Use short direct sentences and active voice when the actor is known.</w:t>
      </w:r>
    </w:p>
    <w:p>
      <w:pPr>
        <w:pStyle w:val="ListBullet"/>
      </w:pPr>
      <w:r>
        <w:t>Put conditions before actions when sequence matters.</w:t>
      </w:r>
    </w:p>
    <w:p>
      <w:pPr>
        <w:pStyle w:val="ListBullet"/>
      </w:pPr>
      <w:r>
        <w:t>Use one instruction per numbered step.</w:t>
      </w:r>
    </w:p>
    <w:p>
      <w:pPr>
        <w:pStyle w:val="ListBullet"/>
      </w:pPr>
      <w:r>
        <w:t>Use WARNING only for serious harm; CAUTION for equipment/data/workflow damage; NOTE for supporting information.</w:t>
      </w:r>
    </w:p>
    <w:p>
      <w:pPr>
        <w:pStyle w:val="ListBullet"/>
      </w:pPr>
      <w:r>
        <w:t>Avoid vague operational words such as soon, normally, probably or appropriate.</w:t>
      </w:r>
    </w:p>
    <w:p>
      <w:pPr>
        <w:pStyle w:val="ListBullet"/>
      </w:pPr>
      <w:r>
        <w:t>Error text states what happened, why it matters and what the user must do.</w:t>
      </w:r>
    </w:p>
    <w:p>
      <w:pPr>
        <w:pStyle w:val="ListBullet"/>
      </w:pPr>
      <w:r>
        <w:t>Use exact field names, statuses, units and next actions.</w:t>
      </w:r>
    </w:p>
    <w:p>
      <w:pPr>
        <w:ind w:left="360" w:right="360"/>
      </w:pPr>
      <w:r>
        <w:rPr>
          <w:rFonts w:ascii="Cascadia Mono" w:hAnsi="Cascadia Mono"/>
          <w:color w:val="17202A"/>
          <w:sz w:val="16"/>
        </w:rPr>
        <w:t>Example setup style:</w:t>
        <w:br/>
        <w:t>1. Start Ollama on the personal laptop.</w:t>
        <w:br/>
        <w:t>2. Start the FastAPI server.</w:t>
        <w:br/>
        <w:t>3. Open the Council Console on the work laptop.</w:t>
        <w:br/>
        <w:t>4. Upload the transcript.</w:t>
        <w:br/>
        <w:t>5. Review missing-information requests.</w:t>
        <w:br/>
        <w:t>6. Start the council.</w:t>
        <w:br/>
        <w:t>7. Review the evidence and findings.</w:t>
        <w:br/>
        <w:t>8. Record the disposition.</w:t>
      </w:r>
    </w:p>
    <w:p>
      <w:pPr>
        <w:pStyle w:val="Heading1"/>
      </w:pPr>
      <w:r>
        <w:t>27. GitHub and version-control strategy</w:t>
      </w:r>
    </w:p>
    <w:p>
      <w:pPr>
        <w:pStyle w:val="ListBullet"/>
      </w:pPr>
      <w:r>
        <w:t>Use GitHub for source history, commits, tags and release notes.</w:t>
      </w:r>
    </w:p>
    <w:p>
      <w:pPr>
        <w:pStyle w:val="ListBullet"/>
      </w:pPr>
      <w:r>
        <w:t>Keep repository secrets and local data out of version control. Add model files, transcripts, SQLite runtime files, uploaded evidence, .env files and private policy material to .gitignore as appropriate.</w:t>
      </w:r>
    </w:p>
    <w:p>
      <w:pPr>
        <w:pStyle w:val="ListBullet"/>
      </w:pPr>
      <w:r>
        <w:t>A small CI workflow is optional only if it runs real lint/unit/build checks that already pass. Do not advertise an elaborate deployment pipeline that the project does not actually use.</w:t>
      </w:r>
    </w:p>
    <w:p>
      <w:pPr>
        <w:pStyle w:val="ListBullet"/>
      </w:pPr>
      <w:r>
        <w:t>For review, version control itself is valuable: show coherent commit history and tagged internal milestones rather than claiming production DevOps maturity.</w:t>
      </w:r>
    </w:p>
    <w:p>
      <w:pPr>
        <w:pStyle w:val="Heading1"/>
      </w:pPr>
      <w:r>
        <w:t>28. Review execution script</w:t>
      </w:r>
    </w:p>
    <w:p>
      <w:pPr>
        <w:pStyle w:val="ListNumber"/>
      </w:pPr>
      <w:r>
        <w:t>Open the work-laptop browser on the Council Console. Show server, model, database and policy status as online.</w:t>
      </w:r>
    </w:p>
    <w:p>
      <w:pPr>
        <w:pStyle w:val="ListNumber"/>
      </w:pPr>
      <w:r>
        <w:t>Upload a transcript or enter a marketing proposal/question. Use a case that contains enough substance to produce both positive and critical findings.</w:t>
      </w:r>
    </w:p>
    <w:p>
      <w:pPr>
        <w:pStyle w:val="ListNumber"/>
      </w:pPr>
      <w:r>
        <w:t>Allow the parser/extractor to populate campaign fields. If the case is incomplete, answer the clarification prompt live.</w:t>
      </w:r>
    </w:p>
    <w:p>
      <w:pPr>
        <w:pStyle w:val="ListNumber"/>
      </w:pPr>
      <w:r>
        <w:t>Start the council. Keep the geometric council visible while real backend events change agent states.</w:t>
      </w:r>
    </w:p>
    <w:p>
      <w:pPr>
        <w:pStyle w:val="ListNumber"/>
      </w:pPr>
      <w:r>
        <w:t>Expand at least one agent during processing. Show evidence, peer challenge/response and runtime without exposing hidden reasoning.</w:t>
      </w:r>
    </w:p>
    <w:p>
      <w:pPr>
        <w:pStyle w:val="ListNumber"/>
      </w:pPr>
      <w:r>
        <w:t>Open the final scorecard. Explain that hard gates override the weighted score.</w:t>
      </w:r>
    </w:p>
    <w:p>
      <w:pPr>
        <w:pStyle w:val="ListNumber"/>
      </w:pPr>
      <w:r>
        <w:t>Open one policy citation and one deterministic finance trace.</w:t>
      </w:r>
    </w:p>
    <w:p>
      <w:pPr>
        <w:pStyle w:val="ListNumber"/>
      </w:pPr>
      <w:r>
        <w:t>Record a human disposition. Refresh/reopen the evaluation to show persistence.</w:t>
      </w:r>
    </w:p>
    <w:p>
      <w:pPr>
        <w:pStyle w:val="ListNumber"/>
      </w:pPr>
      <w:r>
        <w:t>If useful, show History and the active tuning snapshot. Treat secondary pages as supporting evidence, not the centerpiece.</w:t>
      </w:r>
    </w:p>
    <w:p>
      <w:pPr>
        <w:pStyle w:val="Heading1"/>
      </w:pPr>
      <w:r>
        <w:t>29. Acceptance criteria for the review build</w:t>
      </w:r>
    </w:p>
    <w:p>
      <w:pPr>
        <w:pStyle w:val="ListBullet"/>
      </w:pPr>
      <w:r>
        <w:t>Work-laptop browser can use the personal-laptop server across an approved private network.</w:t>
      </w:r>
    </w:p>
    <w:p>
      <w:pPr>
        <w:pStyle w:val="ListBullet"/>
      </w:pPr>
      <w:r>
        <w:t>VTT and plain-text transcript upload works; optional brief/evidence upload works where implemented.</w:t>
      </w:r>
    </w:p>
    <w:p>
      <w:pPr>
        <w:pStyle w:val="ListBullet"/>
      </w:pPr>
      <w:r>
        <w:t>Extraction produces reviewable campaign fields with evidence-span traceability for key fields.</w:t>
      </w:r>
    </w:p>
    <w:p>
      <w:pPr>
        <w:pStyle w:val="ListBullet"/>
      </w:pPr>
      <w:r>
        <w:t>Insufficient essential information triggers a clear clarification flow.</w:t>
      </w:r>
    </w:p>
    <w:p>
      <w:pPr>
        <w:pStyle w:val="ListBullet"/>
      </w:pPr>
      <w:r>
        <w:t>At least four specialist analyses and the Intermediary execute against the submitted case; outputs change with input.</w:t>
      </w:r>
    </w:p>
    <w:p>
      <w:pPr>
        <w:pStyle w:val="ListBullet"/>
      </w:pPr>
      <w:r>
        <w:t>At least one bounded council reflection/challenge mechanism is real and visible.</w:t>
      </w:r>
    </w:p>
    <w:p>
      <w:pPr>
        <w:pStyle w:val="ListBullet"/>
      </w:pPr>
      <w:r>
        <w:t>Policy findings use a real activated source retrieval path and expose citations.</w:t>
      </w:r>
    </w:p>
    <w:p>
      <w:pPr>
        <w:pStyle w:val="ListBullet"/>
      </w:pPr>
      <w:r>
        <w:t>Finance numbers used for governance are deterministic, not LLM-generated arithmetic.</w:t>
      </w:r>
    </w:p>
    <w:p>
      <w:pPr>
        <w:pStyle w:val="ListBullet"/>
      </w:pPr>
      <w:r>
        <w:t>Hard gates cannot be overridden by positive scores or agent debate.</w:t>
      </w:r>
    </w:p>
    <w:p>
      <w:pPr>
        <w:pStyle w:val="ListBullet"/>
      </w:pPr>
      <w:r>
        <w:t>Agent state, handoffs and events update in real time through polling or SSE.</w:t>
      </w:r>
    </w:p>
    <w:p>
      <w:pPr>
        <w:pStyle w:val="ListBullet"/>
      </w:pPr>
      <w:r>
        <w:t>Agent accordion exposes concise evidence, result, council impact, final position and runtime.</w:t>
      </w:r>
    </w:p>
    <w:p>
      <w:pPr>
        <w:pStyle w:val="ListBullet"/>
      </w:pPr>
      <w:r>
        <w:t>Results are written in natural professional language while structured payloads remain inspectable.</w:t>
      </w:r>
    </w:p>
    <w:p>
      <w:pPr>
        <w:pStyle w:val="ListBullet"/>
      </w:pPr>
      <w:r>
        <w:t>Core tables/graphs match the command-console visual system and have numeric/table alternatives.</w:t>
      </w:r>
    </w:p>
    <w:p>
      <w:pPr>
        <w:pStyle w:val="ListBullet"/>
      </w:pPr>
      <w:r>
        <w:t>Human disposition is required and persisted.</w:t>
      </w:r>
    </w:p>
    <w:p>
      <w:pPr>
        <w:pStyle w:val="ListBullet"/>
      </w:pPr>
      <w:r>
        <w:t>Refresh/reconnect restores completed evaluation state.</w:t>
      </w:r>
    </w:p>
    <w:p>
      <w:pPr>
        <w:pStyle w:val="ListBullet"/>
      </w:pPr>
      <w:r>
        <w:t>Reduced-motion and accessible contrast/focus behavior remain available.</w:t>
      </w:r>
    </w:p>
    <w:p>
      <w:pPr>
        <w:pStyle w:val="ListBullet"/>
      </w:pPr>
      <w:r>
        <w:t>Fallback/provider state is visible. The system never silently substitutes fake model output for real output.</w:t>
      </w:r>
    </w:p>
    <w:p>
      <w:pPr>
        <w:pStyle w:val="Heading1"/>
      </w:pPr>
      <w:r>
        <w:t>30. Low-value-for-review features: explicit omission policy</w:t>
      </w:r>
    </w:p>
    <w:p>
      <w:r>
        <w:t>Omission is acceptable only when the core path remains credible and the future integration seam exists. Do not build fake functionality merely to fill a tab. A deferred feature should have a stable interface, schema, ADR or disabled route only when that artifact genuinely reduces future integration cost.</w:t>
      </w:r>
    </w:p>
    <w:p>
      <w:pPr>
        <w:pStyle w:val="ListBullet"/>
      </w:pPr>
      <w:r>
        <w:t>No production-scale benchmark suite for the first review build.</w:t>
      </w:r>
    </w:p>
    <w:p>
      <w:pPr>
        <w:pStyle w:val="ListBullet"/>
      </w:pPr>
      <w:r>
        <w:t>No claims of model accuracy without labeled evaluation data.</w:t>
      </w:r>
    </w:p>
    <w:p>
      <w:pPr>
        <w:pStyle w:val="ListBullet"/>
      </w:pPr>
      <w:r>
        <w:t>No exhaustive reconnect edge-case engine.</w:t>
      </w:r>
    </w:p>
    <w:p>
      <w:pPr>
        <w:pStyle w:val="ListBullet"/>
      </w:pPr>
      <w:r>
        <w:t>No production-scale policy corpus or semantic index requirement.</w:t>
      </w:r>
    </w:p>
    <w:p>
      <w:pPr>
        <w:pStyle w:val="ListBullet"/>
      </w:pPr>
      <w:r>
        <w:t>No full historical predictive model.</w:t>
      </w:r>
    </w:p>
    <w:p>
      <w:pPr>
        <w:pStyle w:val="ListBullet"/>
      </w:pPr>
      <w:r>
        <w:t>No autonomous campaign execution.</w:t>
      </w:r>
    </w:p>
    <w:p>
      <w:pPr>
        <w:pStyle w:val="ListBullet"/>
      </w:pPr>
      <w:r>
        <w:t>No uncontrolled multi-round conversational debate.</w:t>
      </w:r>
    </w:p>
    <w:p>
      <w:pPr>
        <w:pStyle w:val="ListBullet"/>
      </w:pPr>
      <w:r>
        <w:t>No ornate CI/CD story unless real checks justify it.</w:t>
      </w:r>
    </w:p>
    <w:p>
      <w:pPr>
        <w:pStyle w:val="Heading1"/>
      </w:pPr>
      <w:r>
        <w:t>31. Original specification items preserved</w:t>
      </w:r>
    </w:p>
    <w:p>
      <w:pPr>
        <w:pStyle w:val="ListBullet"/>
      </w:pPr>
      <w:r>
        <w:t>Governance-first decision boundary and mandatory human disposition.</w:t>
      </w:r>
    </w:p>
    <w:p>
      <w:pPr>
        <w:pStyle w:val="ListBullet"/>
      </w:pPr>
      <w:r>
        <w:t>Growth, Audit, Accountant, Audience and Intermediary roles.</w:t>
      </w:r>
    </w:p>
    <w:p>
      <w:pPr>
        <w:pStyle w:val="ListBullet"/>
      </w:pPr>
      <w:r>
        <w:t>Weighted 100-point campaign quality framework and hard-gate precedence.</w:t>
      </w:r>
    </w:p>
    <w:p>
      <w:pPr>
        <w:pStyle w:val="ListBullet"/>
      </w:pPr>
      <w:r>
        <w:t>Local-first FastAPI/React/Ollama/SQLite client-server deployment.</w:t>
      </w:r>
    </w:p>
    <w:p>
      <w:pPr>
        <w:pStyle w:val="ListBullet"/>
      </w:pPr>
      <w:r>
        <w:t>Policy-grounded findings, evidence traceability and deterministic finance.</w:t>
      </w:r>
    </w:p>
    <w:p>
      <w:pPr>
        <w:pStyle w:val="ListBullet"/>
      </w:pPr>
      <w:r>
        <w:t>Command-console black/amber/cyan/green/red design language.</w:t>
      </w:r>
    </w:p>
    <w:p>
      <w:pPr>
        <w:pStyle w:val="ListBullet"/>
      </w:pPr>
      <w:r>
        <w:t>Visible agent map, events, selected-agent details, formula trace and audit history.</w:t>
      </w:r>
    </w:p>
    <w:p>
      <w:pPr>
        <w:pStyle w:val="ListBullet"/>
      </w:pPr>
      <w:r>
        <w:t>Reduced motion, contrast, failure visibility and untrusted-input guardrails.</w:t>
      </w:r>
    </w:p>
    <w:p>
      <w:pPr>
        <w:pStyle w:val="ListBullet"/>
      </w:pPr>
      <w:r>
        <w:t>Provider/fallback visibility and persistence after completed stages.</w:t>
      </w:r>
    </w:p>
    <w:p>
      <w:pPr>
        <w:pStyle w:val="Heading1"/>
      </w:pPr>
      <w:r>
        <w:t>32. Material changes from the original specification</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r>
              <w:rPr>
                <w:b/>
                <w:color w:val="FFFFFF"/>
                <w:sz w:val="17"/>
              </w:rPr>
              <w:t>Change</w:t>
            </w:r>
          </w:p>
        </w:tc>
        <w:tc>
          <w:tcPr>
            <w:tcW w:type="dxa" w:w="5040"/>
            <w:shd w:fill="17324D"/>
            <w:vAlign w:val="center"/>
          </w:tcPr>
          <w:p>
            <w:r>
              <w:rPr>
                <w:b/>
                <w:color w:val="FFFFFF"/>
                <w:sz w:val="17"/>
              </w:rPr>
              <w:t>Current decision</w:t>
            </w:r>
          </w:p>
        </w:tc>
      </w:tr>
      <w:tr>
        <w:tc>
          <w:tcPr>
            <w:tcW w:type="dxa" w:w="5040"/>
            <w:vAlign w:val="center"/>
          </w:tcPr>
          <w:p>
            <w:r>
              <w:rPr>
                <w:sz w:val="16"/>
              </w:rPr>
              <w:t>Landing experience</w:t>
            </w:r>
          </w:p>
        </w:tc>
        <w:tc>
          <w:tcPr>
            <w:tcW w:type="dxa" w:w="5040"/>
            <w:vAlign w:val="center"/>
          </w:tcPr>
          <w:p>
            <w:r>
              <w:rPr>
                <w:sz w:val="16"/>
              </w:rPr>
              <w:t>Core upload + council + transparency moves to the landing Council Console instead of beginning with a passive dashboard/queue.</w:t>
            </w:r>
          </w:p>
        </w:tc>
      </w:tr>
      <w:tr>
        <w:tc>
          <w:tcPr>
            <w:tcW w:type="dxa" w:w="5040"/>
            <w:vAlign w:val="center"/>
            <w:shd w:fill="F3F6F8"/>
          </w:tcPr>
          <w:p>
            <w:r>
              <w:rPr>
                <w:sz w:val="16"/>
              </w:rPr>
              <w:t>Orchestration</w:t>
            </w:r>
          </w:p>
        </w:tc>
        <w:tc>
          <w:tcPr>
            <w:tcW w:type="dxa" w:w="5040"/>
            <w:vAlign w:val="center"/>
            <w:shd w:fill="F3F6F8"/>
          </w:tcPr>
          <w:p>
            <w:r>
              <w:rPr>
                <w:sz w:val="16"/>
              </w:rPr>
              <w:t>Original sequential roles evolve into a light LangGraph workflow with independent specialist round plus bounded council reflection.</w:t>
            </w:r>
          </w:p>
        </w:tc>
      </w:tr>
      <w:tr>
        <w:tc>
          <w:tcPr>
            <w:tcW w:type="dxa" w:w="5040"/>
            <w:vAlign w:val="center"/>
          </w:tcPr>
          <w:p>
            <w:r>
              <w:rPr>
                <w:sz w:val="16"/>
              </w:rPr>
              <w:t>Transparency</w:t>
            </w:r>
          </w:p>
        </w:tc>
        <w:tc>
          <w:tcPr>
            <w:tcW w:type="dxa" w:w="5040"/>
            <w:vAlign w:val="center"/>
          </w:tcPr>
          <w:p>
            <w:r>
              <w:rPr>
                <w:sz w:val="16"/>
              </w:rPr>
              <w:t>Agent detail becomes an adjacent accordion with visible evidence, concise rationale, handoffs and final position.</w:t>
            </w:r>
          </w:p>
        </w:tc>
      </w:tr>
      <w:tr>
        <w:tc>
          <w:tcPr>
            <w:tcW w:type="dxa" w:w="5040"/>
            <w:vAlign w:val="center"/>
            <w:shd w:fill="F3F6F8"/>
          </w:tcPr>
          <w:p>
            <w:r>
              <w:rPr>
                <w:sz w:val="16"/>
              </w:rPr>
              <w:t>Clarification</w:t>
            </w:r>
          </w:p>
        </w:tc>
        <w:tc>
          <w:tcPr>
            <w:tcW w:type="dxa" w:w="5040"/>
            <w:vAlign w:val="center"/>
            <w:shd w:fill="F3F6F8"/>
          </w:tcPr>
          <w:p>
            <w:r>
              <w:rPr>
                <w:sz w:val="16"/>
              </w:rPr>
              <w:t>Missing essential extraction fields trigger progressive in-page clarification rather than only a separate campaign-review workflow.</w:t>
            </w:r>
          </w:p>
        </w:tc>
      </w:tr>
      <w:tr>
        <w:tc>
          <w:tcPr>
            <w:tcW w:type="dxa" w:w="5040"/>
            <w:vAlign w:val="center"/>
          </w:tcPr>
          <w:p>
            <w:r>
              <w:rPr>
                <w:sz w:val="16"/>
              </w:rPr>
              <w:t>User input</w:t>
            </w:r>
          </w:p>
        </w:tc>
        <w:tc>
          <w:tcPr>
            <w:tcW w:type="dxa" w:w="5040"/>
            <w:vAlign w:val="center"/>
          </w:tcPr>
          <w:p>
            <w:r>
              <w:rPr>
                <w:sz w:val="16"/>
              </w:rPr>
              <w:t>System may evaluate transcript-derived campaign content or a directly supplied marketing proposal/question.</w:t>
            </w:r>
          </w:p>
        </w:tc>
      </w:tr>
      <w:tr>
        <w:tc>
          <w:tcPr>
            <w:tcW w:type="dxa" w:w="5040"/>
            <w:vAlign w:val="center"/>
            <w:shd w:fill="F3F6F8"/>
          </w:tcPr>
          <w:p>
            <w:r>
              <w:rPr>
                <w:sz w:val="16"/>
              </w:rPr>
              <w:t>Behavior tuning</w:t>
            </w:r>
          </w:p>
        </w:tc>
        <w:tc>
          <w:tcPr>
            <w:tcW w:type="dxa" w:w="5040"/>
            <w:vAlign w:val="center"/>
            <w:shd w:fill="F3F6F8"/>
          </w:tcPr>
          <w:p>
            <w:r>
              <w:rPr>
                <w:sz w:val="16"/>
              </w:rPr>
              <w:t>A bounded tuning page allows minor posture/detail adjustments; governance and safety rules remain immutable.</w:t>
            </w:r>
          </w:p>
        </w:tc>
      </w:tr>
      <w:tr>
        <w:tc>
          <w:tcPr>
            <w:tcW w:type="dxa" w:w="5040"/>
            <w:vAlign w:val="center"/>
          </w:tcPr>
          <w:p>
            <w:r>
              <w:rPr>
                <w:sz w:val="16"/>
              </w:rPr>
              <w:t>Visual direction</w:t>
            </w:r>
          </w:p>
        </w:tc>
        <w:tc>
          <w:tcPr>
            <w:tcW w:type="dxa" w:w="5040"/>
            <w:vAlign w:val="center"/>
          </w:tcPr>
          <w:p>
            <w:r>
              <w:rPr>
                <w:sz w:val="16"/>
              </w:rPr>
              <w:t>The supplied retro geometric console is now the concrete inspiration, reinterpreted without protected names/artwork/Japanese text.</w:t>
            </w:r>
          </w:p>
        </w:tc>
      </w:tr>
      <w:tr>
        <w:tc>
          <w:tcPr>
            <w:tcW w:type="dxa" w:w="5040"/>
            <w:vAlign w:val="center"/>
            <w:shd w:fill="F3F6F8"/>
          </w:tcPr>
          <w:p>
            <w:r>
              <w:rPr>
                <w:sz w:val="16"/>
              </w:rPr>
              <w:t>UI surface</w:t>
            </w:r>
          </w:p>
        </w:tc>
        <w:tc>
          <w:tcPr>
            <w:tcW w:type="dxa" w:w="5040"/>
            <w:vAlign w:val="center"/>
            <w:shd w:fill="F3F6F8"/>
          </w:tcPr>
          <w:p>
            <w:r>
              <w:rPr>
                <w:sz w:val="16"/>
              </w:rPr>
              <w:t>Secondary pages remain, but the primary product is one progressively disclosed operational console.</w:t>
            </w:r>
          </w:p>
        </w:tc>
      </w:tr>
      <w:tr>
        <w:tc>
          <w:tcPr>
            <w:tcW w:type="dxa" w:w="5040"/>
            <w:vAlign w:val="center"/>
          </w:tcPr>
          <w:p>
            <w:r>
              <w:rPr>
                <w:sz w:val="16"/>
              </w:rPr>
              <w:t>Policy retrieval for first review</w:t>
            </w:r>
          </w:p>
        </w:tc>
        <w:tc>
          <w:tcPr>
            <w:tcW w:type="dxa" w:w="5040"/>
            <w:vAlign w:val="center"/>
          </w:tcPr>
          <w:p>
            <w:r>
              <w:rPr>
                <w:sz w:val="16"/>
              </w:rPr>
              <w:t>Simple real retriever is allowed; FAISS is a future provider rather than a release blocker.</w:t>
            </w:r>
          </w:p>
        </w:tc>
      </w:tr>
    </w:tbl>
    <w:p/>
    <w:p>
      <w:pPr>
        <w:pStyle w:val="Heading1"/>
      </w:pPr>
      <w:r>
        <w:t>33. Future extension map</w:t>
      </w:r>
    </w:p>
    <w:p>
      <w:pPr>
        <w:pStyle w:val="ListBullet"/>
      </w:pPr>
      <w:r>
        <w:t>FaissPolicyProvider or another semantic retriever can replace the first retriever without changing Audit agent contracts.</w:t>
      </w:r>
    </w:p>
    <w:p>
      <w:pPr>
        <w:pStyle w:val="ListBullet"/>
      </w:pPr>
      <w:r>
        <w:t>CloudModelProvider can coexist with Ollama if a future deployment permits it.</w:t>
      </w:r>
    </w:p>
    <w:p>
      <w:pPr>
        <w:pStyle w:val="ListBullet"/>
      </w:pPr>
      <w:r>
        <w:t>HistoricalDataProvider can feed calibrated campaign aggregates or a validated predictive model later.</w:t>
      </w:r>
    </w:p>
    <w:p>
      <w:pPr>
        <w:pStyle w:val="ListBullet"/>
      </w:pPr>
      <w:r>
        <w:t>MetricsProvider and benchmark lab can activate precision/recall/F1/calibration metrics when labeled data exists.</w:t>
      </w:r>
    </w:p>
    <w:p>
      <w:pPr>
        <w:pStyle w:val="ListBullet"/>
      </w:pPr>
      <w:r>
        <w:t>Additional council roles can be registered only if their authority, input/output schema and conflict precedence are explicit.</w:t>
      </w:r>
    </w:p>
    <w:p>
      <w:pPr>
        <w:pStyle w:val="ListBullet"/>
      </w:pPr>
      <w:r>
        <w:t>Advanced resume, queueing, authenticated multi-user access and remote deployment remain possible behind existing service/storage boundaries.</w:t>
      </w:r>
    </w:p>
    <w:p>
      <w:pPr>
        <w:pStyle w:val="Heading1"/>
      </w:pPr>
      <w:r>
        <w:t>34. Final build doctrine</w:t>
      </w:r>
    </w:p>
    <w:p>
      <w:r>
        <w:t>The first review build is review-complete, architecturally disciplined and intentionally feature-incomplete. Credibility comes from a real central path, not from a large number of decorative pages. The live system must ingest real input, extract real case data, run real model-backed specialist analyses, retrieve real activated policy material, execute real deterministic governance logic, expose bounded council interaction, persist the work, and make the evidence understandable to a reviewer.</w:t>
      </w:r>
    </w:p>
    <w:p>
      <w:r>
        <w:rPr>
          <w:b/>
        </w:rPr>
        <w:t xml:space="preserve">If one architectural decision must be protected above all others: </w:t>
      </w:r>
      <w:r>
        <w:t>preserve the undeniable central path and its evidence trail. Everything else is subordinate to that requirement.</w:t>
      </w:r>
    </w:p>
    <w:p>
      <w:pPr>
        <w:pStyle w:val="Heading1"/>
      </w:pPr>
      <w:r>
        <w:t>Appendix A. Baseline prompt contracts</w:t>
      </w:r>
    </w:p>
    <w:p>
      <w:r>
        <w:t>Keep prompts in version-controlled files. Each prompt treats supplied text as untrusted evidence, requires structured output, prohibits invention of missing values, and returns concise rationale/evidence rather than hidden reasoning.</w:t>
      </w:r>
    </w:p>
    <w:tbl>
      <w:tblPr>
        <w:tblStyle w:val="TableGrid"/>
        <w:tblW w:type="auto" w:w="0"/>
        <w:jc w:val="center"/>
        <w:tblLook w:firstColumn="1" w:firstRow="1" w:lastColumn="0" w:lastRow="0" w:noHBand="0" w:noVBand="1" w:val="04A0"/>
      </w:tblPr>
      <w:tblGrid>
        <w:gridCol w:w="5040"/>
        <w:gridCol w:w="5040"/>
      </w:tblGrid>
      <w:tr>
        <w:tc>
          <w:tcPr>
            <w:tcW w:type="dxa" w:w="5040"/>
            <w:shd w:fill="17324D"/>
            <w:vAlign w:val="center"/>
          </w:tcPr>
          <w:p>
            <w:r>
              <w:rPr>
                <w:b/>
                <w:color w:val="FFFFFF"/>
                <w:sz w:val="17"/>
              </w:rPr>
              <w:t>Prompt</w:t>
            </w:r>
          </w:p>
        </w:tc>
        <w:tc>
          <w:tcPr>
            <w:tcW w:type="dxa" w:w="5040"/>
            <w:shd w:fill="17324D"/>
            <w:vAlign w:val="center"/>
          </w:tcPr>
          <w:p>
            <w:r>
              <w:rPr>
                <w:b/>
                <w:color w:val="FFFFFF"/>
                <w:sz w:val="17"/>
              </w:rPr>
              <w:t>Core output requirement</w:t>
            </w:r>
          </w:p>
        </w:tc>
      </w:tr>
      <w:tr>
        <w:tc>
          <w:tcPr>
            <w:tcW w:type="dxa" w:w="5040"/>
            <w:vAlign w:val="center"/>
          </w:tcPr>
          <w:p>
            <w:r>
              <w:rPr>
                <w:sz w:val="16"/>
              </w:rPr>
              <w:t>Campaign extraction</w:t>
            </w:r>
          </w:p>
        </w:tc>
        <w:tc>
          <w:tcPr>
            <w:tcW w:type="dxa" w:w="5040"/>
            <w:vAlign w:val="center"/>
          </w:tcPr>
          <w:p>
            <w:r>
              <w:rPr>
                <w:sz w:val="16"/>
              </w:rPr>
              <w:t>Campaign fields, claims with evidence-span IDs, missing information and contradictions.</w:t>
            </w:r>
          </w:p>
        </w:tc>
      </w:tr>
      <w:tr>
        <w:tc>
          <w:tcPr>
            <w:tcW w:type="dxa" w:w="5040"/>
            <w:vAlign w:val="center"/>
            <w:shd w:fill="F3F6F8"/>
          </w:tcPr>
          <w:p>
            <w:r>
              <w:rPr>
                <w:sz w:val="16"/>
              </w:rPr>
              <w:t>Growth</w:t>
            </w:r>
          </w:p>
        </w:tc>
        <w:tc>
          <w:tcPr>
            <w:tcW w:type="dxa" w:w="5040"/>
            <w:vAlign w:val="center"/>
            <w:shd w:fill="F3F6F8"/>
          </w:tcPr>
          <w:p>
            <w:r>
              <w:rPr>
                <w:sz w:val="16"/>
              </w:rPr>
              <w:t>Status, growth score, objective clarity, opportunities, unsupported assumptions, evidence and recommendations.</w:t>
            </w:r>
          </w:p>
        </w:tc>
      </w:tr>
      <w:tr>
        <w:tc>
          <w:tcPr>
            <w:tcW w:type="dxa" w:w="5040"/>
            <w:vAlign w:val="center"/>
          </w:tcPr>
          <w:p>
            <w:r>
              <w:rPr>
                <w:sz w:val="16"/>
              </w:rPr>
              <w:t>Audit</w:t>
            </w:r>
          </w:p>
        </w:tc>
        <w:tc>
          <w:tcPr>
            <w:tcW w:type="dxa" w:w="5040"/>
            <w:vAlign w:val="center"/>
          </w:tcPr>
          <w:p>
            <w:r>
              <w:rPr>
                <w:sz w:val="16"/>
              </w:rPr>
              <w:t>Status, findings with severity/campaign text/policy source/policy quote/required action, missing disclosures and unsupported claims.</w:t>
            </w:r>
          </w:p>
        </w:tc>
      </w:tr>
      <w:tr>
        <w:tc>
          <w:tcPr>
            <w:tcW w:type="dxa" w:w="5040"/>
            <w:vAlign w:val="center"/>
            <w:shd w:fill="F3F6F8"/>
          </w:tcPr>
          <w:p>
            <w:r>
              <w:rPr>
                <w:sz w:val="16"/>
              </w:rPr>
              <w:t>Finance</w:t>
            </w:r>
          </w:p>
        </w:tc>
        <w:tc>
          <w:tcPr>
            <w:tcW w:type="dxa" w:w="5040"/>
            <w:vAlign w:val="center"/>
            <w:shd w:fill="F3F6F8"/>
          </w:tcPr>
          <w:p>
            <w:r>
              <w:rPr>
                <w:sz w:val="16"/>
              </w:rPr>
              <w:t>Status plus explanation of supplied authoritative calculations, risks, missing information and recommendations.</w:t>
            </w:r>
          </w:p>
        </w:tc>
      </w:tr>
      <w:tr>
        <w:tc>
          <w:tcPr>
            <w:tcW w:type="dxa" w:w="5040"/>
            <w:vAlign w:val="center"/>
          </w:tcPr>
          <w:p>
            <w:r>
              <w:rPr>
                <w:sz w:val="16"/>
              </w:rPr>
              <w:t>Audience</w:t>
            </w:r>
          </w:p>
        </w:tc>
        <w:tc>
          <w:tcPr>
            <w:tcW w:type="dxa" w:w="5040"/>
            <w:vAlign w:val="center"/>
          </w:tcPr>
          <w:p>
            <w:r>
              <w:rPr>
                <w:sz w:val="16"/>
              </w:rPr>
              <w:t>Clarity score, benefit clarity, objections, ambiguities, possible misinterpretations, wording and limitations.</w:t>
            </w:r>
          </w:p>
        </w:tc>
      </w:tr>
      <w:tr>
        <w:tc>
          <w:tcPr>
            <w:tcW w:type="dxa" w:w="5040"/>
            <w:vAlign w:val="center"/>
            <w:shd w:fill="F3F6F8"/>
          </w:tcPr>
          <w:p>
            <w:r>
              <w:rPr>
                <w:sz w:val="16"/>
              </w:rPr>
              <w:t>Intermediary</w:t>
            </w:r>
          </w:p>
        </w:tc>
        <w:tc>
          <w:tcPr>
            <w:tcW w:type="dxa" w:w="5040"/>
            <w:vAlign w:val="center"/>
            <w:shd w:fill="F3F6F8"/>
          </w:tcPr>
          <w:p>
            <w:r>
              <w:rPr>
                <w:sz w:val="16"/>
              </w:rPr>
              <w:t>Workflow status, preserved hard gates/findings, proposed changes, roles to rerun and unresolved items.</w:t>
            </w:r>
          </w:p>
        </w:tc>
      </w:tr>
      <w:tr>
        <w:tc>
          <w:tcPr>
            <w:tcW w:type="dxa" w:w="5040"/>
            <w:vAlign w:val="center"/>
          </w:tcPr>
          <w:p>
            <w:r>
              <w:rPr>
                <w:sz w:val="16"/>
              </w:rPr>
              <w:t>Council reflection</w:t>
            </w:r>
          </w:p>
        </w:tc>
        <w:tc>
          <w:tcPr>
            <w:tcW w:type="dxa" w:w="5040"/>
            <w:vAlign w:val="center"/>
          </w:tcPr>
          <w:p>
            <w:r>
              <w:rPr>
                <w:sz w:val="16"/>
              </w:rPr>
              <w:t>Peer finding referenced, stance: concur/challenge/qualify/revise, concise explanation, resulting change to own position, evidence references.</w:t>
            </w:r>
          </w:p>
        </w:tc>
      </w:tr>
    </w:tbl>
    <w:p/>
    <w:p>
      <w:pPr>
        <w:pStyle w:val="Heading1"/>
      </w:pPr>
      <w:r>
        <w:t>Appendix B. Baseline model parameters from v2</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7324D"/>
            <w:vAlign w:val="center"/>
          </w:tcPr>
          <w:p>
            <w:r>
              <w:rPr>
                <w:b/>
                <w:color w:val="FFFFFF"/>
                <w:sz w:val="17"/>
              </w:rPr>
              <w:t>Role</w:t>
            </w:r>
          </w:p>
        </w:tc>
        <w:tc>
          <w:tcPr>
            <w:tcW w:type="dxa" w:w="1680"/>
            <w:shd w:fill="17324D"/>
            <w:vAlign w:val="center"/>
          </w:tcPr>
          <w:p>
            <w:r>
              <w:rPr>
                <w:b/>
                <w:color w:val="FFFFFF"/>
                <w:sz w:val="17"/>
              </w:rPr>
              <w:t>Temperature</w:t>
            </w:r>
          </w:p>
        </w:tc>
        <w:tc>
          <w:tcPr>
            <w:tcW w:type="dxa" w:w="1680"/>
            <w:shd w:fill="17324D"/>
            <w:vAlign w:val="center"/>
          </w:tcPr>
          <w:p>
            <w:r>
              <w:rPr>
                <w:b/>
                <w:color w:val="FFFFFF"/>
                <w:sz w:val="17"/>
              </w:rPr>
              <w:t>Top-p</w:t>
            </w:r>
          </w:p>
        </w:tc>
        <w:tc>
          <w:tcPr>
            <w:tcW w:type="dxa" w:w="1680"/>
            <w:shd w:fill="17324D"/>
            <w:vAlign w:val="center"/>
          </w:tcPr>
          <w:p>
            <w:r>
              <w:rPr>
                <w:b/>
                <w:color w:val="FFFFFF"/>
                <w:sz w:val="17"/>
              </w:rPr>
              <w:t>Max output</w:t>
            </w:r>
          </w:p>
        </w:tc>
        <w:tc>
          <w:tcPr>
            <w:tcW w:type="dxa" w:w="1680"/>
            <w:shd w:fill="17324D"/>
            <w:vAlign w:val="center"/>
          </w:tcPr>
          <w:p>
            <w:r>
              <w:rPr>
                <w:b/>
                <w:color w:val="FFFFFF"/>
                <w:sz w:val="17"/>
              </w:rPr>
              <w:t>Timeout</w:t>
            </w:r>
          </w:p>
        </w:tc>
        <w:tc>
          <w:tcPr>
            <w:tcW w:type="dxa" w:w="1680"/>
            <w:shd w:fill="17324D"/>
            <w:vAlign w:val="center"/>
          </w:tcPr>
          <w:p>
            <w:r>
              <w:rPr>
                <w:b/>
                <w:color w:val="FFFFFF"/>
                <w:sz w:val="17"/>
              </w:rPr>
              <w:t>Retry</w:t>
            </w:r>
          </w:p>
        </w:tc>
      </w:tr>
      <w:tr>
        <w:tc>
          <w:tcPr>
            <w:tcW w:type="dxa" w:w="1680"/>
            <w:vAlign w:val="center"/>
          </w:tcPr>
          <w:p>
            <w:r>
              <w:rPr>
                <w:sz w:val="16"/>
              </w:rPr>
              <w:t>Extraction</w:t>
            </w:r>
          </w:p>
        </w:tc>
        <w:tc>
          <w:tcPr>
            <w:tcW w:type="dxa" w:w="1680"/>
            <w:vAlign w:val="center"/>
          </w:tcPr>
          <w:p>
            <w:r>
              <w:rPr>
                <w:sz w:val="16"/>
              </w:rPr>
              <w:t>0.0–0.15</w:t>
            </w:r>
          </w:p>
        </w:tc>
        <w:tc>
          <w:tcPr>
            <w:tcW w:type="dxa" w:w="1680"/>
            <w:vAlign w:val="center"/>
          </w:tcPr>
          <w:p>
            <w:r>
              <w:rPr>
                <w:sz w:val="16"/>
              </w:rPr>
              <w:t>0.8</w:t>
            </w:r>
          </w:p>
        </w:tc>
        <w:tc>
          <w:tcPr>
            <w:tcW w:type="dxa" w:w="1680"/>
            <w:vAlign w:val="center"/>
          </w:tcPr>
          <w:p>
            <w:r>
              <w:rPr>
                <w:sz w:val="16"/>
              </w:rPr>
              <w:t>1500</w:t>
            </w:r>
          </w:p>
        </w:tc>
        <w:tc>
          <w:tcPr>
            <w:tcW w:type="dxa" w:w="1680"/>
            <w:vAlign w:val="center"/>
          </w:tcPr>
          <w:p>
            <w:r>
              <w:rPr>
                <w:sz w:val="16"/>
              </w:rPr>
              <w:t>120 s</w:t>
            </w:r>
          </w:p>
        </w:tc>
        <w:tc>
          <w:tcPr>
            <w:tcW w:type="dxa" w:w="1680"/>
            <w:vAlign w:val="center"/>
          </w:tcPr>
          <w:p>
            <w:r>
              <w:rPr>
                <w:sz w:val="16"/>
              </w:rPr>
              <w:t>1</w:t>
            </w:r>
          </w:p>
        </w:tc>
      </w:tr>
      <w:tr>
        <w:tc>
          <w:tcPr>
            <w:tcW w:type="dxa" w:w="1680"/>
            <w:vAlign w:val="center"/>
            <w:shd w:fill="F3F6F8"/>
          </w:tcPr>
          <w:p>
            <w:r>
              <w:rPr>
                <w:sz w:val="16"/>
              </w:rPr>
              <w:t>Growth</w:t>
            </w:r>
          </w:p>
        </w:tc>
        <w:tc>
          <w:tcPr>
            <w:tcW w:type="dxa" w:w="1680"/>
            <w:vAlign w:val="center"/>
            <w:shd w:fill="F3F6F8"/>
          </w:tcPr>
          <w:p>
            <w:r>
              <w:rPr>
                <w:sz w:val="16"/>
              </w:rPr>
              <w:t>0.2</w:t>
            </w:r>
          </w:p>
        </w:tc>
        <w:tc>
          <w:tcPr>
            <w:tcW w:type="dxa" w:w="1680"/>
            <w:vAlign w:val="center"/>
            <w:shd w:fill="F3F6F8"/>
          </w:tcPr>
          <w:p>
            <w:r>
              <w:rPr>
                <w:sz w:val="16"/>
              </w:rPr>
              <w:t>0.85</w:t>
            </w:r>
          </w:p>
        </w:tc>
        <w:tc>
          <w:tcPr>
            <w:tcW w:type="dxa" w:w="1680"/>
            <w:vAlign w:val="center"/>
            <w:shd w:fill="F3F6F8"/>
          </w:tcPr>
          <w:p>
            <w:r>
              <w:rPr>
                <w:sz w:val="16"/>
              </w:rPr>
              <w:t>1000</w:t>
            </w:r>
          </w:p>
        </w:tc>
        <w:tc>
          <w:tcPr>
            <w:tcW w:type="dxa" w:w="1680"/>
            <w:vAlign w:val="center"/>
            <w:shd w:fill="F3F6F8"/>
          </w:tcPr>
          <w:p>
            <w:r>
              <w:rPr>
                <w:sz w:val="16"/>
              </w:rPr>
              <w:t>180 s</w:t>
            </w:r>
          </w:p>
        </w:tc>
        <w:tc>
          <w:tcPr>
            <w:tcW w:type="dxa" w:w="1680"/>
            <w:vAlign w:val="center"/>
            <w:shd w:fill="F3F6F8"/>
          </w:tcPr>
          <w:p>
            <w:r>
              <w:rPr>
                <w:sz w:val="16"/>
              </w:rPr>
              <w:t>1</w:t>
            </w:r>
          </w:p>
        </w:tc>
      </w:tr>
      <w:tr>
        <w:tc>
          <w:tcPr>
            <w:tcW w:type="dxa" w:w="1680"/>
            <w:vAlign w:val="center"/>
          </w:tcPr>
          <w:p>
            <w:r>
              <w:rPr>
                <w:sz w:val="16"/>
              </w:rPr>
              <w:t>Audit</w:t>
            </w:r>
          </w:p>
        </w:tc>
        <w:tc>
          <w:tcPr>
            <w:tcW w:type="dxa" w:w="1680"/>
            <w:vAlign w:val="center"/>
          </w:tcPr>
          <w:p>
            <w:r>
              <w:rPr>
                <w:sz w:val="16"/>
              </w:rPr>
              <w:t>0.0–0.1</w:t>
            </w:r>
          </w:p>
        </w:tc>
        <w:tc>
          <w:tcPr>
            <w:tcW w:type="dxa" w:w="1680"/>
            <w:vAlign w:val="center"/>
          </w:tcPr>
          <w:p>
            <w:r>
              <w:rPr>
                <w:sz w:val="16"/>
              </w:rPr>
              <w:t>0.8</w:t>
            </w:r>
          </w:p>
        </w:tc>
        <w:tc>
          <w:tcPr>
            <w:tcW w:type="dxa" w:w="1680"/>
            <w:vAlign w:val="center"/>
          </w:tcPr>
          <w:p>
            <w:r>
              <w:rPr>
                <w:sz w:val="16"/>
              </w:rPr>
              <w:t>1200</w:t>
            </w:r>
          </w:p>
        </w:tc>
        <w:tc>
          <w:tcPr>
            <w:tcW w:type="dxa" w:w="1680"/>
            <w:vAlign w:val="center"/>
          </w:tcPr>
          <w:p>
            <w:r>
              <w:rPr>
                <w:sz w:val="16"/>
              </w:rPr>
              <w:t>180 s</w:t>
            </w:r>
          </w:p>
        </w:tc>
        <w:tc>
          <w:tcPr>
            <w:tcW w:type="dxa" w:w="1680"/>
            <w:vAlign w:val="center"/>
          </w:tcPr>
          <w:p>
            <w:r>
              <w:rPr>
                <w:sz w:val="16"/>
              </w:rPr>
              <w:t>1</w:t>
            </w:r>
          </w:p>
        </w:tc>
      </w:tr>
      <w:tr>
        <w:tc>
          <w:tcPr>
            <w:tcW w:type="dxa" w:w="1680"/>
            <w:vAlign w:val="center"/>
            <w:shd w:fill="F3F6F8"/>
          </w:tcPr>
          <w:p>
            <w:r>
              <w:rPr>
                <w:sz w:val="16"/>
              </w:rPr>
              <w:t>Finance explanation</w:t>
            </w:r>
          </w:p>
        </w:tc>
        <w:tc>
          <w:tcPr>
            <w:tcW w:type="dxa" w:w="1680"/>
            <w:vAlign w:val="center"/>
            <w:shd w:fill="F3F6F8"/>
          </w:tcPr>
          <w:p>
            <w:r>
              <w:rPr>
                <w:sz w:val="16"/>
              </w:rPr>
              <w:t>0.0</w:t>
            </w:r>
          </w:p>
        </w:tc>
        <w:tc>
          <w:tcPr>
            <w:tcW w:type="dxa" w:w="1680"/>
            <w:vAlign w:val="center"/>
            <w:shd w:fill="F3F6F8"/>
          </w:tcPr>
          <w:p>
            <w:r>
              <w:rPr>
                <w:sz w:val="16"/>
              </w:rPr>
              <w:t>0.8</w:t>
            </w:r>
          </w:p>
        </w:tc>
        <w:tc>
          <w:tcPr>
            <w:tcW w:type="dxa" w:w="1680"/>
            <w:vAlign w:val="center"/>
            <w:shd w:fill="F3F6F8"/>
          </w:tcPr>
          <w:p>
            <w:r>
              <w:rPr>
                <w:sz w:val="16"/>
              </w:rPr>
              <w:t>600</w:t>
            </w:r>
          </w:p>
        </w:tc>
        <w:tc>
          <w:tcPr>
            <w:tcW w:type="dxa" w:w="1680"/>
            <w:vAlign w:val="center"/>
            <w:shd w:fill="F3F6F8"/>
          </w:tcPr>
          <w:p>
            <w:r>
              <w:rPr>
                <w:sz w:val="16"/>
              </w:rPr>
              <w:t>90 s</w:t>
            </w:r>
          </w:p>
        </w:tc>
        <w:tc>
          <w:tcPr>
            <w:tcW w:type="dxa" w:w="1680"/>
            <w:vAlign w:val="center"/>
            <w:shd w:fill="F3F6F8"/>
          </w:tcPr>
          <w:p>
            <w:r>
              <w:rPr>
                <w:sz w:val="16"/>
              </w:rPr>
              <w:t>1</w:t>
            </w:r>
          </w:p>
        </w:tc>
      </w:tr>
      <w:tr>
        <w:tc>
          <w:tcPr>
            <w:tcW w:type="dxa" w:w="1680"/>
            <w:vAlign w:val="center"/>
          </w:tcPr>
          <w:p>
            <w:r>
              <w:rPr>
                <w:sz w:val="16"/>
              </w:rPr>
              <w:t>Audience</w:t>
            </w:r>
          </w:p>
        </w:tc>
        <w:tc>
          <w:tcPr>
            <w:tcW w:type="dxa" w:w="1680"/>
            <w:vAlign w:val="center"/>
          </w:tcPr>
          <w:p>
            <w:r>
              <w:rPr>
                <w:sz w:val="16"/>
              </w:rPr>
              <w:t>0.2</w:t>
            </w:r>
          </w:p>
        </w:tc>
        <w:tc>
          <w:tcPr>
            <w:tcW w:type="dxa" w:w="1680"/>
            <w:vAlign w:val="center"/>
          </w:tcPr>
          <w:p>
            <w:r>
              <w:rPr>
                <w:sz w:val="16"/>
              </w:rPr>
              <w:t>0.85</w:t>
            </w:r>
          </w:p>
        </w:tc>
        <w:tc>
          <w:tcPr>
            <w:tcW w:type="dxa" w:w="1680"/>
            <w:vAlign w:val="center"/>
          </w:tcPr>
          <w:p>
            <w:r>
              <w:rPr>
                <w:sz w:val="16"/>
              </w:rPr>
              <w:t>900</w:t>
            </w:r>
          </w:p>
        </w:tc>
        <w:tc>
          <w:tcPr>
            <w:tcW w:type="dxa" w:w="1680"/>
            <w:vAlign w:val="center"/>
          </w:tcPr>
          <w:p>
            <w:r>
              <w:rPr>
                <w:sz w:val="16"/>
              </w:rPr>
              <w:t>150 s</w:t>
            </w:r>
          </w:p>
        </w:tc>
        <w:tc>
          <w:tcPr>
            <w:tcW w:type="dxa" w:w="1680"/>
            <w:vAlign w:val="center"/>
          </w:tcPr>
          <w:p>
            <w:r>
              <w:rPr>
                <w:sz w:val="16"/>
              </w:rPr>
              <w:t>1</w:t>
            </w:r>
          </w:p>
        </w:tc>
      </w:tr>
      <w:tr>
        <w:tc>
          <w:tcPr>
            <w:tcW w:type="dxa" w:w="1680"/>
            <w:vAlign w:val="center"/>
            <w:shd w:fill="F3F6F8"/>
          </w:tcPr>
          <w:p>
            <w:r>
              <w:rPr>
                <w:sz w:val="16"/>
              </w:rPr>
              <w:t>Intermediary</w:t>
            </w:r>
          </w:p>
        </w:tc>
        <w:tc>
          <w:tcPr>
            <w:tcW w:type="dxa" w:w="1680"/>
            <w:vAlign w:val="center"/>
            <w:shd w:fill="F3F6F8"/>
          </w:tcPr>
          <w:p>
            <w:r>
              <w:rPr>
                <w:sz w:val="16"/>
              </w:rPr>
              <w:t>0.1</w:t>
            </w:r>
          </w:p>
        </w:tc>
        <w:tc>
          <w:tcPr>
            <w:tcW w:type="dxa" w:w="1680"/>
            <w:vAlign w:val="center"/>
            <w:shd w:fill="F3F6F8"/>
          </w:tcPr>
          <w:p>
            <w:r>
              <w:rPr>
                <w:sz w:val="16"/>
              </w:rPr>
              <w:t>0.8</w:t>
            </w:r>
          </w:p>
        </w:tc>
        <w:tc>
          <w:tcPr>
            <w:tcW w:type="dxa" w:w="1680"/>
            <w:vAlign w:val="center"/>
            <w:shd w:fill="F3F6F8"/>
          </w:tcPr>
          <w:p>
            <w:r>
              <w:rPr>
                <w:sz w:val="16"/>
              </w:rPr>
              <w:t>1200</w:t>
            </w:r>
          </w:p>
        </w:tc>
        <w:tc>
          <w:tcPr>
            <w:tcW w:type="dxa" w:w="1680"/>
            <w:vAlign w:val="center"/>
            <w:shd w:fill="F3F6F8"/>
          </w:tcPr>
          <w:p>
            <w:r>
              <w:rPr>
                <w:sz w:val="16"/>
              </w:rPr>
              <w:t>180 s</w:t>
            </w:r>
          </w:p>
        </w:tc>
        <w:tc>
          <w:tcPr>
            <w:tcW w:type="dxa" w:w="1680"/>
            <w:vAlign w:val="center"/>
            <w:shd w:fill="F3F6F8"/>
          </w:tcPr>
          <w:p>
            <w:r>
              <w:rPr>
                <w:sz w:val="16"/>
              </w:rPr>
              <w:t>1</w:t>
            </w:r>
          </w:p>
        </w:tc>
      </w:tr>
    </w:tbl>
    <w:p/>
    <w:p>
      <w:r>
        <w:t>For the review implementation, these are upper-bound baselines rather than mandatory latency targets. Reduce context and output caps first when optimizing local responsiveness. Do not weaken evidence requirements or governance precedence to gain speed.</w:t>
      </w:r>
    </w:p>
    <w:p>
      <w:pPr>
        <w:pStyle w:val="Heading1"/>
      </w:pPr>
      <w:r>
        <w:t>Appendix C. External references named by the original specification</w:t>
      </w:r>
    </w:p>
    <w:p>
      <w:pPr>
        <w:pStyle w:val="ListBullet"/>
      </w:pPr>
      <w:r>
        <w:t>FTC Advertising and Marketing Guidance.</w:t>
      </w:r>
    </w:p>
    <w:p>
      <w:pPr>
        <w:pStyle w:val="ListBullet"/>
      </w:pPr>
      <w:r>
        <w:t>NIST AI Risk Management Framework.</w:t>
      </w:r>
    </w:p>
    <w:p>
      <w:pPr>
        <w:pStyle w:val="ListBullet"/>
      </w:pPr>
      <w:r>
        <w:t>OWASP prompt-injection guidance.</w:t>
      </w:r>
    </w:p>
    <w:p>
      <w:pPr>
        <w:pStyle w:val="ListBullet"/>
      </w:pPr>
      <w:r>
        <w:t>Maven Marketing Campaign Results dataset.</w:t>
      </w:r>
    </w:p>
    <w:p>
      <w:pPr>
        <w:pStyle w:val="ListBullet"/>
      </w:pPr>
      <w:r>
        <w:t>MeetingBank transcript benchmark.</w:t>
      </w:r>
    </w:p>
    <w:p>
      <w:pPr>
        <w:pStyle w:val="ListBullet"/>
      </w:pPr>
      <w:r>
        <w:t>ASD-STE100 official technical-English guidance.</w:t>
      </w:r>
    </w:p>
    <w:p>
      <w:pPr>
        <w:pStyle w:val="ListBullet"/>
      </w:pPr>
      <w:r>
        <w:t>W3C guidance for animation, flash limits and contrast.</w:t>
      </w:r>
    </w:p>
    <w:p>
      <w:pPr>
        <w:pStyle w:val="ListBullet"/>
      </w:pPr>
      <w:r>
        <w:t>Research cited in v2: Flores, Shen and Gu on reliable multi-agent marketing systems; Chu et al. on multi-agent marketing/consumer simulation; Thapa et al. on agentic marketing execution.</w:t>
      </w:r>
    </w:p>
    <w:p>
      <w:r>
        <w:t>Verify current external sources before academic citation or implementation. The project bible records the architecture and product intent; it is not a substitute for source verification.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6"/>
      </w:rPr>
      <w:t>Multi-Agent Marketing Campaign Governance Engine • Project Bible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5A9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86A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C7C5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Adithyash BChandaralingam</dc:creator>
  <keywords/>
  <dc:description>generated by python-docx</dc:description>
  <lastModifiedBy>Adithyash BChandaralingam</lastModifiedBy>
  <revision>1</revision>
  <dcterms:created xsi:type="dcterms:W3CDTF">2026-10-09T04:16:21.5742656Z</dcterms:created>
  <dcterms:modified xsi:type="dcterms:W3CDTF">2026-10-09T04:16:21.5742656Z</dcterms:modified>
  <category/>
</coreProperties>
</file>