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jc w:val="center"/>
      </w:pPr>
      <w:r>
        <w:rPr>
          <w:b/>
          <w:color w:val="17324D"/>
          <w:sz w:val="62"/>
        </w:rPr>
        <w:t>Editorial Transformation Provenance</w:t>
      </w:r>
    </w:p>
    <w:p>
      <w:pPr>
        <w:jc w:val="center"/>
      </w:pPr>
      <w:r>
        <w:rPr>
          <w:b/>
          <w:color w:val="E86A33"/>
          <w:sz w:val="30"/>
        </w:rPr>
        <w:t>Claim-Aligned Detection of Quote-Context Loss and Signed Semantic-Strength Change in News Reporting</w:t>
      </w:r>
    </w:p>
    <w:p>
      <w:pPr>
        <w:spacing w:before="440"/>
        <w:jc w:val="center"/>
      </w:pPr>
      <w:r>
        <w:rPr>
          <w:b/>
          <w:color w:val="137C8B"/>
          <w:sz w:val="22"/>
        </w:rPr>
        <w:t>RESEARCH BIBLE • EXPERIMENTAL SPECIFICATION • DATA AND EVALUATION PLAN</w:t>
      </w:r>
    </w:p>
    <w:p>
      <w:pPr>
        <w:spacing w:before="1100"/>
        <w:jc w:val="center"/>
      </w:pPr>
      <w:r>
        <w:rPr>
          <w:b/>
        </w:rPr>
        <w:t>Prepared for Adithyash BChandaralingam</w:t>
      </w:r>
    </w:p>
    <w:p>
      <w:pPr>
        <w:spacing w:before="360"/>
        <w:jc w:val="center"/>
      </w:pPr>
      <w:r>
        <w:rPr>
          <w:i/>
        </w:rPr>
        <w:t>Research status: proposed scope and experimental plan. Novelty, generalization, and patentability remain unproven until prior-art search and experiments are complete.</w:t>
      </w:r>
    </w:p>
    <w:p>
      <w:pPr>
        <w:spacing w:before="640"/>
        <w:jc w:val="center"/>
      </w:pPr>
      <w:r>
        <w:t>Version 1.0 | October 2026 | CPU-compatible primary implementation</w:t>
      </w:r>
    </w:p>
    <w:p>
      <w:r>
        <w:br w:type="page"/>
      </w:r>
    </w:p>
    <w:p>
      <w:pPr>
        <w:pStyle w:val="Heading1"/>
      </w:pPr>
      <w:r>
        <w:t>0. How to use this document</w:t>
      </w:r>
    </w:p>
    <w:tbl>
      <w:tblPr>
        <w:tblStyle w:val="TableGrid"/>
        <w:tblW w:type="auto" w:w="0"/>
        <w:tblLook w:firstColumn="1" w:firstRow="1" w:lastColumn="0" w:lastRow="0" w:noHBand="0" w:noVBand="1" w:val="04A0"/>
      </w:tblPr>
      <w:tblGrid>
        <w:gridCol w:w="10224"/>
      </w:tblGrid>
      <w:tr>
        <w:tc>
          <w:tcPr>
            <w:tcW w:type="dxa" w:w="10224"/>
            <w:shd w:fill="FFF3E8"/>
          </w:tcPr>
          <w:p>
            <w:r>
              <w:rPr>
                <w:b/>
              </w:rPr>
              <w:t>This is the authoritative research scope. It defines the scientific question, hypotheses, dataset design, annotation protocol, algorithms, formulas, experiments, metrics, reporting rules, and boundaries. Later explicit change requests override it.</w:t>
            </w:r>
          </w:p>
        </w:tc>
      </w:tr>
    </w:tbl>
    <w:p>
      <w:pPr>
        <w:pStyle w:val="ListBullet"/>
      </w:pPr>
      <w:r>
        <w:t>Use sections 1 to 5 for proposal writing and guide review.</w:t>
      </w:r>
    </w:p>
    <w:p>
      <w:pPr>
        <w:pStyle w:val="ListBullet"/>
      </w:pPr>
      <w:r>
        <w:t>Use sections 6 to 13 for dataset and implementation work.</w:t>
      </w:r>
    </w:p>
    <w:p>
      <w:pPr>
        <w:pStyle w:val="ListBullet"/>
      </w:pPr>
      <w:r>
        <w:t>Use sections 14 to 18 for experiments, metrics, and statistical analysis.</w:t>
      </w:r>
    </w:p>
    <w:p>
      <w:pPr>
        <w:pStyle w:val="ListBullet"/>
      </w:pPr>
      <w:r>
        <w:t>Use sections 19 to 22 for reporting, reproducibility, ethics, and patent-oriented record keeping.</w:t>
      </w:r>
    </w:p>
    <w:p>
      <w:pPr>
        <w:pStyle w:val="ListBullet"/>
      </w:pPr>
      <w:r>
        <w:t>Do not describe a proposed mechanism as novel, accurate, generalizable, or patentable until the corresponding evidence exists.</w:t>
      </w:r>
    </w:p>
    <w:p>
      <w:pPr>
        <w:pStyle w:val="Heading1"/>
      </w:pPr>
      <w:r>
        <w:t>1. Research field, problem, and boundary</w:t>
      </w:r>
    </w:p>
    <w:p>
      <w:pPr>
        <w:pStyle w:val="Heading2"/>
      </w:pPr>
      <w:r>
        <w:t>1.1 Fixed research domain</w:t>
      </w:r>
    </w:p>
    <w:p>
      <w:r>
        <w:t>Bias detection in news and media.</w:t>
      </w:r>
    </w:p>
    <w:p>
      <w:pPr>
        <w:pStyle w:val="Heading2"/>
      </w:pPr>
      <w:r>
        <w:t>1.2 Narrow technical problem</w:t>
      </w:r>
    </w:p>
    <w:p>
      <w:r>
        <w:t>Editorial Transformation Provenance: detect, classify, and attribute transformations introduced when a common or authoritative source record is converted into a quotation, article sentence, headline, summary, caption, or published news article.</w:t>
      </w:r>
    </w:p>
    <w:p>
      <w:pPr>
        <w:pStyle w:val="Heading2"/>
      </w:pPr>
      <w:r>
        <w:t>1.3 First technical embodiment</w:t>
      </w:r>
    </w:p>
    <w:p>
      <w:r>
        <w:t>Quote-context integrity and signed semantic-strength transformation. The first system receives a source transcript or statement, a quotation used in a publication, and the article sentence surrounding that quotation. It retrieves the best source context, verifies attribution and textual fidelity, identifies lost discourse context, determines whether claim strength increased or decreased, and abstains when evidence is insufficient.</w:t>
      </w:r>
    </w:p>
    <w:tbl>
      <w:tblPr>
        <w:tblStyle w:val="TableGrid"/>
        <w:tblW w:type="auto" w:w="0"/>
        <w:tblLook w:firstColumn="1" w:firstRow="1" w:lastColumn="0" w:lastRow="0" w:noHBand="0" w:noVBand="1" w:val="04A0"/>
      </w:tblPr>
      <w:tblGrid>
        <w:gridCol w:w="10224"/>
      </w:tblGrid>
      <w:tr>
        <w:tc>
          <w:tcPr>
            <w:tcW w:type="dxa" w:w="10224"/>
            <w:shd w:fill="FFF3E8"/>
          </w:tcPr>
          <w:p>
            <w:r>
              <w:rPr>
                <w:b/>
              </w:rPr>
              <w:t>The system reports measurable transformations. It does not infer ideological intent, label a journalist, or declare a publisher biased.</w:t>
            </w:r>
          </w:p>
        </w:tc>
      </w:tr>
    </w:tbl>
    <w:p>
      <w:pPr>
        <w:pStyle w:val="Heading2"/>
      </w:pPr>
      <w:r>
        <w:t>1.4 Required distinction</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shd w:fill="17324D"/>
          </w:tcPr>
          <w:p>
            <w:r>
              <w:rPr>
                <w:b/>
                <w:color w:val="FFFFFF"/>
                <w:sz w:val="16"/>
              </w:rPr>
              <w:t>Excluded task</w:t>
            </w:r>
          </w:p>
        </w:tc>
        <w:tc>
          <w:tcPr>
            <w:tcW w:type="dxa" w:w="5112"/>
            <w:shd w:fill="17324D"/>
          </w:tcPr>
          <w:p>
            <w:r>
              <w:rPr>
                <w:b/>
                <w:color w:val="FFFFFF"/>
                <w:sz w:val="16"/>
              </w:rPr>
              <w:t>Research task</w:t>
            </w:r>
          </w:p>
        </w:tc>
      </w:tr>
      <w:tr>
        <w:tc>
          <w:tcPr>
            <w:tcW w:type="dxa" w:w="5112"/>
            <w:vAlign w:val="top"/>
          </w:tcPr>
          <w:p>
            <w:r>
              <w:rPr>
                <w:sz w:val="15"/>
              </w:rPr>
              <w:t>Input: one article; output: biased/unbiased.</w:t>
            </w:r>
          </w:p>
        </w:tc>
        <w:tc>
          <w:tcPr>
            <w:tcW w:type="dxa" w:w="5112"/>
            <w:vAlign w:val="top"/>
          </w:tcPr>
          <w:p>
            <w:r>
              <w:rPr>
                <w:sz w:val="15"/>
              </w:rPr>
              <w:t>Input: source record plus published transformation; output: typed transformation, evidence, confidence, and abstention.</w:t>
            </w:r>
          </w:p>
        </w:tc>
      </w:tr>
      <w:tr>
        <w:tc>
          <w:tcPr>
            <w:tcW w:type="dxa" w:w="5112"/>
            <w:vAlign w:val="top"/>
            <w:shd w:fill="F3F6F9"/>
          </w:tcPr>
          <w:p>
            <w:r>
              <w:rPr>
                <w:sz w:val="15"/>
              </w:rPr>
              <w:t>Predict outlet left/centre/right.</w:t>
            </w:r>
          </w:p>
        </w:tc>
        <w:tc>
          <w:tcPr>
            <w:tcW w:type="dxa" w:w="5112"/>
            <w:vAlign w:val="top"/>
            <w:shd w:fill="F3F6F9"/>
          </w:tcPr>
          <w:p>
            <w:r>
              <w:rPr>
                <w:sz w:val="15"/>
              </w:rPr>
              <w:t>Align published claims to source spans and measure editorial change.</w:t>
            </w:r>
          </w:p>
        </w:tc>
      </w:tr>
      <w:tr>
        <w:tc>
          <w:tcPr>
            <w:tcW w:type="dxa" w:w="5112"/>
            <w:vAlign w:val="top"/>
          </w:tcPr>
          <w:p>
            <w:r>
              <w:rPr>
                <w:sz w:val="15"/>
              </w:rPr>
              <w:t>Sentiment or tone classification.</w:t>
            </w:r>
          </w:p>
        </w:tc>
        <w:tc>
          <w:tcPr>
            <w:tcW w:type="dxa" w:w="5112"/>
            <w:vAlign w:val="top"/>
          </w:tcPr>
          <w:p>
            <w:r>
              <w:rPr>
                <w:sz w:val="15"/>
              </w:rPr>
              <w:t>Discourse-context, attribution, and semantic-strength comparison.</w:t>
            </w:r>
          </w:p>
        </w:tc>
      </w:tr>
      <w:tr>
        <w:tc>
          <w:tcPr>
            <w:tcW w:type="dxa" w:w="5112"/>
            <w:vAlign w:val="top"/>
            <w:shd w:fill="F3F6F9"/>
          </w:tcPr>
          <w:p>
            <w:r>
              <w:rPr>
                <w:sz w:val="15"/>
              </w:rPr>
              <w:t>Fact-check source truth.</w:t>
            </w:r>
          </w:p>
        </w:tc>
        <w:tc>
          <w:tcPr>
            <w:tcW w:type="dxa" w:w="5112"/>
            <w:vAlign w:val="top"/>
            <w:shd w:fill="F3F6F9"/>
          </w:tcPr>
          <w:p>
            <w:r>
              <w:rPr>
                <w:sz w:val="15"/>
              </w:rPr>
              <w:t>Check whether the publication faithfully represents the available source. The source itself can still be wrong.</w:t>
            </w:r>
          </w:p>
        </w:tc>
      </w:tr>
      <w:tr>
        <w:tc>
          <w:tcPr>
            <w:tcW w:type="dxa" w:w="5112"/>
            <w:vAlign w:val="top"/>
          </w:tcPr>
          <w:p>
            <w:r>
              <w:rPr>
                <w:sz w:val="15"/>
              </w:rPr>
              <w:t>Infer motivation.</w:t>
            </w:r>
          </w:p>
        </w:tc>
        <w:tc>
          <w:tcPr>
            <w:tcW w:type="dxa" w:w="5112"/>
            <w:vAlign w:val="top"/>
          </w:tcPr>
          <w:p>
            <w:r>
              <w:rPr>
                <w:sz w:val="15"/>
              </w:rPr>
              <w:t>Describe observable transformation only.</w:t>
            </w:r>
          </w:p>
        </w:tc>
      </w:tr>
    </w:tbl>
    <w:p>
      <w:pPr>
        <w:pStyle w:val="Heading1"/>
      </w:pPr>
      <w:r>
        <w:t>2. Motivation and research gap</w:t>
      </w:r>
    </w:p>
    <w:p>
      <w:r>
        <w:t>Existing research already covers political lean, tone, topic selection, sentence-level framing, publisher-level patterns, event clustering, headline faithfulness, post-publication headline editing, summary framing, and multimodal bias. A new project must therefore avoid repeating generic bias classification.</w:t>
      </w:r>
    </w:p>
    <w:tbl>
      <w:tblPr>
        <w:tblStyle w:val="TableGrid"/>
        <w:tblW w:type="auto" w:w="0"/>
        <w:jc w:val="center"/>
        <w:tblLook w:firstColumn="1" w:firstRow="1" w:lastColumn="0" w:lastRow="0" w:noHBand="0" w:noVBand="1" w:val="04A0"/>
      </w:tblPr>
      <w:tblGrid>
        <w:gridCol w:w="3408"/>
        <w:gridCol w:w="3408"/>
        <w:gridCol w:w="3408"/>
      </w:tblGrid>
      <w:tr>
        <w:trPr>
          <w:tblHeader/>
        </w:trPr>
        <w:tc>
          <w:tcPr>
            <w:tcW w:type="dxa" w:w="3408"/>
            <w:shd w:fill="17324D"/>
          </w:tcPr>
          <w:p>
            <w:r>
              <w:rPr>
                <w:b/>
                <w:color w:val="FFFFFF"/>
                <w:sz w:val="16"/>
              </w:rPr>
              <w:t>Prior work</w:t>
            </w:r>
          </w:p>
        </w:tc>
        <w:tc>
          <w:tcPr>
            <w:tcW w:type="dxa" w:w="3408"/>
            <w:shd w:fill="17324D"/>
          </w:tcPr>
          <w:p>
            <w:r>
              <w:rPr>
                <w:b/>
                <w:color w:val="FFFFFF"/>
                <w:sz w:val="16"/>
              </w:rPr>
              <w:t>Verified scope</w:t>
            </w:r>
          </w:p>
        </w:tc>
        <w:tc>
          <w:tcPr>
            <w:tcW w:type="dxa" w:w="3408"/>
            <w:shd w:fill="17324D"/>
          </w:tcPr>
          <w:p>
            <w:r>
              <w:rPr>
                <w:b/>
                <w:color w:val="FFFFFF"/>
                <w:sz w:val="16"/>
              </w:rPr>
              <w:t>Remaining gap relevant here</w:t>
            </w:r>
          </w:p>
        </w:tc>
      </w:tr>
      <w:tr>
        <w:tc>
          <w:tcPr>
            <w:tcW w:type="dxa" w:w="3408"/>
            <w:vAlign w:val="top"/>
          </w:tcPr>
          <w:p>
            <w:r>
              <w:rPr>
                <w:sz w:val="15"/>
              </w:rPr>
              <w:t>Media Bias Detector</w:t>
            </w:r>
          </w:p>
        </w:tc>
        <w:tc>
          <w:tcPr>
            <w:tcW w:type="dxa" w:w="3408"/>
            <w:vAlign w:val="top"/>
          </w:tcPr>
          <w:p>
            <w:r>
              <w:rPr>
                <w:sz w:val="15"/>
              </w:rPr>
              <w:t>Analyzes selection and framing through structured annotations at sentence, article, and publisher levels; later work reports a large 2024 corpus.</w:t>
            </w:r>
          </w:p>
        </w:tc>
        <w:tc>
          <w:tcPr>
            <w:tcW w:type="dxa" w:w="3408"/>
            <w:vAlign w:val="top"/>
          </w:tcPr>
          <w:p>
            <w:r>
              <w:rPr>
                <w:sz w:val="15"/>
              </w:rPr>
              <w:t>Does not by itself define claim-level authoritative-source-to-publication transformation provenance.</w:t>
            </w:r>
          </w:p>
        </w:tc>
      </w:tr>
      <w:tr>
        <w:tc>
          <w:tcPr>
            <w:tcW w:type="dxa" w:w="3408"/>
            <w:vAlign w:val="top"/>
            <w:shd w:fill="F3F6F9"/>
          </w:tcPr>
          <w:p>
            <w:r>
              <w:rPr>
                <w:sz w:val="15"/>
              </w:rPr>
              <w:t>MediaSpin</w:t>
            </w:r>
          </w:p>
        </w:tc>
        <w:tc>
          <w:tcPr>
            <w:tcW w:type="dxa" w:w="3408"/>
            <w:vAlign w:val="top"/>
            <w:shd w:fill="F3F6F9"/>
          </w:tcPr>
          <w:p>
            <w:r>
              <w:rPr>
                <w:sz w:val="15"/>
              </w:rPr>
              <w:t>78,910 original-edited headline pairs annotated for 13 bias categories.</w:t>
            </w:r>
          </w:p>
        </w:tc>
        <w:tc>
          <w:tcPr>
            <w:tcW w:type="dxa" w:w="3408"/>
            <w:vAlign w:val="top"/>
            <w:shd w:fill="F3F6F9"/>
          </w:tcPr>
          <w:p>
            <w:r>
              <w:rPr>
                <w:sz w:val="15"/>
              </w:rPr>
              <w:t>Headline revision pairs are not necessarily authoritative source-to-publication alignments.</w:t>
            </w:r>
          </w:p>
        </w:tc>
      </w:tr>
      <w:tr>
        <w:tc>
          <w:tcPr>
            <w:tcW w:type="dxa" w:w="3408"/>
            <w:vAlign w:val="top"/>
          </w:tcPr>
          <w:p>
            <w:r>
              <w:rPr>
                <w:sz w:val="15"/>
              </w:rPr>
              <w:t>FIFO</w:t>
            </w:r>
          </w:p>
        </w:tc>
        <w:tc>
          <w:tcPr>
            <w:tcW w:type="dxa" w:w="3408"/>
            <w:vAlign w:val="top"/>
          </w:tcPr>
          <w:p>
            <w:r>
              <w:rPr>
                <w:sz w:val="15"/>
              </w:rPr>
              <w:t>15,499 jury-annotated and 320 expert-labelled instances for framing in generated summaries.</w:t>
            </w:r>
          </w:p>
        </w:tc>
        <w:tc>
          <w:tcPr>
            <w:tcW w:type="dxa" w:w="3408"/>
            <w:vAlign w:val="top"/>
          </w:tcPr>
          <w:p>
            <w:r>
              <w:rPr>
                <w:sz w:val="15"/>
              </w:rPr>
              <w:t>Measures summary framing, not source-span provenance and quote-context transformation.</w:t>
            </w:r>
          </w:p>
        </w:tc>
      </w:tr>
      <w:tr>
        <w:tc>
          <w:tcPr>
            <w:tcW w:type="dxa" w:w="3408"/>
            <w:vAlign w:val="top"/>
            <w:shd w:fill="F3F6F9"/>
          </w:tcPr>
          <w:p>
            <w:r>
              <w:rPr>
                <w:sz w:val="15"/>
              </w:rPr>
              <w:t>NewsMediaBias-Plus</w:t>
            </w:r>
          </w:p>
        </w:tc>
        <w:tc>
          <w:tcPr>
            <w:tcW w:type="dxa" w:w="3408"/>
            <w:vAlign w:val="top"/>
            <w:shd w:fill="F3F6F9"/>
          </w:tcPr>
          <w:p>
            <w:r>
              <w:rPr>
                <w:sz w:val="15"/>
              </w:rPr>
              <w:t>More than 40,900 multimodal samples across outlets with text, image, metadata, and bias/reliability labels.</w:t>
            </w:r>
          </w:p>
        </w:tc>
        <w:tc>
          <w:tcPr>
            <w:tcW w:type="dxa" w:w="3408"/>
            <w:vAlign w:val="top"/>
            <w:shd w:fill="F3F6F9"/>
          </w:tcPr>
          <w:p>
            <w:r>
              <w:rPr>
                <w:sz w:val="15"/>
              </w:rPr>
              <w:t>Does not provide authoritative-source claim alignments as its primary design.</w:t>
            </w:r>
          </w:p>
        </w:tc>
      </w:tr>
      <w:tr>
        <w:tc>
          <w:tcPr>
            <w:tcW w:type="dxa" w:w="3408"/>
            <w:vAlign w:val="top"/>
          </w:tcPr>
          <w:p>
            <w:r>
              <w:rPr>
                <w:sz w:val="15"/>
              </w:rPr>
              <w:t>DirectQuote</w:t>
            </w:r>
          </w:p>
        </w:tc>
        <w:tc>
          <w:tcPr>
            <w:tcW w:type="dxa" w:w="3408"/>
            <w:vAlign w:val="top"/>
          </w:tcPr>
          <w:p>
            <w:r>
              <w:rPr>
                <w:sz w:val="15"/>
              </w:rPr>
              <w:t>19,760 news paragraphs and 10,279 manually annotated direct quotations with speakers.</w:t>
            </w:r>
          </w:p>
        </w:tc>
        <w:tc>
          <w:tcPr>
            <w:tcW w:type="dxa" w:w="3408"/>
            <w:vAlign w:val="top"/>
          </w:tcPr>
          <w:p>
            <w:r>
              <w:rPr>
                <w:sz w:val="15"/>
              </w:rPr>
              <w:t>Supports extraction and attribution, not source-context fidelity across documents.</w:t>
            </w:r>
          </w:p>
        </w:tc>
      </w:tr>
      <w:tr>
        <w:tc>
          <w:tcPr>
            <w:tcW w:type="dxa" w:w="3408"/>
            <w:vAlign w:val="top"/>
            <w:shd w:fill="F3F6F9"/>
          </w:tcPr>
          <w:p>
            <w:r>
              <w:rPr>
                <w:sz w:val="15"/>
              </w:rPr>
              <w:t>NewsQuote</w:t>
            </w:r>
          </w:p>
        </w:tc>
        <w:tc>
          <w:tcPr>
            <w:tcW w:type="dxa" w:w="3408"/>
            <w:vAlign w:val="top"/>
            <w:shd w:fill="F3F6F9"/>
          </w:tcPr>
          <w:p>
            <w:r>
              <w:rPr>
                <w:sz w:val="15"/>
              </w:rPr>
              <w:t>24,031 quote-speaker pairs and a quote/speaker extraction pipeline for expert recommendation.</w:t>
            </w:r>
          </w:p>
        </w:tc>
        <w:tc>
          <w:tcPr>
            <w:tcW w:type="dxa" w:w="3408"/>
            <w:vAlign w:val="top"/>
            <w:shd w:fill="F3F6F9"/>
          </w:tcPr>
          <w:p>
            <w:r>
              <w:rPr>
                <w:sz w:val="15"/>
              </w:rPr>
              <w:t>Supports quote attribution and retrieval, not context-loss or signed strength transformation.</w:t>
            </w:r>
          </w:p>
        </w:tc>
      </w:tr>
    </w:tbl>
    <w:tbl>
      <w:tblPr>
        <w:tblStyle w:val="TableGrid"/>
        <w:tblW w:type="auto" w:w="0"/>
        <w:tblLook w:firstColumn="1" w:firstRow="1" w:lastColumn="0" w:lastRow="0" w:noHBand="0" w:noVBand="1" w:val="04A0"/>
      </w:tblPr>
      <w:tblGrid>
        <w:gridCol w:w="10224"/>
      </w:tblGrid>
      <w:tr>
        <w:tc>
          <w:tcPr>
            <w:tcW w:type="dxa" w:w="10224"/>
            <w:shd w:fill="FFF3E8"/>
          </w:tcPr>
          <w:p>
            <w:r>
              <w:rPr>
                <w:b/>
              </w:rPr>
              <w:t>Research gap: a source-grounded system is needed to align published claims and quotations with supporting source spans, detect typed context and strength transformations, construct an auditable provenance representation, and withhold a conclusion when alignment or contextual evidence is insufficient.</w:t>
            </w:r>
          </w:p>
        </w:tc>
      </w:tr>
    </w:tbl>
    <w:p>
      <w:pPr>
        <w:pStyle w:val="Heading1"/>
      </w:pPr>
      <w:r>
        <w:t>3. Research aim, objectives, and contributions</w:t>
      </w:r>
    </w:p>
    <w:p>
      <w:pPr>
        <w:pStyle w:val="Heading2"/>
      </w:pPr>
      <w:r>
        <w:t>3.1 Aim</w:t>
      </w:r>
    </w:p>
    <w:p>
      <w:r>
        <w:t>To investigate whether a hierarchical source-alignment and discourse-aware transformation model can identify editorial changes more reliably and transparently than text-similarity, standard NLI, or direct classification baselines.</w:t>
      </w:r>
    </w:p>
    <w:p>
      <w:pPr>
        <w:pStyle w:val="Heading2"/>
      </w:pPr>
      <w:r>
        <w:t>3.2 Objectives</w:t>
      </w:r>
    </w:p>
    <w:p>
      <w:pPr>
        <w:pStyle w:val="ListNumber"/>
      </w:pPr>
      <w:r>
        <w:t>Define a reproducible ontology for source-to-publication transformations.</w:t>
      </w:r>
    </w:p>
    <w:p>
      <w:pPr>
        <w:pStyle w:val="ListNumber"/>
      </w:pPr>
      <w:r>
        <w:t>Create controlled synthetic transformations with exact ground truth.</w:t>
      </w:r>
    </w:p>
    <w:p>
      <w:pPr>
        <w:pStyle w:val="ListNumber"/>
      </w:pPr>
      <w:r>
        <w:t>Build a manually aligned real-source corpus with source spans, published spans, transformation labels, and adjudication records.</w:t>
      </w:r>
    </w:p>
    <w:p>
      <w:pPr>
        <w:pStyle w:val="ListNumber"/>
      </w:pPr>
      <w:r>
        <w:t>Compare lexical, dense, hybrid, and structured source-alignment methods.</w:t>
      </w:r>
    </w:p>
    <w:p>
      <w:pPr>
        <w:pStyle w:val="ListNumber"/>
      </w:pPr>
      <w:r>
        <w:t>Model negation, modality, qualification, attribution, correction, concession, temporality, quantification, causality, and certainty explicitly.</w:t>
      </w:r>
    </w:p>
    <w:p>
      <w:pPr>
        <w:pStyle w:val="ListNumber"/>
      </w:pPr>
      <w:r>
        <w:t>Represent signed semantic-strength change without collapsing all semantic differences into a bias score.</w:t>
      </w:r>
    </w:p>
    <w:p>
      <w:pPr>
        <w:pStyle w:val="ListNumber"/>
      </w:pPr>
      <w:r>
        <w:t>Construct typed editorial-transformation graphs with evidence links.</w:t>
      </w:r>
    </w:p>
    <w:p>
      <w:pPr>
        <w:pStyle w:val="ListNumber"/>
      </w:pPr>
      <w:r>
        <w:t>Calibrate confidence and evaluate abstention under uncertain or unknown transformations.</w:t>
      </w:r>
    </w:p>
    <w:p>
      <w:pPr>
        <w:pStyle w:val="ListNumber"/>
      </w:pPr>
      <w:r>
        <w:t>Test generalization across events, publishers, source types, and held-out transformation families.</w:t>
      </w:r>
    </w:p>
    <w:p>
      <w:pPr>
        <w:pStyle w:val="ListNumber"/>
      </w:pPr>
      <w:r>
        <w:t>Release reproducible code, schemas, annotation guidelines, synthetic generators, and evaluation scripts where licensing permits.</w:t>
      </w:r>
    </w:p>
    <w:p>
      <w:pPr>
        <w:pStyle w:val="Heading2"/>
      </w:pPr>
      <w:r>
        <w:t>3.3 Candidate technical contributions</w:t>
      </w:r>
    </w:p>
    <w:p>
      <w:pPr>
        <w:pStyle w:val="ListBullet"/>
      </w:pPr>
      <w:r>
        <w:t>A split/merge-aware hierarchical alignment pipeline for source and published claims.</w:t>
      </w:r>
    </w:p>
    <w:p>
      <w:pPr>
        <w:pStyle w:val="ListBullet"/>
      </w:pPr>
      <w:r>
        <w:t>A discourse-context loss representation for quotations and paraphrases.</w:t>
      </w:r>
    </w:p>
    <w:p>
      <w:pPr>
        <w:pStyle w:val="ListBullet"/>
      </w:pPr>
      <w:r>
        <w:t>A multidimensional signed semantic-strength representation.</w:t>
      </w:r>
    </w:p>
    <w:p>
      <w:pPr>
        <w:pStyle w:val="ListBullet"/>
      </w:pPr>
      <w:r>
        <w:t>A typed provenance graph linking source claims, published claims, quotations, entities, and events.</w:t>
      </w:r>
    </w:p>
    <w:p>
      <w:pPr>
        <w:pStyle w:val="ListBullet"/>
      </w:pPr>
      <w:r>
        <w:t>A confidence-gated abstention method for unsupported or unknown transformations.</w:t>
      </w:r>
    </w:p>
    <w:p>
      <w:pPr>
        <w:pStyle w:val="ListBullet"/>
      </w:pPr>
      <w:r>
        <w:t>A benchmark protocol that prevents event and publisher leakage.</w:t>
      </w:r>
    </w:p>
    <w:p>
      <w:r>
        <w:t>These are candidate contributions. The final thesis must state only the contributions that survive baseline comparison and ablation.</w:t>
      </w:r>
    </w:p>
    <w:p>
      <w:pPr>
        <w:pStyle w:val="Heading1"/>
      </w:pPr>
      <w:r>
        <w:t>4. Research questions and hypotheses</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shd w:fill="17324D"/>
          </w:tcPr>
          <w:p>
            <w:r>
              <w:rPr>
                <w:b/>
                <w:color w:val="FFFFFF"/>
                <w:sz w:val="16"/>
              </w:rPr>
              <w:t>ID</w:t>
            </w:r>
          </w:p>
        </w:tc>
        <w:tc>
          <w:tcPr>
            <w:tcW w:type="dxa" w:w="5112"/>
            <w:shd w:fill="17324D"/>
          </w:tcPr>
          <w:p>
            <w:r>
              <w:rPr>
                <w:b/>
                <w:color w:val="FFFFFF"/>
                <w:sz w:val="16"/>
              </w:rPr>
              <w:t>Research question</w:t>
            </w:r>
          </w:p>
        </w:tc>
      </w:tr>
      <w:tr>
        <w:tc>
          <w:tcPr>
            <w:tcW w:type="dxa" w:w="5112"/>
            <w:vAlign w:val="top"/>
          </w:tcPr>
          <w:p>
            <w:r>
              <w:rPr>
                <w:sz w:val="15"/>
              </w:rPr>
              <w:t>RQ1</w:t>
            </w:r>
          </w:p>
        </w:tc>
        <w:tc>
          <w:tcPr>
            <w:tcW w:type="dxa" w:w="5112"/>
            <w:vAlign w:val="top"/>
          </w:tcPr>
          <w:p>
            <w:r>
              <w:rPr>
                <w:sz w:val="15"/>
              </w:rPr>
              <w:t>Can hierarchical lexical+dense retrieval followed by structured alignment identify supporting source spans more accurately than retrieval alone?</w:t>
            </w:r>
          </w:p>
        </w:tc>
      </w:tr>
      <w:tr>
        <w:tc>
          <w:tcPr>
            <w:tcW w:type="dxa" w:w="5112"/>
            <w:vAlign w:val="top"/>
            <w:shd w:fill="F3F6F9"/>
          </w:tcPr>
          <w:p>
            <w:r>
              <w:rPr>
                <w:sz w:val="15"/>
              </w:rPr>
              <w:t>RQ2</w:t>
            </w:r>
          </w:p>
        </w:tc>
        <w:tc>
          <w:tcPr>
            <w:tcW w:type="dxa" w:w="5112"/>
            <w:vAlign w:val="top"/>
            <w:shd w:fill="F3F6F9"/>
          </w:tcPr>
          <w:p>
            <w:r>
              <w:rPr>
                <w:sz w:val="15"/>
              </w:rPr>
              <w:t>Do explicit discourse features improve detection of quote-context loss over a claim-pair encoder without those features?</w:t>
            </w:r>
          </w:p>
        </w:tc>
      </w:tr>
      <w:tr>
        <w:tc>
          <w:tcPr>
            <w:tcW w:type="dxa" w:w="5112"/>
            <w:vAlign w:val="top"/>
          </w:tcPr>
          <w:p>
            <w:r>
              <w:rPr>
                <w:sz w:val="15"/>
              </w:rPr>
              <w:t>RQ3</w:t>
            </w:r>
          </w:p>
        </w:tc>
        <w:tc>
          <w:tcPr>
            <w:tcW w:type="dxa" w:w="5112"/>
            <w:vAlign w:val="top"/>
          </w:tcPr>
          <w:p>
            <w:r>
              <w:rPr>
                <w:sz w:val="15"/>
              </w:rPr>
              <w:t>Can a signed semantic-strength model distinguish strengthening from weakening more accurately than standard entailment/contradiction/neutral labels?</w:t>
            </w:r>
          </w:p>
        </w:tc>
      </w:tr>
      <w:tr>
        <w:tc>
          <w:tcPr>
            <w:tcW w:type="dxa" w:w="5112"/>
            <w:vAlign w:val="top"/>
            <w:shd w:fill="F3F6F9"/>
          </w:tcPr>
          <w:p>
            <w:r>
              <w:rPr>
                <w:sz w:val="15"/>
              </w:rPr>
              <w:t>RQ4</w:t>
            </w:r>
          </w:p>
        </w:tc>
        <w:tc>
          <w:tcPr>
            <w:tcW w:type="dxa" w:w="5112"/>
            <w:vAlign w:val="top"/>
            <w:shd w:fill="F3F6F9"/>
          </w:tcPr>
          <w:p>
            <w:r>
              <w:rPr>
                <w:sz w:val="15"/>
              </w:rPr>
              <w:t>Does a typed provenance graph improve evidence traceability without increasing unsupported transformation edges?</w:t>
            </w:r>
          </w:p>
        </w:tc>
      </w:tr>
      <w:tr>
        <w:tc>
          <w:tcPr>
            <w:tcW w:type="dxa" w:w="5112"/>
            <w:vAlign w:val="top"/>
          </w:tcPr>
          <w:p>
            <w:r>
              <w:rPr>
                <w:sz w:val="15"/>
              </w:rPr>
              <w:t>RQ5</w:t>
            </w:r>
          </w:p>
        </w:tc>
        <w:tc>
          <w:tcPr>
            <w:tcW w:type="dxa" w:w="5112"/>
            <w:vAlign w:val="top"/>
          </w:tcPr>
          <w:p>
            <w:r>
              <w:rPr>
                <w:sz w:val="15"/>
              </w:rPr>
              <w:t>Can calibration and abstention reduce incorrect high-confidence transformation claims?</w:t>
            </w:r>
          </w:p>
        </w:tc>
      </w:tr>
      <w:tr>
        <w:tc>
          <w:tcPr>
            <w:tcW w:type="dxa" w:w="5112"/>
            <w:vAlign w:val="top"/>
            <w:shd w:fill="F3F6F9"/>
          </w:tcPr>
          <w:p>
            <w:r>
              <w:rPr>
                <w:sz w:val="15"/>
              </w:rPr>
              <w:t>RQ6</w:t>
            </w:r>
          </w:p>
        </w:tc>
        <w:tc>
          <w:tcPr>
            <w:tcW w:type="dxa" w:w="5112"/>
            <w:vAlign w:val="top"/>
            <w:shd w:fill="F3F6F9"/>
          </w:tcPr>
          <w:p>
            <w:r>
              <w:rPr>
                <w:sz w:val="15"/>
              </w:rPr>
              <w:t>How much performance degrades under event-, publisher-, source-type-, and transformation-held-out evaluation?</w:t>
            </w:r>
          </w:p>
        </w:tc>
      </w:tr>
    </w:tbl>
    <w:tbl>
      <w:tblPr>
        <w:tblStyle w:val="TableGrid"/>
        <w:tblW w:type="auto" w:w="0"/>
        <w:jc w:val="center"/>
        <w:tblLook w:firstColumn="1" w:firstRow="1" w:lastColumn="0" w:lastRow="0" w:noHBand="0" w:noVBand="1" w:val="04A0"/>
      </w:tblPr>
      <w:tblGrid>
        <w:gridCol w:w="3408"/>
        <w:gridCol w:w="3408"/>
        <w:gridCol w:w="3408"/>
      </w:tblGrid>
      <w:tr>
        <w:trPr>
          <w:tblHeader/>
        </w:trPr>
        <w:tc>
          <w:tcPr>
            <w:tcW w:type="dxa" w:w="3408"/>
            <w:shd w:fill="17324D"/>
          </w:tcPr>
          <w:p>
            <w:r>
              <w:rPr>
                <w:b/>
                <w:color w:val="FFFFFF"/>
                <w:sz w:val="16"/>
              </w:rPr>
              <w:t>ID</w:t>
            </w:r>
          </w:p>
        </w:tc>
        <w:tc>
          <w:tcPr>
            <w:tcW w:type="dxa" w:w="3408"/>
            <w:shd w:fill="17324D"/>
          </w:tcPr>
          <w:p>
            <w:r>
              <w:rPr>
                <w:b/>
                <w:color w:val="FFFFFF"/>
                <w:sz w:val="16"/>
              </w:rPr>
              <w:t>Testable hypothesis</w:t>
            </w:r>
          </w:p>
        </w:tc>
        <w:tc>
          <w:tcPr>
            <w:tcW w:type="dxa" w:w="3408"/>
            <w:shd w:fill="17324D"/>
          </w:tcPr>
          <w:p>
            <w:r>
              <w:rPr>
                <w:b/>
                <w:color w:val="FFFFFF"/>
                <w:sz w:val="16"/>
              </w:rPr>
              <w:t>Primary test</w:t>
            </w:r>
          </w:p>
        </w:tc>
      </w:tr>
      <w:tr>
        <w:tc>
          <w:tcPr>
            <w:tcW w:type="dxa" w:w="3408"/>
            <w:vAlign w:val="top"/>
          </w:tcPr>
          <w:p>
            <w:r>
              <w:rPr>
                <w:sz w:val="15"/>
              </w:rPr>
              <w:t>H1</w:t>
            </w:r>
          </w:p>
        </w:tc>
        <w:tc>
          <w:tcPr>
            <w:tcW w:type="dxa" w:w="3408"/>
            <w:vAlign w:val="top"/>
          </w:tcPr>
          <w:p>
            <w:r>
              <w:rPr>
                <w:sz w:val="15"/>
              </w:rPr>
              <w:t>Hybrid retrieval plus structured alignment improves source-span Recall@5, MRR, and token F1 over TF-IDF, BM25, MiniLM, and E5-small used independently.</w:t>
            </w:r>
          </w:p>
        </w:tc>
        <w:tc>
          <w:tcPr>
            <w:tcW w:type="dxa" w:w="3408"/>
            <w:vAlign w:val="top"/>
          </w:tcPr>
          <w:p>
            <w:r>
              <w:rPr>
                <w:sz w:val="15"/>
              </w:rPr>
              <w:t>Paired bootstrap or approximate randomization on the same test claims.</w:t>
            </w:r>
          </w:p>
        </w:tc>
      </w:tr>
      <w:tr>
        <w:tc>
          <w:tcPr>
            <w:tcW w:type="dxa" w:w="3408"/>
            <w:vAlign w:val="top"/>
            <w:shd w:fill="F3F6F9"/>
          </w:tcPr>
          <w:p>
            <w:r>
              <w:rPr>
                <w:sz w:val="15"/>
              </w:rPr>
              <w:t>H2</w:t>
            </w:r>
          </w:p>
        </w:tc>
        <w:tc>
          <w:tcPr>
            <w:tcW w:type="dxa" w:w="3408"/>
            <w:vAlign w:val="top"/>
            <w:shd w:fill="F3F6F9"/>
          </w:tcPr>
          <w:p>
            <w:r>
              <w:rPr>
                <w:sz w:val="15"/>
              </w:rPr>
              <w:t>Adding discourse features improves macro F1 for negation, qualification, correction, attribution, and temporal-context loss.</w:t>
            </w:r>
          </w:p>
        </w:tc>
        <w:tc>
          <w:tcPr>
            <w:tcW w:type="dxa" w:w="3408"/>
            <w:vAlign w:val="top"/>
            <w:shd w:fill="F3F6F9"/>
          </w:tcPr>
          <w:p>
            <w:r>
              <w:rPr>
                <w:sz w:val="15"/>
              </w:rPr>
              <w:t>Ablation: full model versus no-discourse branch.</w:t>
            </w:r>
          </w:p>
        </w:tc>
      </w:tr>
      <w:tr>
        <w:tc>
          <w:tcPr>
            <w:tcW w:type="dxa" w:w="3408"/>
            <w:vAlign w:val="top"/>
          </w:tcPr>
          <w:p>
            <w:r>
              <w:rPr>
                <w:sz w:val="15"/>
              </w:rPr>
              <w:t>H3</w:t>
            </w:r>
          </w:p>
        </w:tc>
        <w:tc>
          <w:tcPr>
            <w:tcW w:type="dxa" w:w="3408"/>
            <w:vAlign w:val="top"/>
          </w:tcPr>
          <w:p>
            <w:r>
              <w:rPr>
                <w:sz w:val="15"/>
              </w:rPr>
              <w:t>A signed strength branch improves directional strength accuracy over NLI-only and pair-encoder baselines.</w:t>
            </w:r>
          </w:p>
        </w:tc>
        <w:tc>
          <w:tcPr>
            <w:tcW w:type="dxa" w:w="3408"/>
            <w:vAlign w:val="top"/>
          </w:tcPr>
          <w:p>
            <w:r>
              <w:rPr>
                <w:sz w:val="15"/>
              </w:rPr>
              <w:t>Ablation and McNemar-style paired error comparison.</w:t>
            </w:r>
          </w:p>
        </w:tc>
      </w:tr>
      <w:tr>
        <w:tc>
          <w:tcPr>
            <w:tcW w:type="dxa" w:w="3408"/>
            <w:vAlign w:val="top"/>
            <w:shd w:fill="F3F6F9"/>
          </w:tcPr>
          <w:p>
            <w:r>
              <w:rPr>
                <w:sz w:val="15"/>
              </w:rPr>
              <w:t>H4</w:t>
            </w:r>
          </w:p>
        </w:tc>
        <w:tc>
          <w:tcPr>
            <w:tcW w:type="dxa" w:w="3408"/>
            <w:vAlign w:val="top"/>
            <w:shd w:fill="F3F6F9"/>
          </w:tcPr>
          <w:p>
            <w:r>
              <w:rPr>
                <w:sz w:val="15"/>
              </w:rPr>
              <w:t>Event- and publisher-held-out scores are lower than random-split scores, indicating that random splits overestimate generalization.</w:t>
            </w:r>
          </w:p>
        </w:tc>
        <w:tc>
          <w:tcPr>
            <w:tcW w:type="dxa" w:w="3408"/>
            <w:vAlign w:val="top"/>
            <w:shd w:fill="F3F6F9"/>
          </w:tcPr>
          <w:p>
            <w:r>
              <w:rPr>
                <w:sz w:val="15"/>
              </w:rPr>
              <w:t>Compare matched test sets with confidence intervals.</w:t>
            </w:r>
          </w:p>
        </w:tc>
      </w:tr>
      <w:tr>
        <w:tc>
          <w:tcPr>
            <w:tcW w:type="dxa" w:w="3408"/>
            <w:vAlign w:val="top"/>
          </w:tcPr>
          <w:p>
            <w:r>
              <w:rPr>
                <w:sz w:val="15"/>
              </w:rPr>
              <w:t>H5</w:t>
            </w:r>
          </w:p>
        </w:tc>
        <w:tc>
          <w:tcPr>
            <w:tcW w:type="dxa" w:w="3408"/>
            <w:vAlign w:val="top"/>
          </w:tcPr>
          <w:p>
            <w:r>
              <w:rPr>
                <w:sz w:val="15"/>
              </w:rPr>
              <w:t>Confidence-based abstention reduces incorrect high-confidence transformation rate as coverage decreases.</w:t>
            </w:r>
          </w:p>
        </w:tc>
        <w:tc>
          <w:tcPr>
            <w:tcW w:type="dxa" w:w="3408"/>
            <w:vAlign w:val="top"/>
          </w:tcPr>
          <w:p>
            <w:r>
              <w:rPr>
                <w:sz w:val="15"/>
              </w:rPr>
              <w:t>Risk-coverage and selective accuracy curves.</w:t>
            </w:r>
          </w:p>
        </w:tc>
      </w:tr>
      <w:tr>
        <w:tc>
          <w:tcPr>
            <w:tcW w:type="dxa" w:w="3408"/>
            <w:vAlign w:val="top"/>
            <w:shd w:fill="F3F6F9"/>
          </w:tcPr>
          <w:p>
            <w:r>
              <w:rPr>
                <w:sz w:val="15"/>
              </w:rPr>
              <w:t>H6</w:t>
            </w:r>
          </w:p>
        </w:tc>
        <w:tc>
          <w:tcPr>
            <w:tcW w:type="dxa" w:w="3408"/>
            <w:vAlign w:val="top"/>
            <w:shd w:fill="F3F6F9"/>
          </w:tcPr>
          <w:p>
            <w:r>
              <w:rPr>
                <w:sz w:val="15"/>
              </w:rPr>
              <w:t>Graph constraints reduce unsupported and dangling edges compared with independently classified claim pairs.</w:t>
            </w:r>
          </w:p>
        </w:tc>
        <w:tc>
          <w:tcPr>
            <w:tcW w:type="dxa" w:w="3408"/>
            <w:vAlign w:val="top"/>
            <w:shd w:fill="F3F6F9"/>
          </w:tcPr>
          <w:p>
            <w:r>
              <w:rPr>
                <w:sz w:val="15"/>
              </w:rPr>
              <w:t>Graph edge precision/recall and constraint ablation.</w:t>
            </w:r>
          </w:p>
        </w:tc>
      </w:tr>
    </w:tbl>
    <w:p>
      <w:pPr>
        <w:pStyle w:val="Heading1"/>
      </w:pPr>
      <w:r>
        <w:t>5. Unit of analysis and formal task definition</w:t>
      </w:r>
    </w:p>
    <w:p>
      <w:r>
        <w:t>Let source document S contain source spans s₁...sₘ. Let published record P contain published claims or quotations p₁...pₙ. The system predicts alignment edges, transformation labels, confidence values, and abstentions.</w:t>
      </w:r>
    </w:p>
    <w:p>
      <w:pPr>
        <w:spacing w:before="80" w:after="120"/>
        <w:ind w:left="259" w:right="259"/>
        <w:shd w:fill="EEF2F5"/>
      </w:pPr>
      <w:r>
        <w:rPr>
          <w:rFonts w:ascii="Consolas" w:hAnsi="Consolas"/>
          <w:color w:val="17202A"/>
          <w:sz w:val="15"/>
        </w:rPr>
        <w:t>Input instance X = (S, P, metadata)</w:t>
        <w:br/>
        <w:t>S = authoritative/common source record</w:t>
        <w:br/>
        <w:t>P = article, headline, quotation, summary, caption, or preview</w:t>
        <w:br/>
        <w:t>metadata = source type, publication, event ID, time, speaker/entity information</w:t>
        <w:br/>
        <w:br/>
        <w:t>Output Y = (A, T, C, G, Z)</w:t>
        <w:br/>
        <w:t>A = source-to-publication alignment edges</w:t>
        <w:br/>
        <w:t>T = typed transformations on aligned pairs</w:t>
        <w:br/>
        <w:t>C = alignment and transformation confidences</w:t>
        <w:br/>
        <w:t>G = typed provenance graph</w:t>
        <w:br/>
        <w:t>Z = abstention decisions</w:t>
      </w:r>
    </w:p>
    <w:p>
      <w:pPr>
        <w:pStyle w:val="Heading2"/>
      </w:pPr>
      <w:r>
        <w:t>5.1 Initial quote-context instance</w:t>
      </w:r>
    </w:p>
    <w:p>
      <w:pPr>
        <w:spacing w:before="80" w:after="120"/>
        <w:ind w:left="259" w:right="259"/>
        <w:shd w:fill="EEF2F5"/>
      </w:pPr>
      <w:r>
        <w:rPr>
          <w:rFonts w:ascii="Consolas" w:hAnsi="Consolas"/>
          <w:color w:val="17202A"/>
          <w:sz w:val="15"/>
        </w:rPr>
        <w:t>X_quote = {</w:t>
        <w:br/>
        <w:t xml:space="preserve">  source_document,</w:t>
        <w:br/>
        <w:t xml:space="preserve">  published_quote,</w:t>
        <w:br/>
        <w:t xml:space="preserve">  article_context_sentence,</w:t>
        <w:br/>
        <w:t xml:space="preserve">  attributed_speaker,</w:t>
        <w:br/>
        <w:t xml:space="preserve">  optional headline</w:t>
        <w:br/>
        <w:t>}</w:t>
        <w:br/>
        <w:br/>
        <w:t>Y_quote = {</w:t>
        <w:br/>
        <w:t xml:space="preserve">  best_source_span,</w:t>
        <w:br/>
        <w:t xml:space="preserve">  quote_integrity_class,</w:t>
        <w:br/>
        <w:t xml:space="preserve">  lost_context_features,</w:t>
        <w:br/>
        <w:t xml:space="preserve">  attribution_status,</w:t>
        <w:br/>
        <w:t xml:space="preserve">  semantic_strength_direction,</w:t>
        <w:br/>
        <w:t xml:space="preserve">  alignment_confidence,</w:t>
        <w:br/>
        <w:t xml:space="preserve">  transformation_confidence,</w:t>
        <w:br/>
        <w:t xml:space="preserve">  abstain</w:t>
        <w:br/>
        <w:t>}</w:t>
      </w:r>
    </w:p>
    <w:p>
      <w:pPr>
        <w:pStyle w:val="Heading2"/>
      </w:pPr>
      <w:r>
        <w:t>5.2 Evidence sufficiency</w:t>
      </w:r>
    </w:p>
    <w:p>
      <w:r>
        <w:t>A transformation label is allowed only when the selected source span passes the evidence threshold. If retrieval confidence, span coverage, attribution consistency, or semantic verification is insufficient, the system returns INSUFFICIENT_EVIDENCE rather than forcing a label.</w:t>
      </w:r>
    </w:p>
    <w:p>
      <w:pPr>
        <w:pStyle w:val="Heading1"/>
      </w:pPr>
      <w:r>
        <w:t>6. Transformation ontology</w:t>
      </w:r>
    </w:p>
    <w:p>
      <w:pPr>
        <w:pStyle w:val="Heading2"/>
      </w:pPr>
      <w:r>
        <w:t>6.1 Alignment relations</w:t>
      </w:r>
    </w:p>
    <w:tbl>
      <w:tblPr>
        <w:tblStyle w:val="TableGrid"/>
        <w:tblW w:type="auto" w:w="0"/>
        <w:jc w:val="center"/>
        <w:tblLook w:firstColumn="1" w:firstRow="1" w:lastColumn="0" w:lastRow="0" w:noHBand="0" w:noVBand="1" w:val="04A0"/>
      </w:tblPr>
      <w:tblGrid>
        <w:gridCol w:w="3408"/>
        <w:gridCol w:w="3408"/>
        <w:gridCol w:w="3408"/>
      </w:tblGrid>
      <w:tr>
        <w:trPr>
          <w:tblHeader/>
        </w:trPr>
        <w:tc>
          <w:tcPr>
            <w:tcW w:type="dxa" w:w="3408"/>
            <w:shd w:fill="17324D"/>
          </w:tcPr>
          <w:p>
            <w:r>
              <w:rPr>
                <w:b/>
                <w:color w:val="FFFFFF"/>
                <w:sz w:val="16"/>
              </w:rPr>
              <w:t>Label</w:t>
            </w:r>
          </w:p>
        </w:tc>
        <w:tc>
          <w:tcPr>
            <w:tcW w:type="dxa" w:w="3408"/>
            <w:shd w:fill="17324D"/>
          </w:tcPr>
          <w:p>
            <w:r>
              <w:rPr>
                <w:b/>
                <w:color w:val="FFFFFF"/>
                <w:sz w:val="16"/>
              </w:rPr>
              <w:t>Definition</w:t>
            </w:r>
          </w:p>
        </w:tc>
        <w:tc>
          <w:tcPr>
            <w:tcW w:type="dxa" w:w="3408"/>
            <w:shd w:fill="17324D"/>
          </w:tcPr>
          <w:p>
            <w:r>
              <w:rPr>
                <w:b/>
                <w:color w:val="FFFFFF"/>
                <w:sz w:val="16"/>
              </w:rPr>
              <w:t>Minimum evidence</w:t>
            </w:r>
          </w:p>
        </w:tc>
      </w:tr>
      <w:tr>
        <w:tc>
          <w:tcPr>
            <w:tcW w:type="dxa" w:w="3408"/>
            <w:vAlign w:val="top"/>
          </w:tcPr>
          <w:p>
            <w:r>
              <w:rPr>
                <w:sz w:val="15"/>
              </w:rPr>
              <w:t>PRESERVED</w:t>
            </w:r>
          </w:p>
        </w:tc>
        <w:tc>
          <w:tcPr>
            <w:tcW w:type="dxa" w:w="3408"/>
            <w:vAlign w:val="top"/>
          </w:tcPr>
          <w:p>
            <w:r>
              <w:rPr>
                <w:sz w:val="15"/>
              </w:rPr>
              <w:t>Published claim retains the source proposition and material qualifiers.</w:t>
            </w:r>
          </w:p>
        </w:tc>
        <w:tc>
          <w:tcPr>
            <w:tcW w:type="dxa" w:w="3408"/>
            <w:vAlign w:val="top"/>
          </w:tcPr>
          <w:p>
            <w:r>
              <w:rPr>
                <w:sz w:val="15"/>
              </w:rPr>
              <w:t>Aligned source span and mutual semantic compatibility.</w:t>
            </w:r>
          </w:p>
        </w:tc>
      </w:tr>
      <w:tr>
        <w:tc>
          <w:tcPr>
            <w:tcW w:type="dxa" w:w="3408"/>
            <w:vAlign w:val="top"/>
            <w:shd w:fill="F3F6F9"/>
          </w:tcPr>
          <w:p>
            <w:r>
              <w:rPr>
                <w:sz w:val="15"/>
              </w:rPr>
              <w:t>PARAPHRASED</w:t>
            </w:r>
          </w:p>
        </w:tc>
        <w:tc>
          <w:tcPr>
            <w:tcW w:type="dxa" w:w="3408"/>
            <w:vAlign w:val="top"/>
            <w:shd w:fill="F3F6F9"/>
          </w:tcPr>
          <w:p>
            <w:r>
              <w:rPr>
                <w:sz w:val="15"/>
              </w:rPr>
              <w:t>Surface form changes while proposition and qualifiers remain materially equivalent.</w:t>
            </w:r>
          </w:p>
        </w:tc>
        <w:tc>
          <w:tcPr>
            <w:tcW w:type="dxa" w:w="3408"/>
            <w:vAlign w:val="top"/>
            <w:shd w:fill="F3F6F9"/>
          </w:tcPr>
          <w:p>
            <w:r>
              <w:rPr>
                <w:sz w:val="15"/>
              </w:rPr>
              <w:t>Semantic compatibility and no detected material context loss.</w:t>
            </w:r>
          </w:p>
        </w:tc>
      </w:tr>
      <w:tr>
        <w:tc>
          <w:tcPr>
            <w:tcW w:type="dxa" w:w="3408"/>
            <w:vAlign w:val="top"/>
          </w:tcPr>
          <w:p>
            <w:r>
              <w:rPr>
                <w:sz w:val="15"/>
              </w:rPr>
              <w:t>SPLIT</w:t>
            </w:r>
          </w:p>
        </w:tc>
        <w:tc>
          <w:tcPr>
            <w:tcW w:type="dxa" w:w="3408"/>
            <w:vAlign w:val="top"/>
          </w:tcPr>
          <w:p>
            <w:r>
              <w:rPr>
                <w:sz w:val="15"/>
              </w:rPr>
              <w:t>One source claim appears in multiple published claims.</w:t>
            </w:r>
          </w:p>
        </w:tc>
        <w:tc>
          <w:tcPr>
            <w:tcW w:type="dxa" w:w="3408"/>
            <w:vAlign w:val="top"/>
          </w:tcPr>
          <w:p>
            <w:r>
              <w:rPr>
                <w:sz w:val="15"/>
              </w:rPr>
              <w:t>Multiple published nodes align to one source node.</w:t>
            </w:r>
          </w:p>
        </w:tc>
      </w:tr>
      <w:tr>
        <w:tc>
          <w:tcPr>
            <w:tcW w:type="dxa" w:w="3408"/>
            <w:vAlign w:val="top"/>
            <w:shd w:fill="F3F6F9"/>
          </w:tcPr>
          <w:p>
            <w:r>
              <w:rPr>
                <w:sz w:val="15"/>
              </w:rPr>
              <w:t>MERGED</w:t>
            </w:r>
          </w:p>
        </w:tc>
        <w:tc>
          <w:tcPr>
            <w:tcW w:type="dxa" w:w="3408"/>
            <w:vAlign w:val="top"/>
            <w:shd w:fill="F3F6F9"/>
          </w:tcPr>
          <w:p>
            <w:r>
              <w:rPr>
                <w:sz w:val="15"/>
              </w:rPr>
              <w:t>Multiple source claims are combined into one published claim.</w:t>
            </w:r>
          </w:p>
        </w:tc>
        <w:tc>
          <w:tcPr>
            <w:tcW w:type="dxa" w:w="3408"/>
            <w:vAlign w:val="top"/>
            <w:shd w:fill="F3F6F9"/>
          </w:tcPr>
          <w:p>
            <w:r>
              <w:rPr>
                <w:sz w:val="15"/>
              </w:rPr>
              <w:t>One published node aligns to multiple source nodes.</w:t>
            </w:r>
          </w:p>
        </w:tc>
      </w:tr>
      <w:tr>
        <w:tc>
          <w:tcPr>
            <w:tcW w:type="dxa" w:w="3408"/>
            <w:vAlign w:val="top"/>
          </w:tcPr>
          <w:p>
            <w:r>
              <w:rPr>
                <w:sz w:val="15"/>
              </w:rPr>
              <w:t>UNSUPPORTED</w:t>
            </w:r>
          </w:p>
        </w:tc>
        <w:tc>
          <w:tcPr>
            <w:tcW w:type="dxa" w:w="3408"/>
            <w:vAlign w:val="top"/>
          </w:tcPr>
          <w:p>
            <w:r>
              <w:rPr>
                <w:sz w:val="15"/>
              </w:rPr>
              <w:t>No source span supports the published proposition at the required threshold.</w:t>
            </w:r>
          </w:p>
        </w:tc>
        <w:tc>
          <w:tcPr>
            <w:tcW w:type="dxa" w:w="3408"/>
            <w:vAlign w:val="top"/>
          </w:tcPr>
          <w:p>
            <w:r>
              <w:rPr>
                <w:sz w:val="15"/>
              </w:rPr>
              <w:t>Exhaustive top-k search and failed verification.</w:t>
            </w:r>
          </w:p>
        </w:tc>
      </w:tr>
      <w:tr>
        <w:tc>
          <w:tcPr>
            <w:tcW w:type="dxa" w:w="3408"/>
            <w:vAlign w:val="top"/>
            <w:shd w:fill="F3F6F9"/>
          </w:tcPr>
          <w:p>
            <w:r>
              <w:rPr>
                <w:sz w:val="15"/>
              </w:rPr>
              <w:t>CONTRADICTED</w:t>
            </w:r>
          </w:p>
        </w:tc>
        <w:tc>
          <w:tcPr>
            <w:tcW w:type="dxa" w:w="3408"/>
            <w:vAlign w:val="top"/>
            <w:shd w:fill="F3F6F9"/>
          </w:tcPr>
          <w:p>
            <w:r>
              <w:rPr>
                <w:sz w:val="15"/>
              </w:rPr>
              <w:t>Published proposition conflicts with the aligned source span.</w:t>
            </w:r>
          </w:p>
        </w:tc>
        <w:tc>
          <w:tcPr>
            <w:tcW w:type="dxa" w:w="3408"/>
            <w:vAlign w:val="top"/>
            <w:shd w:fill="F3F6F9"/>
          </w:tcPr>
          <w:p>
            <w:r>
              <w:rPr>
                <w:sz w:val="15"/>
              </w:rPr>
              <w:t>Contradiction evidence beyond lexical mismatch.</w:t>
            </w:r>
          </w:p>
        </w:tc>
      </w:tr>
      <w:tr>
        <w:tc>
          <w:tcPr>
            <w:tcW w:type="dxa" w:w="3408"/>
            <w:vAlign w:val="top"/>
          </w:tcPr>
          <w:p>
            <w:r>
              <w:rPr>
                <w:sz w:val="15"/>
              </w:rPr>
              <w:t>NOT_ALIGNED</w:t>
            </w:r>
          </w:p>
        </w:tc>
        <w:tc>
          <w:tcPr>
            <w:tcW w:type="dxa" w:w="3408"/>
            <w:vAlign w:val="top"/>
          </w:tcPr>
          <w:p>
            <w:r>
              <w:rPr>
                <w:sz w:val="15"/>
              </w:rPr>
              <w:t>No reliable alignment decision.</w:t>
            </w:r>
          </w:p>
        </w:tc>
        <w:tc>
          <w:tcPr>
            <w:tcW w:type="dxa" w:w="3408"/>
            <w:vAlign w:val="top"/>
          </w:tcPr>
          <w:p>
            <w:r>
              <w:rPr>
                <w:sz w:val="15"/>
              </w:rPr>
              <w:t>System abstains.</w:t>
            </w:r>
          </w:p>
        </w:tc>
      </w:tr>
    </w:tbl>
    <w:p>
      <w:pPr>
        <w:pStyle w:val="Heading2"/>
      </w:pPr>
      <w:r>
        <w:t>6.2 Context transformations</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shd w:fill="17324D"/>
          </w:tcPr>
          <w:p>
            <w:r>
              <w:rPr>
                <w:b/>
                <w:color w:val="FFFFFF"/>
                <w:sz w:val="16"/>
              </w:rPr>
              <w:t>Label</w:t>
            </w:r>
          </w:p>
        </w:tc>
        <w:tc>
          <w:tcPr>
            <w:tcW w:type="dxa" w:w="5112"/>
            <w:shd w:fill="17324D"/>
          </w:tcPr>
          <w:p>
            <w:r>
              <w:rPr>
                <w:b/>
                <w:color w:val="FFFFFF"/>
                <w:sz w:val="16"/>
              </w:rPr>
              <w:t>Operational question</w:t>
            </w:r>
          </w:p>
        </w:tc>
      </w:tr>
      <w:tr>
        <w:tc>
          <w:tcPr>
            <w:tcW w:type="dxa" w:w="5112"/>
            <w:vAlign w:val="top"/>
          </w:tcPr>
          <w:p>
            <w:r>
              <w:rPr>
                <w:sz w:val="15"/>
              </w:rPr>
              <w:t>NEGATION_REMOVED</w:t>
            </w:r>
          </w:p>
        </w:tc>
        <w:tc>
          <w:tcPr>
            <w:tcW w:type="dxa" w:w="5112"/>
            <w:vAlign w:val="top"/>
          </w:tcPr>
          <w:p>
            <w:r>
              <w:rPr>
                <w:sz w:val="15"/>
              </w:rPr>
              <w:t>Did the published form remove or reverse an explicit negation?</w:t>
            </w:r>
          </w:p>
        </w:tc>
      </w:tr>
      <w:tr>
        <w:tc>
          <w:tcPr>
            <w:tcW w:type="dxa" w:w="5112"/>
            <w:vAlign w:val="top"/>
            <w:shd w:fill="F3F6F9"/>
          </w:tcPr>
          <w:p>
            <w:r>
              <w:rPr>
                <w:sz w:val="15"/>
              </w:rPr>
              <w:t>QUALIFICATION_REMOVED</w:t>
            </w:r>
          </w:p>
        </w:tc>
        <w:tc>
          <w:tcPr>
            <w:tcW w:type="dxa" w:w="5112"/>
            <w:vAlign w:val="top"/>
            <w:shd w:fill="F3F6F9"/>
          </w:tcPr>
          <w:p>
            <w:r>
              <w:rPr>
                <w:sz w:val="15"/>
              </w:rPr>
              <w:t>Was a limiting phrase, hedge, exception, or scope qualifier removed?</w:t>
            </w:r>
          </w:p>
        </w:tc>
      </w:tr>
      <w:tr>
        <w:tc>
          <w:tcPr>
            <w:tcW w:type="dxa" w:w="5112"/>
            <w:vAlign w:val="top"/>
          </w:tcPr>
          <w:p>
            <w:r>
              <w:rPr>
                <w:sz w:val="15"/>
              </w:rPr>
              <w:t>CONDITION_REMOVED</w:t>
            </w:r>
          </w:p>
        </w:tc>
        <w:tc>
          <w:tcPr>
            <w:tcW w:type="dxa" w:w="5112"/>
            <w:vAlign w:val="top"/>
          </w:tcPr>
          <w:p>
            <w:r>
              <w:rPr>
                <w:sz w:val="15"/>
              </w:rPr>
              <w:t>Was an if/when/unless condition omitted?</w:t>
            </w:r>
          </w:p>
        </w:tc>
      </w:tr>
      <w:tr>
        <w:tc>
          <w:tcPr>
            <w:tcW w:type="dxa" w:w="5112"/>
            <w:vAlign w:val="top"/>
            <w:shd w:fill="F3F6F9"/>
          </w:tcPr>
          <w:p>
            <w:r>
              <w:rPr>
                <w:sz w:val="15"/>
              </w:rPr>
              <w:t>UNCERTAINTY_REMOVED</w:t>
            </w:r>
          </w:p>
        </w:tc>
        <w:tc>
          <w:tcPr>
            <w:tcW w:type="dxa" w:w="5112"/>
            <w:vAlign w:val="top"/>
            <w:shd w:fill="F3F6F9"/>
          </w:tcPr>
          <w:p>
            <w:r>
              <w:rPr>
                <w:sz w:val="15"/>
              </w:rPr>
              <w:t>Was uncertainty converted into assertion?</w:t>
            </w:r>
          </w:p>
        </w:tc>
      </w:tr>
      <w:tr>
        <w:tc>
          <w:tcPr>
            <w:tcW w:type="dxa" w:w="5112"/>
            <w:vAlign w:val="top"/>
          </w:tcPr>
          <w:p>
            <w:r>
              <w:rPr>
                <w:sz w:val="15"/>
              </w:rPr>
              <w:t>CORRECTION_REMOVED</w:t>
            </w:r>
          </w:p>
        </w:tc>
        <w:tc>
          <w:tcPr>
            <w:tcW w:type="dxa" w:w="5112"/>
            <w:vAlign w:val="top"/>
          </w:tcPr>
          <w:p>
            <w:r>
              <w:rPr>
                <w:sz w:val="15"/>
              </w:rPr>
              <w:t>Was a later correction or clarification omitted?</w:t>
            </w:r>
          </w:p>
        </w:tc>
      </w:tr>
      <w:tr>
        <w:tc>
          <w:tcPr>
            <w:tcW w:type="dxa" w:w="5112"/>
            <w:vAlign w:val="top"/>
            <w:shd w:fill="F3F6F9"/>
          </w:tcPr>
          <w:p>
            <w:r>
              <w:rPr>
                <w:sz w:val="15"/>
              </w:rPr>
              <w:t>CONCESSION_REMOVED</w:t>
            </w:r>
          </w:p>
        </w:tc>
        <w:tc>
          <w:tcPr>
            <w:tcW w:type="dxa" w:w="5112"/>
            <w:vAlign w:val="top"/>
            <w:shd w:fill="F3F6F9"/>
          </w:tcPr>
          <w:p>
            <w:r>
              <w:rPr>
                <w:sz w:val="15"/>
              </w:rPr>
              <w:t>Was an although/however/but clause that limits interpretation omitted?</w:t>
            </w:r>
          </w:p>
        </w:tc>
      </w:tr>
      <w:tr>
        <w:tc>
          <w:tcPr>
            <w:tcW w:type="dxa" w:w="5112"/>
            <w:vAlign w:val="top"/>
          </w:tcPr>
          <w:p>
            <w:r>
              <w:rPr>
                <w:sz w:val="15"/>
              </w:rPr>
              <w:t>TEMPORAL_CONTEXT_REMOVED</w:t>
            </w:r>
          </w:p>
        </w:tc>
        <w:tc>
          <w:tcPr>
            <w:tcW w:type="dxa" w:w="5112"/>
            <w:vAlign w:val="top"/>
          </w:tcPr>
          <w:p>
            <w:r>
              <w:rPr>
                <w:sz w:val="15"/>
              </w:rPr>
              <w:t>Was timing, duration, sequence, or future/past restriction removed?</w:t>
            </w:r>
          </w:p>
        </w:tc>
      </w:tr>
      <w:tr>
        <w:tc>
          <w:tcPr>
            <w:tcW w:type="dxa" w:w="5112"/>
            <w:vAlign w:val="top"/>
            <w:shd w:fill="F3F6F9"/>
          </w:tcPr>
          <w:p>
            <w:r>
              <w:rPr>
                <w:sz w:val="15"/>
              </w:rPr>
              <w:t>ATTRIBUTION_CHANGED</w:t>
            </w:r>
          </w:p>
        </w:tc>
        <w:tc>
          <w:tcPr>
            <w:tcW w:type="dxa" w:w="5112"/>
            <w:vAlign w:val="top"/>
            <w:shd w:fill="F3F6F9"/>
          </w:tcPr>
          <w:p>
            <w:r>
              <w:rPr>
                <w:sz w:val="15"/>
              </w:rPr>
              <w:t>Was the source, speaker, or evidential attribution altered or removed?</w:t>
            </w:r>
          </w:p>
        </w:tc>
      </w:tr>
      <w:tr>
        <w:tc>
          <w:tcPr>
            <w:tcW w:type="dxa" w:w="5112"/>
            <w:vAlign w:val="top"/>
          </w:tcPr>
          <w:p>
            <w:r>
              <w:rPr>
                <w:sz w:val="15"/>
              </w:rPr>
              <w:t>SPEAKER_CHANGED</w:t>
            </w:r>
          </w:p>
        </w:tc>
        <w:tc>
          <w:tcPr>
            <w:tcW w:type="dxa" w:w="5112"/>
            <w:vAlign w:val="top"/>
          </w:tcPr>
          <w:p>
            <w:r>
              <w:rPr>
                <w:sz w:val="15"/>
              </w:rPr>
              <w:t>Was the quoted or reported speaker incorrectly changed?</w:t>
            </w:r>
          </w:p>
        </w:tc>
      </w:tr>
      <w:tr>
        <w:tc>
          <w:tcPr>
            <w:tcW w:type="dxa" w:w="5112"/>
            <w:vAlign w:val="top"/>
            <w:shd w:fill="F3F6F9"/>
          </w:tcPr>
          <w:p>
            <w:r>
              <w:rPr>
                <w:sz w:val="15"/>
              </w:rPr>
              <w:t>SUBJECT_CHANGED</w:t>
            </w:r>
          </w:p>
        </w:tc>
        <w:tc>
          <w:tcPr>
            <w:tcW w:type="dxa" w:w="5112"/>
            <w:vAlign w:val="top"/>
            <w:shd w:fill="F3F6F9"/>
          </w:tcPr>
          <w:p>
            <w:r>
              <w:rPr>
                <w:sz w:val="15"/>
              </w:rPr>
              <w:t>Was the claim attached to a different entity or topic?</w:t>
            </w:r>
          </w:p>
        </w:tc>
      </w:tr>
    </w:tbl>
    <w:p>
      <w:pPr>
        <w:pStyle w:val="Heading2"/>
      </w:pPr>
      <w:r>
        <w:t>6.3 Semantic-strength labels</w:t>
      </w:r>
    </w:p>
    <w:tbl>
      <w:tblPr>
        <w:tblStyle w:val="TableGrid"/>
        <w:tblW w:type="auto" w:w="0"/>
        <w:jc w:val="center"/>
        <w:tblLook w:firstColumn="1" w:firstRow="1" w:lastColumn="0" w:lastRow="0" w:noHBand="0" w:noVBand="1" w:val="04A0"/>
      </w:tblPr>
      <w:tblGrid>
        <w:gridCol w:w="3408"/>
        <w:gridCol w:w="3408"/>
        <w:gridCol w:w="3408"/>
      </w:tblGrid>
      <w:tr>
        <w:trPr>
          <w:tblHeader/>
        </w:trPr>
        <w:tc>
          <w:tcPr>
            <w:tcW w:type="dxa" w:w="3408"/>
            <w:shd w:fill="17324D"/>
          </w:tcPr>
          <w:p>
            <w:r>
              <w:rPr>
                <w:b/>
                <w:color w:val="FFFFFF"/>
                <w:sz w:val="16"/>
              </w:rPr>
              <w:t>Label</w:t>
            </w:r>
          </w:p>
        </w:tc>
        <w:tc>
          <w:tcPr>
            <w:tcW w:type="dxa" w:w="3408"/>
            <w:shd w:fill="17324D"/>
          </w:tcPr>
          <w:p>
            <w:r>
              <w:rPr>
                <w:b/>
                <w:color w:val="FFFFFF"/>
                <w:sz w:val="16"/>
              </w:rPr>
              <w:t>Definition</w:t>
            </w:r>
          </w:p>
        </w:tc>
        <w:tc>
          <w:tcPr>
            <w:tcW w:type="dxa" w:w="3408"/>
            <w:shd w:fill="17324D"/>
          </w:tcPr>
          <w:p>
            <w:r>
              <w:rPr>
                <w:b/>
                <w:color w:val="FFFFFF"/>
                <w:sz w:val="16"/>
              </w:rPr>
              <w:t>Examples</w:t>
            </w:r>
          </w:p>
        </w:tc>
      </w:tr>
      <w:tr>
        <w:tc>
          <w:tcPr>
            <w:tcW w:type="dxa" w:w="3408"/>
            <w:vAlign w:val="top"/>
          </w:tcPr>
          <w:p>
            <w:r>
              <w:rPr>
                <w:sz w:val="15"/>
              </w:rPr>
              <w:t>STRENGTHENED</w:t>
            </w:r>
          </w:p>
        </w:tc>
        <w:tc>
          <w:tcPr>
            <w:tcW w:type="dxa" w:w="3408"/>
            <w:vAlign w:val="top"/>
          </w:tcPr>
          <w:p>
            <w:r>
              <w:rPr>
                <w:sz w:val="15"/>
              </w:rPr>
              <w:t>Published commitment is stronger on one or more dimensions.</w:t>
            </w:r>
          </w:p>
        </w:tc>
        <w:tc>
          <w:tcPr>
            <w:tcW w:type="dxa" w:w="3408"/>
            <w:vAlign w:val="top"/>
          </w:tcPr>
          <w:p>
            <w:r>
              <w:rPr>
                <w:sz w:val="15"/>
              </w:rPr>
              <w:t>may→will; some→all; associated with→causes; preliminary→confirmed.</w:t>
            </w:r>
          </w:p>
        </w:tc>
      </w:tr>
      <w:tr>
        <w:tc>
          <w:tcPr>
            <w:tcW w:type="dxa" w:w="3408"/>
            <w:vAlign w:val="top"/>
            <w:shd w:fill="F3F6F9"/>
          </w:tcPr>
          <w:p>
            <w:r>
              <w:rPr>
                <w:sz w:val="15"/>
              </w:rPr>
              <w:t>WEAKENED</w:t>
            </w:r>
          </w:p>
        </w:tc>
        <w:tc>
          <w:tcPr>
            <w:tcW w:type="dxa" w:w="3408"/>
            <w:vAlign w:val="top"/>
            <w:shd w:fill="F3F6F9"/>
          </w:tcPr>
          <w:p>
            <w:r>
              <w:rPr>
                <w:sz w:val="15"/>
              </w:rPr>
              <w:t>Published commitment is weaker.</w:t>
            </w:r>
          </w:p>
        </w:tc>
        <w:tc>
          <w:tcPr>
            <w:tcW w:type="dxa" w:w="3408"/>
            <w:vAlign w:val="top"/>
            <w:shd w:fill="F3F6F9"/>
          </w:tcPr>
          <w:p>
            <w:r>
              <w:rPr>
                <w:sz w:val="15"/>
              </w:rPr>
              <w:t>will→may; all→some; causes→may be associated with.</w:t>
            </w:r>
          </w:p>
        </w:tc>
      </w:tr>
      <w:tr>
        <w:tc>
          <w:tcPr>
            <w:tcW w:type="dxa" w:w="3408"/>
            <w:vAlign w:val="top"/>
          </w:tcPr>
          <w:p>
            <w:r>
              <w:rPr>
                <w:sz w:val="15"/>
              </w:rPr>
              <w:t>APPROXIMATELY_PRESERVED</w:t>
            </w:r>
          </w:p>
        </w:tc>
        <w:tc>
          <w:tcPr>
            <w:tcW w:type="dxa" w:w="3408"/>
            <w:vAlign w:val="top"/>
          </w:tcPr>
          <w:p>
            <w:r>
              <w:rPr>
                <w:sz w:val="15"/>
              </w:rPr>
              <w:t>No material directional change.</w:t>
            </w:r>
          </w:p>
        </w:tc>
        <w:tc>
          <w:tcPr>
            <w:tcW w:type="dxa" w:w="3408"/>
            <w:vAlign w:val="top"/>
          </w:tcPr>
          <w:p>
            <w:r>
              <w:rPr>
                <w:sz w:val="15"/>
              </w:rPr>
              <w:t>likely→probable where context is stable.</w:t>
            </w:r>
          </w:p>
        </w:tc>
      </w:tr>
      <w:tr>
        <w:tc>
          <w:tcPr>
            <w:tcW w:type="dxa" w:w="3408"/>
            <w:vAlign w:val="top"/>
            <w:shd w:fill="F3F6F9"/>
          </w:tcPr>
          <w:p>
            <w:r>
              <w:rPr>
                <w:sz w:val="15"/>
              </w:rPr>
              <w:t>MIXED</w:t>
            </w:r>
          </w:p>
        </w:tc>
        <w:tc>
          <w:tcPr>
            <w:tcW w:type="dxa" w:w="3408"/>
            <w:vAlign w:val="top"/>
            <w:shd w:fill="F3F6F9"/>
          </w:tcPr>
          <w:p>
            <w:r>
              <w:rPr>
                <w:sz w:val="15"/>
              </w:rPr>
              <w:t>Different dimensions move in opposite directions.</w:t>
            </w:r>
          </w:p>
        </w:tc>
        <w:tc>
          <w:tcPr>
            <w:tcW w:type="dxa" w:w="3408"/>
            <w:vAlign w:val="top"/>
            <w:shd w:fill="F3F6F9"/>
          </w:tcPr>
          <w:p>
            <w:r>
              <w:rPr>
                <w:sz w:val="15"/>
              </w:rPr>
              <w:t>certainty increases while temporal scope narrows.</w:t>
            </w:r>
          </w:p>
        </w:tc>
      </w:tr>
      <w:tr>
        <w:tc>
          <w:tcPr>
            <w:tcW w:type="dxa" w:w="3408"/>
            <w:vAlign w:val="top"/>
          </w:tcPr>
          <w:p>
            <w:r>
              <w:rPr>
                <w:sz w:val="15"/>
              </w:rPr>
              <w:t>INCOMPARABLE</w:t>
            </w:r>
          </w:p>
        </w:tc>
        <w:tc>
          <w:tcPr>
            <w:tcW w:type="dxa" w:w="3408"/>
            <w:vAlign w:val="top"/>
          </w:tcPr>
          <w:p>
            <w:r>
              <w:rPr>
                <w:sz w:val="15"/>
              </w:rPr>
              <w:t>Strength ordering is not defined or evidence is insufficient.</w:t>
            </w:r>
          </w:p>
        </w:tc>
        <w:tc>
          <w:tcPr>
            <w:tcW w:type="dxa" w:w="3408"/>
            <w:vAlign w:val="top"/>
          </w:tcPr>
          <w:p>
            <w:r>
              <w:rPr>
                <w:sz w:val="15"/>
              </w:rPr>
              <w:t>Topic or proposition changed.</w:t>
            </w:r>
          </w:p>
        </w:tc>
      </w:tr>
    </w:tbl>
    <w:p>
      <w:pPr>
        <w:pStyle w:val="Heading2"/>
      </w:pPr>
      <w:r>
        <w:t>6.4 Structural transformations</w:t>
      </w:r>
    </w:p>
    <w:p>
      <w:pPr>
        <w:pStyle w:val="ListBullet"/>
      </w:pPr>
      <w:r>
        <w:t>OMITTED</w:t>
      </w:r>
    </w:p>
    <w:p>
      <w:pPr>
        <w:pStyle w:val="ListBullet"/>
      </w:pPr>
      <w:r>
        <w:t>REORDERED</w:t>
      </w:r>
    </w:p>
    <w:p>
      <w:pPr>
        <w:pStyle w:val="ListBullet"/>
      </w:pPr>
      <w:r>
        <w:t>SELECTIVELY_QUOTED</w:t>
      </w:r>
    </w:p>
    <w:p>
      <w:pPr>
        <w:pStyle w:val="ListBullet"/>
      </w:pPr>
      <w:r>
        <w:t>CLAIMS_MERGED</w:t>
      </w:r>
    </w:p>
    <w:p>
      <w:pPr>
        <w:pStyle w:val="ListBullet"/>
      </w:pPr>
      <w:r>
        <w:t>CLAIM_SPLIT</w:t>
      </w:r>
    </w:p>
    <w:p>
      <w:pPr>
        <w:pStyle w:val="ListBullet"/>
      </w:pPr>
      <w:r>
        <w:t>PROMINENCE_CHANGED</w:t>
      </w:r>
    </w:p>
    <w:p>
      <w:pPr>
        <w:pStyle w:val="ListBullet"/>
      </w:pPr>
      <w:r>
        <w:t>SOURCE_ATTRIBUTION_OMITTED</w:t>
      </w:r>
    </w:p>
    <w:p>
      <w:r>
        <w:t>The first annotation round should not use every label. Begin with quote integrity, negation, qualification, attribution, correction, temporality, and strength direction. Add structural labels after pilot agreement is acceptable.</w:t>
      </w:r>
    </w:p>
    <w:p>
      <w:pPr>
        <w:pStyle w:val="Heading1"/>
      </w:pPr>
      <w:r>
        <w:t>7. Provenance graph specification</w:t>
      </w:r>
    </w:p>
    <w:p>
      <w:pPr>
        <w:pStyle w:val="Heading2"/>
      </w:pPr>
      <w:r>
        <w:t>7.1 Node types</w:t>
      </w:r>
    </w:p>
    <w:p>
      <w:pPr>
        <w:pStyle w:val="ListBullet"/>
      </w:pPr>
      <w:r>
        <w:t>SOURCE_DOCUMENT</w:t>
      </w:r>
    </w:p>
    <w:p>
      <w:pPr>
        <w:pStyle w:val="ListBullet"/>
      </w:pPr>
      <w:r>
        <w:t>SOURCE_CLAIM</w:t>
      </w:r>
    </w:p>
    <w:p>
      <w:pPr>
        <w:pStyle w:val="ListBullet"/>
      </w:pPr>
      <w:r>
        <w:t>SOURCE_QUOTE</w:t>
      </w:r>
    </w:p>
    <w:p>
      <w:pPr>
        <w:pStyle w:val="ListBullet"/>
      </w:pPr>
      <w:r>
        <w:t>SOURCE_QUALIFICATION</w:t>
      </w:r>
    </w:p>
    <w:p>
      <w:pPr>
        <w:pStyle w:val="ListBullet"/>
      </w:pPr>
      <w:r>
        <w:t>SOURCE_EVIDENCE</w:t>
      </w:r>
    </w:p>
    <w:p>
      <w:pPr>
        <w:pStyle w:val="ListBullet"/>
      </w:pPr>
      <w:r>
        <w:t>ARTICLE</w:t>
      </w:r>
    </w:p>
    <w:p>
      <w:pPr>
        <w:pStyle w:val="ListBullet"/>
      </w:pPr>
      <w:r>
        <w:t>ARTICLE_CLAIM</w:t>
      </w:r>
    </w:p>
    <w:p>
      <w:pPr>
        <w:pStyle w:val="ListBullet"/>
      </w:pPr>
      <w:r>
        <w:t>ARTICLE_QUOTE</w:t>
      </w:r>
    </w:p>
    <w:p>
      <w:pPr>
        <w:pStyle w:val="ListBullet"/>
      </w:pPr>
      <w:r>
        <w:t>HEADLINE_CLAIM</w:t>
      </w:r>
    </w:p>
    <w:p>
      <w:pPr>
        <w:pStyle w:val="ListBullet"/>
      </w:pPr>
      <w:r>
        <w:t>CAPTION_CLAIM</w:t>
      </w:r>
    </w:p>
    <w:p>
      <w:pPr>
        <w:pStyle w:val="ListBullet"/>
      </w:pPr>
      <w:r>
        <w:t>ENTITY</w:t>
      </w:r>
    </w:p>
    <w:p>
      <w:pPr>
        <w:pStyle w:val="ListBullet"/>
      </w:pPr>
      <w:r>
        <w:t>SPEAKER</w:t>
      </w:r>
    </w:p>
    <w:p>
      <w:pPr>
        <w:pStyle w:val="ListBullet"/>
      </w:pPr>
      <w:r>
        <w:t>EVENT</w:t>
      </w:r>
    </w:p>
    <w:p>
      <w:pPr>
        <w:pStyle w:val="ListBullet"/>
      </w:pPr>
      <w:r>
        <w:t>TRANSFORMATION</w:t>
      </w:r>
    </w:p>
    <w:p>
      <w:pPr>
        <w:pStyle w:val="Heading2"/>
      </w:pPr>
      <w:r>
        <w:t>7.2 Edge types</w:t>
      </w:r>
    </w:p>
    <w:p>
      <w:pPr>
        <w:pStyle w:val="ListBullet"/>
      </w:pPr>
      <w:r>
        <w:t>CONTAINS</w:t>
      </w:r>
    </w:p>
    <w:p>
      <w:pPr>
        <w:pStyle w:val="ListBullet"/>
      </w:pPr>
      <w:r>
        <w:t>ATTRIBUTED_TO</w:t>
      </w:r>
    </w:p>
    <w:p>
      <w:pPr>
        <w:pStyle w:val="ListBullet"/>
      </w:pPr>
      <w:r>
        <w:t>REFERS_TO</w:t>
      </w:r>
    </w:p>
    <w:p>
      <w:pPr>
        <w:pStyle w:val="ListBullet"/>
      </w:pPr>
      <w:r>
        <w:t>SUPPORTS</w:t>
      </w:r>
    </w:p>
    <w:p>
      <w:pPr>
        <w:pStyle w:val="ListBullet"/>
      </w:pPr>
      <w:r>
        <w:t>PRESERVED_AS</w:t>
      </w:r>
    </w:p>
    <w:p>
      <w:pPr>
        <w:pStyle w:val="ListBullet"/>
      </w:pPr>
      <w:r>
        <w:t>PARAPHRASED_AS</w:t>
      </w:r>
    </w:p>
    <w:p>
      <w:pPr>
        <w:pStyle w:val="ListBullet"/>
      </w:pPr>
      <w:r>
        <w:t>OMITTED_FROM</w:t>
      </w:r>
    </w:p>
    <w:p>
      <w:pPr>
        <w:pStyle w:val="ListBullet"/>
      </w:pPr>
      <w:r>
        <w:t>STRENGTHENED_TO</w:t>
      </w:r>
    </w:p>
    <w:p>
      <w:pPr>
        <w:pStyle w:val="ListBullet"/>
      </w:pPr>
      <w:r>
        <w:t>WEAKENED_TO</w:t>
      </w:r>
    </w:p>
    <w:p>
      <w:pPr>
        <w:pStyle w:val="ListBullet"/>
      </w:pPr>
      <w:r>
        <w:t>QUALIFICATION_REMOVED_IN</w:t>
      </w:r>
    </w:p>
    <w:p>
      <w:pPr>
        <w:pStyle w:val="ListBullet"/>
      </w:pPr>
      <w:r>
        <w:t>TEMPORAL_CONTEXT_REMOVED_IN</w:t>
      </w:r>
    </w:p>
    <w:p>
      <w:pPr>
        <w:pStyle w:val="ListBullet"/>
      </w:pPr>
      <w:r>
        <w:t>CONTRADICTS</w:t>
      </w:r>
    </w:p>
    <w:p>
      <w:pPr>
        <w:pStyle w:val="ListBullet"/>
      </w:pPr>
      <w:r>
        <w:t>UNSUPPORTED_BY</w:t>
      </w:r>
    </w:p>
    <w:p>
      <w:pPr>
        <w:pStyle w:val="ListBullet"/>
      </w:pPr>
      <w:r>
        <w:t>SPLIT_INTO</w:t>
      </w:r>
    </w:p>
    <w:p>
      <w:pPr>
        <w:pStyle w:val="ListBullet"/>
      </w:pPr>
      <w:r>
        <w:t>MERGED_INTO</w:t>
      </w:r>
    </w:p>
    <w:p>
      <w:pPr>
        <w:pStyle w:val="ListBullet"/>
      </w:pPr>
      <w:r>
        <w:t>PRECEDES</w:t>
      </w:r>
    </w:p>
    <w:p>
      <w:pPr>
        <w:pStyle w:val="Heading2"/>
      </w:pPr>
      <w:r>
        <w:t>7.3 Edge record</w:t>
      </w:r>
    </w:p>
    <w:p>
      <w:pPr>
        <w:spacing w:before="80" w:after="120"/>
        <w:ind w:left="259" w:right="259"/>
        <w:shd w:fill="EEF2F5"/>
      </w:pPr>
      <w:r>
        <w:rPr>
          <w:rFonts w:ascii="Consolas" w:hAnsi="Consolas"/>
          <w:color w:val="17202A"/>
          <w:sz w:val="15"/>
        </w:rPr>
        <w:t>{</w:t>
        <w:br/>
        <w:t xml:space="preserve">  "edge_id": "TR-0024",</w:t>
        <w:br/>
        <w:t xml:space="preserve">  "source_node_ids": ["SC-14"],</w:t>
        <w:br/>
        <w:t xml:space="preserve">  "published_node_ids": ["AC-07"],</w:t>
        <w:br/>
        <w:t xml:space="preserve">  "edge_type": "STRENGTHENED_TO",</w:t>
        <w:br/>
        <w:t xml:space="preserve">  "dimensions": ["modality", "quantification"],</w:t>
        <w:br/>
        <w:t xml:space="preserve">  "alignment_confidence": 0.91,</w:t>
        <w:br/>
        <w:t xml:space="preserve">  "transformation_confidence": 0.84,</w:t>
        <w:br/>
        <w:t xml:space="preserve">  "evidence_coverage": 0.88,</w:t>
        <w:br/>
        <w:t xml:space="preserve">  "source_span": "...",</w:t>
        <w:br/>
        <w:t xml:space="preserve">  "published_span": "...",</w:t>
        <w:br/>
        <w:t xml:space="preserve">  "abstained": false,</w:t>
        <w:br/>
        <w:t xml:space="preserve">  "human_review_required": true</w:t>
        <w:br/>
        <w:t>}</w:t>
      </w:r>
    </w:p>
    <w:p>
      <w:pPr>
        <w:pStyle w:val="Heading2"/>
      </w:pPr>
      <w:r>
        <w:t>7.4 Graph constraints</w:t>
      </w:r>
    </w:p>
    <w:p>
      <w:pPr>
        <w:pStyle w:val="ListBullet"/>
      </w:pPr>
      <w:r>
        <w:t>Every transformation edge must connect at least one source node and one published node.</w:t>
      </w:r>
    </w:p>
    <w:p>
      <w:pPr>
        <w:pStyle w:val="ListBullet"/>
      </w:pPr>
      <w:r>
        <w:t>Every non-abstained edge must include a source span and published span.</w:t>
      </w:r>
    </w:p>
    <w:p>
      <w:pPr>
        <w:pStyle w:val="ListBullet"/>
      </w:pPr>
      <w:r>
        <w:t>Unsupported published claims can have an UNSUPPORTED_BY edge only after retrieval and verification fail.</w:t>
      </w:r>
    </w:p>
    <w:p>
      <w:pPr>
        <w:pStyle w:val="ListBullet"/>
      </w:pPr>
      <w:r>
        <w:t>A PRESERVED_AS edge cannot coexist with a material negation-removal edge for the same pair.</w:t>
      </w:r>
    </w:p>
    <w:p>
      <w:pPr>
        <w:pStyle w:val="ListBullet"/>
      </w:pPr>
      <w:r>
        <w:t>Strength direction can be MIXED; do not force a scalar sign when dimensions conflict.</w:t>
      </w:r>
    </w:p>
    <w:p>
      <w:pPr>
        <w:pStyle w:val="ListBullet"/>
      </w:pPr>
      <w:r>
        <w:t>No graph edge may infer intention or ideology.</w:t>
      </w:r>
    </w:p>
    <w:p>
      <w:pPr>
        <w:pStyle w:val="Heading1"/>
      </w:pPr>
      <w:r>
        <w:t>8. Dataset strategy</w:t>
      </w:r>
    </w:p>
    <w:p>
      <w:pPr>
        <w:pStyle w:val="Heading2"/>
      </w:pPr>
      <w:r>
        <w:t>8.1 Layer A: controlled synthetic transformations</w:t>
      </w:r>
    </w:p>
    <w:p>
      <w:r>
        <w:t>Begin with verified source passages and apply one or more deterministic transformations. Keep operation logs so the exact source, transformed output, operation order, and expected labels are known.</w:t>
      </w:r>
    </w:p>
    <w:tbl>
      <w:tblPr>
        <w:tblStyle w:val="TableGrid"/>
        <w:tblW w:type="auto" w:w="0"/>
        <w:jc w:val="center"/>
        <w:tblLook w:firstColumn="1" w:firstRow="1" w:lastColumn="0" w:lastRow="0" w:noHBand="0" w:noVBand="1" w:val="04A0"/>
      </w:tblPr>
      <w:tblGrid>
        <w:gridCol w:w="3408"/>
        <w:gridCol w:w="3408"/>
        <w:gridCol w:w="3408"/>
      </w:tblGrid>
      <w:tr>
        <w:trPr>
          <w:tblHeader/>
        </w:trPr>
        <w:tc>
          <w:tcPr>
            <w:tcW w:type="dxa" w:w="3408"/>
            <w:shd w:fill="17324D"/>
          </w:tcPr>
          <w:p>
            <w:r>
              <w:rPr>
                <w:b/>
                <w:color w:val="FFFFFF"/>
                <w:sz w:val="16"/>
              </w:rPr>
              <w:t>Operation family</w:t>
            </w:r>
          </w:p>
        </w:tc>
        <w:tc>
          <w:tcPr>
            <w:tcW w:type="dxa" w:w="3408"/>
            <w:shd w:fill="17324D"/>
          </w:tcPr>
          <w:p>
            <w:r>
              <w:rPr>
                <w:b/>
                <w:color w:val="FFFFFF"/>
                <w:sz w:val="16"/>
              </w:rPr>
              <w:t>Transformations</w:t>
            </w:r>
          </w:p>
        </w:tc>
        <w:tc>
          <w:tcPr>
            <w:tcW w:type="dxa" w:w="3408"/>
            <w:shd w:fill="17324D"/>
          </w:tcPr>
          <w:p>
            <w:r>
              <w:rPr>
                <w:b/>
                <w:color w:val="FFFFFF"/>
                <w:sz w:val="16"/>
              </w:rPr>
              <w:t>Purpose</w:t>
            </w:r>
          </w:p>
        </w:tc>
      </w:tr>
      <w:tr>
        <w:tc>
          <w:tcPr>
            <w:tcW w:type="dxa" w:w="3408"/>
            <w:vAlign w:val="top"/>
          </w:tcPr>
          <w:p>
            <w:r>
              <w:rPr>
                <w:sz w:val="15"/>
              </w:rPr>
              <w:t>Polarity</w:t>
            </w:r>
          </w:p>
        </w:tc>
        <w:tc>
          <w:tcPr>
            <w:tcW w:type="dxa" w:w="3408"/>
            <w:vAlign w:val="top"/>
          </w:tcPr>
          <w:p>
            <w:r>
              <w:rPr>
                <w:sz w:val="15"/>
              </w:rPr>
              <w:t>Remove or insert negation.</w:t>
            </w:r>
          </w:p>
        </w:tc>
        <w:tc>
          <w:tcPr>
            <w:tcW w:type="dxa" w:w="3408"/>
            <w:vAlign w:val="top"/>
          </w:tcPr>
          <w:p>
            <w:r>
              <w:rPr>
                <w:sz w:val="15"/>
              </w:rPr>
              <w:t>Exact ground truth for polarity loss.</w:t>
            </w:r>
          </w:p>
        </w:tc>
      </w:tr>
      <w:tr>
        <w:tc>
          <w:tcPr>
            <w:tcW w:type="dxa" w:w="3408"/>
            <w:vAlign w:val="top"/>
            <w:shd w:fill="F3F6F9"/>
          </w:tcPr>
          <w:p>
            <w:r>
              <w:rPr>
                <w:sz w:val="15"/>
              </w:rPr>
              <w:t>Modality</w:t>
            </w:r>
          </w:p>
        </w:tc>
        <w:tc>
          <w:tcPr>
            <w:tcW w:type="dxa" w:w="3408"/>
            <w:vAlign w:val="top"/>
            <w:shd w:fill="F3F6F9"/>
          </w:tcPr>
          <w:p>
            <w:r>
              <w:rPr>
                <w:sz w:val="15"/>
              </w:rPr>
              <w:t>may→will; could→will; must→may.</w:t>
            </w:r>
          </w:p>
        </w:tc>
        <w:tc>
          <w:tcPr>
            <w:tcW w:type="dxa" w:w="3408"/>
            <w:vAlign w:val="top"/>
            <w:shd w:fill="F3F6F9"/>
          </w:tcPr>
          <w:p>
            <w:r>
              <w:rPr>
                <w:sz w:val="15"/>
              </w:rPr>
              <w:t>Signed modality change.</w:t>
            </w:r>
          </w:p>
        </w:tc>
      </w:tr>
      <w:tr>
        <w:tc>
          <w:tcPr>
            <w:tcW w:type="dxa" w:w="3408"/>
            <w:vAlign w:val="top"/>
          </w:tcPr>
          <w:p>
            <w:r>
              <w:rPr>
                <w:sz w:val="15"/>
              </w:rPr>
              <w:t>Quantification</w:t>
            </w:r>
          </w:p>
        </w:tc>
        <w:tc>
          <w:tcPr>
            <w:tcW w:type="dxa" w:w="3408"/>
            <w:vAlign w:val="top"/>
          </w:tcPr>
          <w:p>
            <w:r>
              <w:rPr>
                <w:sz w:val="15"/>
              </w:rPr>
              <w:t>some→all; many→most; all→some.</w:t>
            </w:r>
          </w:p>
        </w:tc>
        <w:tc>
          <w:tcPr>
            <w:tcW w:type="dxa" w:w="3408"/>
            <w:vAlign w:val="top"/>
          </w:tcPr>
          <w:p>
            <w:r>
              <w:rPr>
                <w:sz w:val="15"/>
              </w:rPr>
              <w:t>Scope and strength.</w:t>
            </w:r>
          </w:p>
        </w:tc>
      </w:tr>
      <w:tr>
        <w:tc>
          <w:tcPr>
            <w:tcW w:type="dxa" w:w="3408"/>
            <w:vAlign w:val="top"/>
            <w:shd w:fill="F3F6F9"/>
          </w:tcPr>
          <w:p>
            <w:r>
              <w:rPr>
                <w:sz w:val="15"/>
              </w:rPr>
              <w:t>Epistemic status</w:t>
            </w:r>
          </w:p>
        </w:tc>
        <w:tc>
          <w:tcPr>
            <w:tcW w:type="dxa" w:w="3408"/>
            <w:vAlign w:val="top"/>
            <w:shd w:fill="F3F6F9"/>
          </w:tcPr>
          <w:p>
            <w:r>
              <w:rPr>
                <w:sz w:val="15"/>
              </w:rPr>
              <w:t>preliminary→confirmed; suggests→shows.</w:t>
            </w:r>
          </w:p>
        </w:tc>
        <w:tc>
          <w:tcPr>
            <w:tcW w:type="dxa" w:w="3408"/>
            <w:vAlign w:val="top"/>
            <w:shd w:fill="F3F6F9"/>
          </w:tcPr>
          <w:p>
            <w:r>
              <w:rPr>
                <w:sz w:val="15"/>
              </w:rPr>
              <w:t>Certainty change.</w:t>
            </w:r>
          </w:p>
        </w:tc>
      </w:tr>
      <w:tr>
        <w:tc>
          <w:tcPr>
            <w:tcW w:type="dxa" w:w="3408"/>
            <w:vAlign w:val="top"/>
          </w:tcPr>
          <w:p>
            <w:r>
              <w:rPr>
                <w:sz w:val="15"/>
              </w:rPr>
              <w:t>Causality</w:t>
            </w:r>
          </w:p>
        </w:tc>
        <w:tc>
          <w:tcPr>
            <w:tcW w:type="dxa" w:w="3408"/>
            <w:vAlign w:val="top"/>
          </w:tcPr>
          <w:p>
            <w:r>
              <w:rPr>
                <w:sz w:val="15"/>
              </w:rPr>
              <w:t>associated with→causes; contributes to→causes.</w:t>
            </w:r>
          </w:p>
        </w:tc>
        <w:tc>
          <w:tcPr>
            <w:tcW w:type="dxa" w:w="3408"/>
            <w:vAlign w:val="top"/>
          </w:tcPr>
          <w:p>
            <w:r>
              <w:rPr>
                <w:sz w:val="15"/>
              </w:rPr>
              <w:t>Causal overstatement.</w:t>
            </w:r>
          </w:p>
        </w:tc>
      </w:tr>
      <w:tr>
        <w:tc>
          <w:tcPr>
            <w:tcW w:type="dxa" w:w="3408"/>
            <w:vAlign w:val="top"/>
            <w:shd w:fill="F3F6F9"/>
          </w:tcPr>
          <w:p>
            <w:r>
              <w:rPr>
                <w:sz w:val="15"/>
              </w:rPr>
              <w:t>Attribution</w:t>
            </w:r>
          </w:p>
        </w:tc>
        <w:tc>
          <w:tcPr>
            <w:tcW w:type="dxa" w:w="3408"/>
            <w:vAlign w:val="top"/>
            <w:shd w:fill="F3F6F9"/>
          </w:tcPr>
          <w:p>
            <w:r>
              <w:rPr>
                <w:sz w:val="15"/>
              </w:rPr>
              <w:t>remove source phrase; replace speaker; change report-to-fact.</w:t>
            </w:r>
          </w:p>
        </w:tc>
        <w:tc>
          <w:tcPr>
            <w:tcW w:type="dxa" w:w="3408"/>
            <w:vAlign w:val="top"/>
            <w:shd w:fill="F3F6F9"/>
          </w:tcPr>
          <w:p>
            <w:r>
              <w:rPr>
                <w:sz w:val="15"/>
              </w:rPr>
              <w:t>Attribution integrity.</w:t>
            </w:r>
          </w:p>
        </w:tc>
      </w:tr>
      <w:tr>
        <w:tc>
          <w:tcPr>
            <w:tcW w:type="dxa" w:w="3408"/>
            <w:vAlign w:val="top"/>
          </w:tcPr>
          <w:p>
            <w:r>
              <w:rPr>
                <w:sz w:val="15"/>
              </w:rPr>
              <w:t>Context</w:t>
            </w:r>
          </w:p>
        </w:tc>
        <w:tc>
          <w:tcPr>
            <w:tcW w:type="dxa" w:w="3408"/>
            <w:vAlign w:val="top"/>
          </w:tcPr>
          <w:p>
            <w:r>
              <w:rPr>
                <w:sz w:val="15"/>
              </w:rPr>
              <w:t>delete condition, concession, correction, or temporal limit.</w:t>
            </w:r>
          </w:p>
        </w:tc>
        <w:tc>
          <w:tcPr>
            <w:tcW w:type="dxa" w:w="3408"/>
            <w:vAlign w:val="top"/>
          </w:tcPr>
          <w:p>
            <w:r>
              <w:rPr>
                <w:sz w:val="15"/>
              </w:rPr>
              <w:t>Context-loss labels.</w:t>
            </w:r>
          </w:p>
        </w:tc>
      </w:tr>
      <w:tr>
        <w:tc>
          <w:tcPr>
            <w:tcW w:type="dxa" w:w="3408"/>
            <w:vAlign w:val="top"/>
            <w:shd w:fill="F3F6F9"/>
          </w:tcPr>
          <w:p>
            <w:r>
              <w:rPr>
                <w:sz w:val="15"/>
              </w:rPr>
              <w:t>Structure</w:t>
            </w:r>
          </w:p>
        </w:tc>
        <w:tc>
          <w:tcPr>
            <w:tcW w:type="dxa" w:w="3408"/>
            <w:vAlign w:val="top"/>
            <w:shd w:fill="F3F6F9"/>
          </w:tcPr>
          <w:p>
            <w:r>
              <w:rPr>
                <w:sz w:val="15"/>
              </w:rPr>
              <w:t>merge, split, reorder, or selectively quote.</w:t>
            </w:r>
          </w:p>
        </w:tc>
        <w:tc>
          <w:tcPr>
            <w:tcW w:type="dxa" w:w="3408"/>
            <w:vAlign w:val="top"/>
            <w:shd w:fill="F3F6F9"/>
          </w:tcPr>
          <w:p>
            <w:r>
              <w:rPr>
                <w:sz w:val="15"/>
              </w:rPr>
              <w:t>Alignment and graph structure.</w:t>
            </w:r>
          </w:p>
        </w:tc>
      </w:tr>
    </w:tbl>
    <w:p>
      <w:r>
        <w:t>Synthetic templates must span source types and writing styles. Synthetic data is for controlled learning and probing. It must remain separate from the final real-media test set.</w:t>
      </w:r>
    </w:p>
    <w:p>
      <w:pPr>
        <w:pStyle w:val="Heading2"/>
      </w:pPr>
      <w:r>
        <w:t>8.2 Layer B: existing datasets</w:t>
      </w:r>
    </w:p>
    <w:tbl>
      <w:tblPr>
        <w:tblStyle w:val="TableGrid"/>
        <w:tblW w:type="auto" w:w="0"/>
        <w:jc w:val="center"/>
        <w:tblLook w:firstColumn="1" w:firstRow="1" w:lastColumn="0" w:lastRow="0" w:noHBand="0" w:noVBand="1" w:val="04A0"/>
      </w:tblPr>
      <w:tblGrid>
        <w:gridCol w:w="2556"/>
        <w:gridCol w:w="2556"/>
        <w:gridCol w:w="2556"/>
        <w:gridCol w:w="2556"/>
      </w:tblGrid>
      <w:tr>
        <w:trPr>
          <w:tblHeader/>
        </w:trPr>
        <w:tc>
          <w:tcPr>
            <w:tcW w:type="dxa" w:w="2556"/>
            <w:shd w:fill="17324D"/>
          </w:tcPr>
          <w:p>
            <w:r>
              <w:rPr>
                <w:b/>
                <w:color w:val="FFFFFF"/>
                <w:sz w:val="16"/>
              </w:rPr>
              <w:t>Dataset</w:t>
            </w:r>
          </w:p>
        </w:tc>
        <w:tc>
          <w:tcPr>
            <w:tcW w:type="dxa" w:w="2556"/>
            <w:shd w:fill="17324D"/>
          </w:tcPr>
          <w:p>
            <w:r>
              <w:rPr>
                <w:b/>
                <w:color w:val="FFFFFF"/>
                <w:sz w:val="16"/>
              </w:rPr>
              <w:t>Verified content</w:t>
            </w:r>
          </w:p>
        </w:tc>
        <w:tc>
          <w:tcPr>
            <w:tcW w:type="dxa" w:w="2556"/>
            <w:shd w:fill="17324D"/>
          </w:tcPr>
          <w:p>
            <w:r>
              <w:rPr>
                <w:b/>
                <w:color w:val="FFFFFF"/>
                <w:sz w:val="16"/>
              </w:rPr>
              <w:t>Permitted research role</w:t>
            </w:r>
          </w:p>
        </w:tc>
        <w:tc>
          <w:tcPr>
            <w:tcW w:type="dxa" w:w="2556"/>
            <w:shd w:fill="17324D"/>
          </w:tcPr>
          <w:p>
            <w:r>
              <w:rPr>
                <w:b/>
                <w:color w:val="FFFFFF"/>
                <w:sz w:val="16"/>
              </w:rPr>
              <w:t>Limitation</w:t>
            </w:r>
          </w:p>
        </w:tc>
      </w:tr>
      <w:tr>
        <w:tc>
          <w:tcPr>
            <w:tcW w:type="dxa" w:w="2556"/>
            <w:vAlign w:val="top"/>
          </w:tcPr>
          <w:p>
            <w:r>
              <w:rPr>
                <w:sz w:val="15"/>
              </w:rPr>
              <w:t>MediaSpin</w:t>
            </w:r>
          </w:p>
        </w:tc>
        <w:tc>
          <w:tcPr>
            <w:tcW w:type="dxa" w:w="2556"/>
            <w:vAlign w:val="top"/>
          </w:tcPr>
          <w:p>
            <w:r>
              <w:rPr>
                <w:sz w:val="15"/>
              </w:rPr>
              <w:t>78,910 original-edited headline pairs; 13 bias categories.</w:t>
            </w:r>
          </w:p>
        </w:tc>
        <w:tc>
          <w:tcPr>
            <w:tcW w:type="dxa" w:w="2556"/>
            <w:vAlign w:val="top"/>
          </w:tcPr>
          <w:p>
            <w:r>
              <w:rPr>
                <w:sz w:val="15"/>
              </w:rPr>
              <w:t>Pretraining, ontology comparison, headline-edit external evaluation.</w:t>
            </w:r>
          </w:p>
        </w:tc>
        <w:tc>
          <w:tcPr>
            <w:tcW w:type="dxa" w:w="2556"/>
            <w:vAlign w:val="top"/>
          </w:tcPr>
          <w:p>
            <w:r>
              <w:rPr>
                <w:sz w:val="15"/>
              </w:rPr>
              <w:t>Not authoritative source-to-article provenance.</w:t>
            </w:r>
          </w:p>
        </w:tc>
      </w:tr>
      <w:tr>
        <w:tc>
          <w:tcPr>
            <w:tcW w:type="dxa" w:w="2556"/>
            <w:vAlign w:val="top"/>
            <w:shd w:fill="F3F6F9"/>
          </w:tcPr>
          <w:p>
            <w:r>
              <w:rPr>
                <w:sz w:val="15"/>
              </w:rPr>
              <w:t>FIFO</w:t>
            </w:r>
          </w:p>
        </w:tc>
        <w:tc>
          <w:tcPr>
            <w:tcW w:type="dxa" w:w="2556"/>
            <w:vAlign w:val="top"/>
            <w:shd w:fill="F3F6F9"/>
          </w:tcPr>
          <w:p>
            <w:r>
              <w:rPr>
                <w:sz w:val="15"/>
              </w:rPr>
              <w:t>15,499 jury-annotated examples and 320 expert-labelled instances; κ=0.61 reported.</w:t>
            </w:r>
          </w:p>
        </w:tc>
        <w:tc>
          <w:tcPr>
            <w:tcW w:type="dxa" w:w="2556"/>
            <w:vAlign w:val="top"/>
            <w:shd w:fill="F3F6F9"/>
          </w:tcPr>
          <w:p>
            <w:r>
              <w:rPr>
                <w:sz w:val="15"/>
              </w:rPr>
              <w:t>Summary-framing comparison and external framing evaluation.</w:t>
            </w:r>
          </w:p>
        </w:tc>
        <w:tc>
          <w:tcPr>
            <w:tcW w:type="dxa" w:w="2556"/>
            <w:vAlign w:val="top"/>
            <w:shd w:fill="F3F6F9"/>
          </w:tcPr>
          <w:p>
            <w:r>
              <w:rPr>
                <w:sz w:val="15"/>
              </w:rPr>
              <w:t>Not claim-level source-span alignment.</w:t>
            </w:r>
          </w:p>
        </w:tc>
      </w:tr>
      <w:tr>
        <w:tc>
          <w:tcPr>
            <w:tcW w:type="dxa" w:w="2556"/>
            <w:vAlign w:val="top"/>
          </w:tcPr>
          <w:p>
            <w:r>
              <w:rPr>
                <w:sz w:val="15"/>
              </w:rPr>
              <w:t>NewsMediaBias-Plus</w:t>
            </w:r>
          </w:p>
        </w:tc>
        <w:tc>
          <w:tcPr>
            <w:tcW w:type="dxa" w:w="2556"/>
            <w:vAlign w:val="top"/>
          </w:tcPr>
          <w:p>
            <w:r>
              <w:rPr>
                <w:sz w:val="15"/>
              </w:rPr>
              <w:t>40.9k+ multimodal samples across outlets.</w:t>
            </w:r>
          </w:p>
        </w:tc>
        <w:tc>
          <w:tcPr>
            <w:tcW w:type="dxa" w:w="2556"/>
            <w:vAlign w:val="top"/>
          </w:tcPr>
          <w:p>
            <w:r>
              <w:rPr>
                <w:sz w:val="15"/>
              </w:rPr>
              <w:t>External bias/multimodal comparison.</w:t>
            </w:r>
          </w:p>
        </w:tc>
        <w:tc>
          <w:tcPr>
            <w:tcW w:type="dxa" w:w="2556"/>
            <w:vAlign w:val="top"/>
          </w:tcPr>
          <w:p>
            <w:r>
              <w:rPr>
                <w:sz w:val="15"/>
              </w:rPr>
              <w:t>No primary source-span provenance.</w:t>
            </w:r>
          </w:p>
        </w:tc>
      </w:tr>
      <w:tr>
        <w:tc>
          <w:tcPr>
            <w:tcW w:type="dxa" w:w="2556"/>
            <w:vAlign w:val="top"/>
            <w:shd w:fill="F3F6F9"/>
          </w:tcPr>
          <w:p>
            <w:r>
              <w:rPr>
                <w:sz w:val="15"/>
              </w:rPr>
              <w:t>DirectQuote</w:t>
            </w:r>
          </w:p>
        </w:tc>
        <w:tc>
          <w:tcPr>
            <w:tcW w:type="dxa" w:w="2556"/>
            <w:vAlign w:val="top"/>
            <w:shd w:fill="F3F6F9"/>
          </w:tcPr>
          <w:p>
            <w:r>
              <w:rPr>
                <w:sz w:val="15"/>
              </w:rPr>
              <w:t>19,760 paragraphs and 10,279 direct quotations.</w:t>
            </w:r>
          </w:p>
        </w:tc>
        <w:tc>
          <w:tcPr>
            <w:tcW w:type="dxa" w:w="2556"/>
            <w:vAlign w:val="top"/>
            <w:shd w:fill="F3F6F9"/>
          </w:tcPr>
          <w:p>
            <w:r>
              <w:rPr>
                <w:sz w:val="15"/>
              </w:rPr>
              <w:t>Quote extraction and attribution baseline.</w:t>
            </w:r>
          </w:p>
        </w:tc>
        <w:tc>
          <w:tcPr>
            <w:tcW w:type="dxa" w:w="2556"/>
            <w:vAlign w:val="top"/>
            <w:shd w:fill="F3F6F9"/>
          </w:tcPr>
          <w:p>
            <w:r>
              <w:rPr>
                <w:sz w:val="15"/>
              </w:rPr>
              <w:t>No original transcript verification.</w:t>
            </w:r>
          </w:p>
        </w:tc>
      </w:tr>
      <w:tr>
        <w:tc>
          <w:tcPr>
            <w:tcW w:type="dxa" w:w="2556"/>
            <w:vAlign w:val="top"/>
          </w:tcPr>
          <w:p>
            <w:r>
              <w:rPr>
                <w:sz w:val="15"/>
              </w:rPr>
              <w:t>NewsQuote</w:t>
            </w:r>
          </w:p>
        </w:tc>
        <w:tc>
          <w:tcPr>
            <w:tcW w:type="dxa" w:w="2556"/>
            <w:vAlign w:val="top"/>
          </w:tcPr>
          <w:p>
            <w:r>
              <w:rPr>
                <w:sz w:val="15"/>
              </w:rPr>
              <w:t>24,031 quote-speaker pairs.</w:t>
            </w:r>
          </w:p>
        </w:tc>
        <w:tc>
          <w:tcPr>
            <w:tcW w:type="dxa" w:w="2556"/>
            <w:vAlign w:val="top"/>
          </w:tcPr>
          <w:p>
            <w:r>
              <w:rPr>
                <w:sz w:val="15"/>
              </w:rPr>
              <w:t>Quote/speaker extraction and retrieval comparison.</w:t>
            </w:r>
          </w:p>
        </w:tc>
        <w:tc>
          <w:tcPr>
            <w:tcW w:type="dxa" w:w="2556"/>
            <w:vAlign w:val="top"/>
          </w:tcPr>
          <w:p>
            <w:r>
              <w:rPr>
                <w:sz w:val="15"/>
              </w:rPr>
              <w:t>Built for expert recommendation, not context fidelity.</w:t>
            </w:r>
          </w:p>
        </w:tc>
      </w:tr>
    </w:tbl>
    <w:p>
      <w:pPr>
        <w:pStyle w:val="Heading2"/>
      </w:pPr>
      <w:r>
        <w:t>8.3 Layer C: manually aligned source–publication corpus</w:t>
      </w:r>
    </w:p>
    <w:p>
      <w:pPr>
        <w:spacing w:before="80" w:after="120"/>
        <w:ind w:left="259" w:right="259"/>
        <w:shd w:fill="EEF2F5"/>
      </w:pPr>
      <w:r>
        <w:rPr>
          <w:rFonts w:ascii="Consolas" w:hAnsi="Consolas"/>
          <w:color w:val="17202A"/>
          <w:sz w:val="15"/>
        </w:rPr>
        <w:t>record_id</w:t>
        <w:br/>
        <w:t>event_id</w:t>
        <w:br/>
        <w:t>source_type</w:t>
        <w:br/>
        <w:t>source_document_id</w:t>
        <w:br/>
        <w:t>source_url_or_archive</w:t>
        <w:br/>
        <w:t>source_date</w:t>
        <w:br/>
        <w:t>source_span_text</w:t>
        <w:br/>
        <w:t>source_start / source_end</w:t>
        <w:br/>
        <w:t>source_sentence_ids</w:t>
        <w:br/>
        <w:t>publisher</w:t>
        <w:br/>
        <w:t>article_id</w:t>
        <w:br/>
        <w:t>article_url_or_archive</w:t>
        <w:br/>
        <w:t>article_date</w:t>
        <w:br/>
        <w:t>published_span_text</w:t>
        <w:br/>
        <w:t>headline</w:t>
        <w:br/>
        <w:t>quotation_text</w:t>
        <w:br/>
        <w:t>source_speaker</w:t>
        <w:br/>
        <w:t>published_speaker</w:t>
        <w:br/>
        <w:t>alignment_relation</w:t>
        <w:br/>
        <w:t>context_transformations[]</w:t>
        <w:br/>
        <w:t>strength_dimensions[]</w:t>
        <w:br/>
        <w:t>strength_direction</w:t>
        <w:br/>
        <w:t>source_evidence_sufficient</w:t>
        <w:br/>
        <w:t>annotator_confidence</w:t>
        <w:br/>
        <w:t>annotator_ids[]</w:t>
        <w:br/>
        <w:t>adjudication_status</w:t>
        <w:br/>
        <w:t>notes</w:t>
      </w:r>
    </w:p>
    <w:p>
      <w:pPr>
        <w:pStyle w:val="Heading2"/>
      </w:pPr>
      <w:r>
        <w:t>8.4 Preferred source classes</w:t>
      </w:r>
    </w:p>
    <w:p>
      <w:pPr>
        <w:pStyle w:val="ListBullet"/>
      </w:pPr>
      <w:r>
        <w:t>Court judgments and official court summaries</w:t>
      </w:r>
    </w:p>
    <w:p>
      <w:pPr>
        <w:pStyle w:val="ListBullet"/>
      </w:pPr>
      <w:r>
        <w:t>Government press releases and official reports</w:t>
      </w:r>
    </w:p>
    <w:p>
      <w:pPr>
        <w:pStyle w:val="ListBullet"/>
      </w:pPr>
      <w:r>
        <w:t>Parliamentary or legislative transcripts</w:t>
      </w:r>
    </w:p>
    <w:p>
      <w:pPr>
        <w:pStyle w:val="ListBullet"/>
      </w:pPr>
      <w:r>
        <w:t>Regulatory filings</w:t>
      </w:r>
    </w:p>
    <w:p>
      <w:pPr>
        <w:pStyle w:val="ListBullet"/>
      </w:pPr>
      <w:r>
        <w:t>Company stock-exchange or earnings filings</w:t>
      </w:r>
    </w:p>
    <w:p>
      <w:pPr>
        <w:pStyle w:val="ListBullet"/>
      </w:pPr>
      <w:r>
        <w:t>Public speeches and press-conference transcripts</w:t>
      </w:r>
    </w:p>
    <w:p>
      <w:pPr>
        <w:pStyle w:val="ListBullet"/>
      </w:pPr>
      <w:r>
        <w:t>Peer-reviewed paper abstracts and institutional research releases</w:t>
      </w:r>
    </w:p>
    <w:p>
      <w:pPr>
        <w:pStyle w:val="Heading2"/>
      </w:pPr>
      <w:r>
        <w:t>8.5 Exclusions for the first corpus</w:t>
      </w:r>
    </w:p>
    <w:p>
      <w:pPr>
        <w:pStyle w:val="ListBullet"/>
      </w:pPr>
      <w:r>
        <w:t>Anonymous-source reports</w:t>
      </w:r>
    </w:p>
    <w:p>
      <w:pPr>
        <w:pStyle w:val="ListBullet"/>
      </w:pPr>
      <w:r>
        <w:t>Opinion columns presented as analysis</w:t>
      </w:r>
    </w:p>
    <w:p>
      <w:pPr>
        <w:pStyle w:val="ListBullet"/>
      </w:pPr>
      <w:r>
        <w:t>Articles whose source records cannot be identified</w:t>
      </w:r>
    </w:p>
    <w:p>
      <w:pPr>
        <w:pStyle w:val="ListBullet"/>
      </w:pPr>
      <w:r>
        <w:t>Live-event reports assembled from multiple undocumented observations</w:t>
      </w:r>
    </w:p>
    <w:p>
      <w:pPr>
        <w:pStyle w:val="ListBullet"/>
      </w:pPr>
      <w:r>
        <w:t>Publisher-level ideology labels as ground truth</w:t>
      </w:r>
    </w:p>
    <w:p>
      <w:pPr>
        <w:pStyle w:val="ListBullet"/>
      </w:pPr>
      <w:r>
        <w:t>Content that cannot be legally stored or redistributed</w:t>
      </w:r>
    </w:p>
    <w:p>
      <w:pPr>
        <w:pStyle w:val="Heading1"/>
      </w:pPr>
      <w:r>
        <w:t>9. Corpus construction and annotation protocol</w:t>
      </w:r>
    </w:p>
    <w:p>
      <w:pPr>
        <w:pStyle w:val="Heading2"/>
      </w:pPr>
      <w:r>
        <w:t>9.1 Sampling unit</w:t>
      </w:r>
    </w:p>
    <w:p>
      <w:r>
        <w:t>The primary sampling unit is an event-source pair. All articles derived from the same event and source belong to one event group. Sampling must avoid over-representing one publisher, source type, topic, or transformation.</w:t>
      </w:r>
    </w:p>
    <w:p>
      <w:pPr>
        <w:pStyle w:val="Heading2"/>
      </w:pPr>
      <w:r>
        <w:t>9.2 Annotation stages</w:t>
      </w:r>
    </w:p>
    <w:p>
      <w:pPr>
        <w:pStyle w:val="ListNumber"/>
      </w:pPr>
      <w:r>
        <w:t>Read the source record and publication context.</w:t>
      </w:r>
    </w:p>
    <w:p>
      <w:pPr>
        <w:pStyle w:val="ListNumber"/>
      </w:pPr>
      <w:r>
        <w:t>Identify the published claim or quotation.</w:t>
      </w:r>
    </w:p>
    <w:p>
      <w:pPr>
        <w:pStyle w:val="ListNumber"/>
      </w:pPr>
      <w:r>
        <w:t>Retrieve or manually locate the best supporting source span.</w:t>
      </w:r>
    </w:p>
    <w:p>
      <w:pPr>
        <w:pStyle w:val="ListNumber"/>
      </w:pPr>
      <w:r>
        <w:t>Mark source-span boundaries and evidence sufficiency.</w:t>
      </w:r>
    </w:p>
    <w:p>
      <w:pPr>
        <w:pStyle w:val="ListNumber"/>
      </w:pPr>
      <w:r>
        <w:t>Assign the alignment relation.</w:t>
      </w:r>
    </w:p>
    <w:p>
      <w:pPr>
        <w:pStyle w:val="ListNumber"/>
      </w:pPr>
      <w:r>
        <w:t>Mark source discourse operators: negation, modality, quantifier, condition, uncertainty, correction, concession, attribution, causality, temporality.</w:t>
      </w:r>
    </w:p>
    <w:p>
      <w:pPr>
        <w:pStyle w:val="ListNumber"/>
      </w:pPr>
      <w:r>
        <w:t>Mark which operators remain in the publication.</w:t>
      </w:r>
    </w:p>
    <w:p>
      <w:pPr>
        <w:pStyle w:val="ListNumber"/>
      </w:pPr>
      <w:r>
        <w:t>Assign strength dimensions and direction.</w:t>
      </w:r>
    </w:p>
    <w:p>
      <w:pPr>
        <w:pStyle w:val="ListNumber"/>
      </w:pPr>
      <w:r>
        <w:t>Assign transformation labels.</w:t>
      </w:r>
    </w:p>
    <w:p>
      <w:pPr>
        <w:pStyle w:val="ListNumber"/>
      </w:pPr>
      <w:r>
        <w:t>Record annotator confidence and notes.</w:t>
      </w:r>
    </w:p>
    <w:p>
      <w:pPr>
        <w:pStyle w:val="ListNumber"/>
      </w:pPr>
      <w:r>
        <w:t>Send disagreements and low-confidence cases to adjudication.</w:t>
      </w:r>
    </w:p>
    <w:p>
      <w:pPr>
        <w:pStyle w:val="Heading2"/>
      </w:pPr>
      <w:r>
        <w:t>9.3 Annotator design</w:t>
      </w:r>
    </w:p>
    <w:p>
      <w:pPr>
        <w:pStyle w:val="ListBullet"/>
      </w:pPr>
      <w:r>
        <w:t>Use at least two independent annotators for the real evaluation subset.</w:t>
      </w:r>
    </w:p>
    <w:p>
      <w:pPr>
        <w:pStyle w:val="ListBullet"/>
      </w:pPr>
      <w:r>
        <w:t>Give annotators operational definitions and counterexamples, not only label names.</w:t>
      </w:r>
    </w:p>
    <w:p>
      <w:pPr>
        <w:pStyle w:val="ListBullet"/>
      </w:pPr>
      <w:r>
        <w:t>Run a pilot before full annotation.</w:t>
      </w:r>
    </w:p>
    <w:p>
      <w:pPr>
        <w:pStyle w:val="ListBullet"/>
      </w:pPr>
      <w:r>
        <w:t>Revise guidelines after reviewing disagreement clusters, then freeze the release guidelines.</w:t>
      </w:r>
    </w:p>
    <w:p>
      <w:pPr>
        <w:pStyle w:val="ListBullet"/>
      </w:pPr>
      <w:r>
        <w:t>Keep pre-adjudication labels, adjudicated labels, and adjudicator notes.</w:t>
      </w:r>
    </w:p>
    <w:p>
      <w:pPr>
        <w:pStyle w:val="ListBullet"/>
      </w:pPr>
      <w:r>
        <w:t>Do not let the model create the final gold label without human review.</w:t>
      </w:r>
    </w:p>
    <w:p>
      <w:pPr>
        <w:pStyle w:val="Heading2"/>
      </w:pPr>
      <w:r>
        <w:t>9.4 Agreement metrics</w:t>
      </w:r>
    </w:p>
    <w:p>
      <w:r>
        <w:t>For categorical labels, report Cohen’s κ for two complete annotators or Krippendorff’s α when there are multiple annotators, missing labels, or different measurement scales. Krippendorff’s α has the general form:</w:t>
      </w:r>
    </w:p>
    <w:p>
      <w:pPr>
        <w:spacing w:before="80" w:after="120"/>
        <w:ind w:left="259" w:right="259"/>
        <w:shd w:fill="EEF2F5"/>
      </w:pPr>
      <w:r>
        <w:rPr>
          <w:rFonts w:ascii="Consolas" w:hAnsi="Consolas"/>
          <w:color w:val="17202A"/>
          <w:sz w:val="15"/>
        </w:rPr>
        <w:t>α = 1 - Dₒ / Dₑ</w:t>
        <w:br/>
        <w:t>Dₒ = observed disagreement</w:t>
        <w:br/>
        <w:t>Dₑ = disagreement expected by chance</w:t>
      </w:r>
    </w:p>
    <w:p>
      <w:r>
        <w:t>For spans, report token-level precision, recall, F1, intersection-over-union, and exact match. Report agreement by transformation class. Do not hide low-agreement labels inside a single aggregate score.</w:t>
      </w:r>
    </w:p>
    <w:p>
      <w:pPr>
        <w:pStyle w:val="Heading1"/>
      </w:pPr>
      <w:r>
        <w:t>10. Data splits and leakage prevention</w:t>
      </w:r>
    </w:p>
    <w:tbl>
      <w:tblPr>
        <w:tblStyle w:val="TableGrid"/>
        <w:tblW w:type="auto" w:w="0"/>
        <w:jc w:val="center"/>
        <w:tblLook w:firstColumn="1" w:firstRow="1" w:lastColumn="0" w:lastRow="0" w:noHBand="0" w:noVBand="1" w:val="04A0"/>
      </w:tblPr>
      <w:tblGrid>
        <w:gridCol w:w="3408"/>
        <w:gridCol w:w="3408"/>
        <w:gridCol w:w="3408"/>
      </w:tblGrid>
      <w:tr>
        <w:trPr>
          <w:tblHeader/>
        </w:trPr>
        <w:tc>
          <w:tcPr>
            <w:tcW w:type="dxa" w:w="3408"/>
            <w:shd w:fill="17324D"/>
          </w:tcPr>
          <w:p>
            <w:r>
              <w:rPr>
                <w:b/>
                <w:color w:val="FFFFFF"/>
                <w:sz w:val="16"/>
              </w:rPr>
              <w:t>Split</w:t>
            </w:r>
          </w:p>
        </w:tc>
        <w:tc>
          <w:tcPr>
            <w:tcW w:type="dxa" w:w="3408"/>
            <w:shd w:fill="17324D"/>
          </w:tcPr>
          <w:p>
            <w:r>
              <w:rPr>
                <w:b/>
                <w:color w:val="FFFFFF"/>
                <w:sz w:val="16"/>
              </w:rPr>
              <w:t>Rule</w:t>
            </w:r>
          </w:p>
        </w:tc>
        <w:tc>
          <w:tcPr>
            <w:tcW w:type="dxa" w:w="3408"/>
            <w:shd w:fill="17324D"/>
          </w:tcPr>
          <w:p>
            <w:r>
              <w:rPr>
                <w:b/>
                <w:color w:val="FFFFFF"/>
                <w:sz w:val="16"/>
              </w:rPr>
              <w:t>Purpose</w:t>
            </w:r>
          </w:p>
        </w:tc>
      </w:tr>
      <w:tr>
        <w:tc>
          <w:tcPr>
            <w:tcW w:type="dxa" w:w="3408"/>
            <w:vAlign w:val="top"/>
          </w:tcPr>
          <w:p>
            <w:r>
              <w:rPr>
                <w:sz w:val="15"/>
              </w:rPr>
              <w:t>Event-held-out</w:t>
            </w:r>
          </w:p>
        </w:tc>
        <w:tc>
          <w:tcPr>
            <w:tcW w:type="dxa" w:w="3408"/>
            <w:vAlign w:val="top"/>
          </w:tcPr>
          <w:p>
            <w:r>
              <w:rPr>
                <w:sz w:val="15"/>
              </w:rPr>
              <w:t>All articles and sources for one event remain in one partition.</w:t>
            </w:r>
          </w:p>
        </w:tc>
        <w:tc>
          <w:tcPr>
            <w:tcW w:type="dxa" w:w="3408"/>
            <w:vAlign w:val="top"/>
          </w:tcPr>
          <w:p>
            <w:r>
              <w:rPr>
                <w:sz w:val="15"/>
              </w:rPr>
              <w:t>Prevents event memorization.</w:t>
            </w:r>
          </w:p>
        </w:tc>
      </w:tr>
      <w:tr>
        <w:tc>
          <w:tcPr>
            <w:tcW w:type="dxa" w:w="3408"/>
            <w:vAlign w:val="top"/>
            <w:shd w:fill="F3F6F9"/>
          </w:tcPr>
          <w:p>
            <w:r>
              <w:rPr>
                <w:sz w:val="15"/>
              </w:rPr>
              <w:t>Publisher-held-out</w:t>
            </w:r>
          </w:p>
        </w:tc>
        <w:tc>
          <w:tcPr>
            <w:tcW w:type="dxa" w:w="3408"/>
            <w:vAlign w:val="top"/>
            <w:shd w:fill="F3F6F9"/>
          </w:tcPr>
          <w:p>
            <w:r>
              <w:rPr>
                <w:sz w:val="15"/>
              </w:rPr>
              <w:t>One or more publishers appear only in test.</w:t>
            </w:r>
          </w:p>
        </w:tc>
        <w:tc>
          <w:tcPr>
            <w:tcW w:type="dxa" w:w="3408"/>
            <w:vAlign w:val="top"/>
            <w:shd w:fill="F3F6F9"/>
          </w:tcPr>
          <w:p>
            <w:r>
              <w:rPr>
                <w:sz w:val="15"/>
              </w:rPr>
              <w:t>Tests publisher generalization.</w:t>
            </w:r>
          </w:p>
        </w:tc>
      </w:tr>
      <w:tr>
        <w:tc>
          <w:tcPr>
            <w:tcW w:type="dxa" w:w="3408"/>
            <w:vAlign w:val="top"/>
          </w:tcPr>
          <w:p>
            <w:r>
              <w:rPr>
                <w:sz w:val="15"/>
              </w:rPr>
              <w:t>Source-type-held-out</w:t>
            </w:r>
          </w:p>
        </w:tc>
        <w:tc>
          <w:tcPr>
            <w:tcW w:type="dxa" w:w="3408"/>
            <w:vAlign w:val="top"/>
          </w:tcPr>
          <w:p>
            <w:r>
              <w:rPr>
                <w:sz w:val="15"/>
              </w:rPr>
              <w:t>One source class is withheld from training.</w:t>
            </w:r>
          </w:p>
        </w:tc>
        <w:tc>
          <w:tcPr>
            <w:tcW w:type="dxa" w:w="3408"/>
            <w:vAlign w:val="top"/>
          </w:tcPr>
          <w:p>
            <w:r>
              <w:rPr>
                <w:sz w:val="15"/>
              </w:rPr>
              <w:t>Tests genre transfer.</w:t>
            </w:r>
          </w:p>
        </w:tc>
      </w:tr>
      <w:tr>
        <w:tc>
          <w:tcPr>
            <w:tcW w:type="dxa" w:w="3408"/>
            <w:vAlign w:val="top"/>
            <w:shd w:fill="F3F6F9"/>
          </w:tcPr>
          <w:p>
            <w:r>
              <w:rPr>
                <w:sz w:val="15"/>
              </w:rPr>
              <w:t>Transformation-held-out</w:t>
            </w:r>
          </w:p>
        </w:tc>
        <w:tc>
          <w:tcPr>
            <w:tcW w:type="dxa" w:w="3408"/>
            <w:vAlign w:val="top"/>
            <w:shd w:fill="F3F6F9"/>
          </w:tcPr>
          <w:p>
            <w:r>
              <w:rPr>
                <w:sz w:val="15"/>
              </w:rPr>
              <w:t>One transformation family is absent from training.</w:t>
            </w:r>
          </w:p>
        </w:tc>
        <w:tc>
          <w:tcPr>
            <w:tcW w:type="dxa" w:w="3408"/>
            <w:vAlign w:val="top"/>
            <w:shd w:fill="F3F6F9"/>
          </w:tcPr>
          <w:p>
            <w:r>
              <w:rPr>
                <w:sz w:val="15"/>
              </w:rPr>
              <w:t>Tests unknown-operation rejection and abstention.</w:t>
            </w:r>
          </w:p>
        </w:tc>
      </w:tr>
      <w:tr>
        <w:tc>
          <w:tcPr>
            <w:tcW w:type="dxa" w:w="3408"/>
            <w:vAlign w:val="top"/>
          </w:tcPr>
          <w:p>
            <w:r>
              <w:rPr>
                <w:sz w:val="15"/>
              </w:rPr>
              <w:t>Temporal split</w:t>
            </w:r>
          </w:p>
        </w:tc>
        <w:tc>
          <w:tcPr>
            <w:tcW w:type="dxa" w:w="3408"/>
            <w:vAlign w:val="top"/>
          </w:tcPr>
          <w:p>
            <w:r>
              <w:rPr>
                <w:sz w:val="15"/>
              </w:rPr>
              <w:t>Later publication dates are test-only when dates are available.</w:t>
            </w:r>
          </w:p>
        </w:tc>
        <w:tc>
          <w:tcPr>
            <w:tcW w:type="dxa" w:w="3408"/>
            <w:vAlign w:val="top"/>
          </w:tcPr>
          <w:p>
            <w:r>
              <w:rPr>
                <w:sz w:val="15"/>
              </w:rPr>
              <w:t>Tests realistic forward transfer.</w:t>
            </w:r>
          </w:p>
        </w:tc>
      </w:tr>
      <w:tr>
        <w:tc>
          <w:tcPr>
            <w:tcW w:type="dxa" w:w="3408"/>
            <w:vAlign w:val="top"/>
            <w:shd w:fill="F3F6F9"/>
          </w:tcPr>
          <w:p>
            <w:r>
              <w:rPr>
                <w:sz w:val="15"/>
              </w:rPr>
              <w:t>Synthetic/real separation</w:t>
            </w:r>
          </w:p>
        </w:tc>
        <w:tc>
          <w:tcPr>
            <w:tcW w:type="dxa" w:w="3408"/>
            <w:vAlign w:val="top"/>
            <w:shd w:fill="F3F6F9"/>
          </w:tcPr>
          <w:p>
            <w:r>
              <w:rPr>
                <w:sz w:val="15"/>
              </w:rPr>
              <w:t>Synthetic transformations never enter the final real-world test set.</w:t>
            </w:r>
          </w:p>
        </w:tc>
        <w:tc>
          <w:tcPr>
            <w:tcW w:type="dxa" w:w="3408"/>
            <w:vAlign w:val="top"/>
            <w:shd w:fill="F3F6F9"/>
          </w:tcPr>
          <w:p>
            <w:r>
              <w:rPr>
                <w:sz w:val="15"/>
              </w:rPr>
              <w:t>Prevents synthetic contamination.</w:t>
            </w:r>
          </w:p>
        </w:tc>
      </w:tr>
    </w:tbl>
    <w:p>
      <w:pPr>
        <w:pStyle w:val="Heading2"/>
      </w:pPr>
      <w:r>
        <w:t>10.1 Split audit</w:t>
      </w:r>
    </w:p>
    <w:p>
      <w:pPr>
        <w:pStyle w:val="ListBullet"/>
      </w:pPr>
      <w:r>
        <w:t>Hash normalized documents to detect duplicates.</w:t>
      </w:r>
    </w:p>
    <w:p>
      <w:pPr>
        <w:pStyle w:val="ListBullet"/>
      </w:pPr>
      <w:r>
        <w:t>Cluster near-duplicate source passages before splitting.</w:t>
      </w:r>
    </w:p>
    <w:p>
      <w:pPr>
        <w:pStyle w:val="ListBullet"/>
      </w:pPr>
      <w:r>
        <w:t>Keep syndicated or copied articles in one partition.</w:t>
      </w:r>
    </w:p>
    <w:p>
      <w:pPr>
        <w:pStyle w:val="ListBullet"/>
      </w:pPr>
      <w:r>
        <w:t>Check entity and event overlap.</w:t>
      </w:r>
    </w:p>
    <w:p>
      <w:pPr>
        <w:pStyle w:val="ListBullet"/>
      </w:pPr>
      <w:r>
        <w:t>Report publisher, source type, topic, and transformation distribution by split.</w:t>
      </w:r>
    </w:p>
    <w:p>
      <w:pPr>
        <w:pStyle w:val="Heading1"/>
      </w:pPr>
      <w:r>
        <w:t>11. Preprocessing and representation</w:t>
      </w:r>
    </w:p>
    <w:p>
      <w:pPr>
        <w:pStyle w:val="Heading2"/>
      </w:pPr>
      <w:r>
        <w:t>11.1 Source preprocessing</w:t>
      </w:r>
    </w:p>
    <w:p>
      <w:pPr>
        <w:pStyle w:val="ListBullet"/>
      </w:pPr>
      <w:r>
        <w:t>Retain document structure, headings, paragraph IDs, sentence IDs, speaker labels, timestamps, and revision date.</w:t>
      </w:r>
    </w:p>
    <w:p>
      <w:pPr>
        <w:pStyle w:val="ListBullet"/>
      </w:pPr>
      <w:r>
        <w:t>Normalize Unicode and whitespace without destroying quotation marks, negation, modality, dates, or attribution.</w:t>
      </w:r>
    </w:p>
    <w:p>
      <w:pPr>
        <w:pStyle w:val="ListBullet"/>
      </w:pPr>
      <w:r>
        <w:t>Do not remove stop words for semantic models.</w:t>
      </w:r>
    </w:p>
    <w:p>
      <w:pPr>
        <w:pStyle w:val="ListBullet"/>
      </w:pPr>
      <w:r>
        <w:t>Create context windows of 1 to 4 sentences before and after candidate spans.</w:t>
      </w:r>
    </w:p>
    <w:p>
      <w:pPr>
        <w:pStyle w:val="ListBullet"/>
      </w:pPr>
      <w:r>
        <w:t>Store raw, normalized, and segmented versions with content hashes.</w:t>
      </w:r>
    </w:p>
    <w:p>
      <w:pPr>
        <w:pStyle w:val="Heading2"/>
      </w:pPr>
      <w:r>
        <w:t>11.2 Linguistic feature extraction</w:t>
      </w:r>
    </w:p>
    <w:p>
      <w:pPr>
        <w:pStyle w:val="ListBullet"/>
      </w:pPr>
      <w:r>
        <w:t>Named entities and coreference candidates</w:t>
      </w:r>
    </w:p>
    <w:p>
      <w:pPr>
        <w:pStyle w:val="ListBullet"/>
      </w:pPr>
      <w:r>
        <w:t>Quotation boundaries and speaker attribution</w:t>
      </w:r>
    </w:p>
    <w:p>
      <w:pPr>
        <w:pStyle w:val="ListBullet"/>
      </w:pPr>
      <w:r>
        <w:t>Negation cues and scope</w:t>
      </w:r>
    </w:p>
    <w:p>
      <w:pPr>
        <w:pStyle w:val="ListBullet"/>
      </w:pPr>
      <w:r>
        <w:t>Modal verbs and hedges</w:t>
      </w:r>
    </w:p>
    <w:p>
      <w:pPr>
        <w:pStyle w:val="ListBullet"/>
      </w:pPr>
      <w:r>
        <w:t>Quantifiers and determiners</w:t>
      </w:r>
    </w:p>
    <w:p>
      <w:pPr>
        <w:pStyle w:val="ListBullet"/>
      </w:pPr>
      <w:r>
        <w:t>Conditionals</w:t>
      </w:r>
    </w:p>
    <w:p>
      <w:pPr>
        <w:pStyle w:val="ListBullet"/>
      </w:pPr>
      <w:r>
        <w:t>Causal predicates</w:t>
      </w:r>
    </w:p>
    <w:p>
      <w:pPr>
        <w:pStyle w:val="ListBullet"/>
      </w:pPr>
      <w:r>
        <w:t>Temporal expressions</w:t>
      </w:r>
    </w:p>
    <w:p>
      <w:pPr>
        <w:pStyle w:val="ListBullet"/>
      </w:pPr>
      <w:r>
        <w:t>Correction and concession markers</w:t>
      </w:r>
    </w:p>
    <w:p>
      <w:pPr>
        <w:pStyle w:val="ListBullet"/>
      </w:pPr>
      <w:r>
        <w:t>Reporting verbs and evidential attribution</w:t>
      </w:r>
    </w:p>
    <w:p>
      <w:pPr>
        <w:pStyle w:val="ListBullet"/>
      </w:pPr>
      <w:r>
        <w:t>Sentence order and discourse relation candidates</w:t>
      </w:r>
    </w:p>
    <w:p>
      <w:pPr>
        <w:pStyle w:val="Heading2"/>
      </w:pPr>
      <w:r>
        <w:t>11.3 Published-text preprocessing</w:t>
      </w:r>
    </w:p>
    <w:p>
      <w:r>
        <w:t>Preserve headline, standfirst, body sentence, quotation, caption, and preview as distinct fields. A headline must not be treated as an ordinary article sentence because compression and present-tense conventions differ.</w:t>
      </w:r>
    </w:p>
    <w:p>
      <w:pPr>
        <w:pStyle w:val="Heading1"/>
      </w:pPr>
      <w:r>
        <w:t>12. Hierarchical source alignment</w:t>
      </w:r>
    </w:p>
    <w:p>
      <w:pPr>
        <w:pStyle w:val="Heading2"/>
      </w:pPr>
      <w:r>
        <w:t>12.1 Candidate retrieval</w:t>
      </w:r>
    </w:p>
    <w:p>
      <w:r>
        <w:t>For published claim pᵢ and source candidate sⱼ, retrieve top-k candidates using lexical, dense, and hybrid systems.</w:t>
      </w:r>
    </w:p>
    <w:p>
      <w:pPr>
        <w:spacing w:before="80" w:after="120"/>
        <w:ind w:left="259" w:right="259"/>
        <w:shd w:fill="EEF2F5"/>
      </w:pPr>
      <w:r>
        <w:rPr>
          <w:rFonts w:ascii="Consolas" w:hAnsi="Consolas"/>
          <w:color w:val="17202A"/>
          <w:sz w:val="15"/>
        </w:rPr>
        <w:t>Cᵢ = TopK(R(pᵢ, S))</w:t>
      </w:r>
    </w:p>
    <w:p>
      <w:r>
        <w:t>A proposed linear fusion score is:</w:t>
      </w:r>
    </w:p>
    <w:p>
      <w:pPr>
        <w:spacing w:before="80" w:after="120"/>
        <w:ind w:left="259" w:right="259"/>
        <w:shd w:fill="EEF2F5"/>
      </w:pPr>
      <w:r>
        <w:rPr>
          <w:rFonts w:ascii="Consolas" w:hAnsi="Consolas"/>
          <w:color w:val="17202A"/>
          <w:sz w:val="15"/>
        </w:rPr>
        <w:t>R_fuse(sⱼ|pᵢ) = λ · norm(BM25(pᵢ,sⱼ)) + (1-λ) · cos(e(pᵢ),e(sⱼ))</w:t>
      </w:r>
    </w:p>
    <w:p>
      <w:r>
        <w:t>Select λ using development data only. Also report reciprocal-rank fusion as a parameter-light alternative:</w:t>
      </w:r>
    </w:p>
    <w:p>
      <w:pPr>
        <w:spacing w:before="80" w:after="120"/>
        <w:ind w:left="259" w:right="259"/>
        <w:shd w:fill="EEF2F5"/>
      </w:pPr>
      <w:r>
        <w:rPr>
          <w:rFonts w:ascii="Consolas" w:hAnsi="Consolas"/>
          <w:color w:val="17202A"/>
          <w:sz w:val="15"/>
        </w:rPr>
        <w:t>RRF(s) = Σᵣ 1 / (k₀ + rankᵣ(s))</w:t>
      </w:r>
    </w:p>
    <w:p>
      <w:pPr>
        <w:pStyle w:val="Heading2"/>
      </w:pPr>
      <w:r>
        <w:t>12.2 Local quote alignment</w:t>
      </w:r>
    </w:p>
    <w:p>
      <w:r>
        <w:t>For near-verbatim quotations, use token- or word-level local alignment. A Smith–Waterman-style recurrence is:</w:t>
      </w:r>
    </w:p>
    <w:p>
      <w:pPr>
        <w:spacing w:before="80" w:after="120"/>
        <w:ind w:left="259" w:right="259"/>
        <w:shd w:fill="EEF2F5"/>
      </w:pPr>
      <w:r>
        <w:rPr>
          <w:rFonts w:ascii="Consolas" w:hAnsi="Consolas"/>
          <w:color w:val="17202A"/>
          <w:sz w:val="15"/>
        </w:rPr>
        <w:t>H(i,j) = max{0, H(i-1,j-1)+sim(xᵢ,yⱼ), H(i-1,j)-g, H(i,j-1)-g}</w:t>
      </w:r>
    </w:p>
    <w:p>
      <w:r>
        <w:t>The traceback from the highest-scoring cell gives the best local alignment under the scoring scheme. Match, mismatch, gap, and semantic-similarity functions are development parameters. Apply local alignment only to retrieved candidates, not the full corpus.</w:t>
      </w:r>
    </w:p>
    <w:p>
      <w:pPr>
        <w:pStyle w:val="Heading2"/>
      </w:pPr>
      <w:r>
        <w:t>12.3 Claim-pair compatibility score</w:t>
      </w:r>
    </w:p>
    <w:p>
      <w:pPr>
        <w:spacing w:before="80" w:after="120"/>
        <w:ind w:left="259" w:right="259"/>
        <w:shd w:fill="EEF2F5"/>
      </w:pPr>
      <w:r>
        <w:rPr>
          <w:rFonts w:ascii="Consolas" w:hAnsi="Consolas"/>
          <w:color w:val="17202A"/>
          <w:sz w:val="15"/>
        </w:rPr>
        <w:t>Pᵢⱼ = αEᵢⱼ + βNᵢⱼ + γLᵢⱼ + δOᵢⱼ + εAᵢⱼ</w:t>
      </w:r>
    </w:p>
    <w:p>
      <w:pPr>
        <w:pStyle w:val="ListBullet"/>
      </w:pPr>
      <w:r>
        <w:t>Eᵢⱼ: embedding similarity.</w:t>
      </w:r>
    </w:p>
    <w:p>
      <w:pPr>
        <w:pStyle w:val="ListBullet"/>
      </w:pPr>
      <w:r>
        <w:t>Nᵢⱼ: NLI compatibility or contradiction evidence.</w:t>
      </w:r>
    </w:p>
    <w:p>
      <w:pPr>
        <w:pStyle w:val="ListBullet"/>
      </w:pPr>
      <w:r>
        <w:t>Lᵢⱼ: lexical/quotation overlap.</w:t>
      </w:r>
    </w:p>
    <w:p>
      <w:pPr>
        <w:pStyle w:val="ListBullet"/>
      </w:pPr>
      <w:r>
        <w:t>Oᵢⱼ: source-order consistency.</w:t>
      </w:r>
    </w:p>
    <w:p>
      <w:pPr>
        <w:pStyle w:val="ListBullet"/>
      </w:pPr>
      <w:r>
        <w:t>Aᵢⱼ: attribution/entity compatibility.</w:t>
      </w:r>
    </w:p>
    <w:p>
      <w:r>
        <w:t>Weights are learned or selected on development data. Compare against simpler unweighted and single-score baselines.</w:t>
      </w:r>
    </w:p>
    <w:p>
      <w:pPr>
        <w:pStyle w:val="Heading2"/>
      </w:pPr>
      <w:r>
        <w:t>12.4 Structured alignment objective</w:t>
      </w:r>
    </w:p>
    <w:p>
      <w:pPr>
        <w:spacing w:before="80" w:after="120"/>
        <w:ind w:left="259" w:right="259"/>
        <w:shd w:fill="EEF2F5"/>
      </w:pPr>
      <w:r>
        <w:rPr>
          <w:rFonts w:ascii="Consolas" w:hAnsi="Consolas"/>
          <w:color w:val="17202A"/>
          <w:sz w:val="15"/>
        </w:rPr>
        <w:t>A* = argmax_A [ Σ(i,j) AᵢⱼPᵢⱼ - λ_gap·G(A) - λ_merge·M(A) - λ_split·S(A) - λ_cross·X(A) ]</w:t>
      </w:r>
    </w:p>
    <w:p>
      <w:pPr>
        <w:pStyle w:val="ListBullet"/>
      </w:pPr>
      <w:r>
        <w:t>G(A): unmatched-claim penalties.</w:t>
      </w:r>
    </w:p>
    <w:p>
      <w:pPr>
        <w:pStyle w:val="ListBullet"/>
      </w:pPr>
      <w:r>
        <w:t>M(A): merge penalties.</w:t>
      </w:r>
    </w:p>
    <w:p>
      <w:pPr>
        <w:pStyle w:val="ListBullet"/>
      </w:pPr>
      <w:r>
        <w:t>S(A): split penalties.</w:t>
      </w:r>
    </w:p>
    <w:p>
      <w:pPr>
        <w:pStyle w:val="ListBullet"/>
      </w:pPr>
      <w:r>
        <w:t>X(A): source-order crossing penalties.</w:t>
      </w:r>
    </w:p>
    <w:p>
      <w:pPr>
        <w:pStyle w:val="ListBullet"/>
      </w:pPr>
      <w:r>
        <w:t>A permits one-to-one, one-to-many, many-to-one, unmatched-source, and unsupported-published configurations.</w:t>
      </w:r>
    </w:p>
    <w:p>
      <w:pPr>
        <w:pStyle w:val="Heading1"/>
      </w:pPr>
      <w:r>
        <w:t>13. Discourse-context model</w:t>
      </w:r>
    </w:p>
    <w:p>
      <w:pPr>
        <w:pStyle w:val="Heading2"/>
      </w:pPr>
      <w:r>
        <w:t>13.1 Feature vector</w:t>
      </w:r>
    </w:p>
    <w:p>
      <w:pPr>
        <w:spacing w:before="80" w:after="120"/>
        <w:ind w:left="259" w:right="259"/>
        <w:shd w:fill="EEF2F5"/>
      </w:pPr>
      <w:r>
        <w:rPr>
          <w:rFonts w:ascii="Consolas" w:hAnsi="Consolas"/>
          <w:color w:val="17202A"/>
          <w:sz w:val="15"/>
        </w:rPr>
        <w:t>d(x) = [negation, modality, quantification, condition, uncertainty, correction, concession, attribution, causality, temporality]</w:t>
      </w:r>
    </w:p>
    <w:p>
      <w:pPr>
        <w:pStyle w:val="Heading2"/>
      </w:pPr>
      <w:r>
        <w:t>13.2 Context-loss vector</w:t>
      </w:r>
    </w:p>
    <w:p>
      <w:pPr>
        <w:spacing w:before="80" w:after="120"/>
        <w:ind w:left="259" w:right="259"/>
        <w:shd w:fill="EEF2F5"/>
      </w:pPr>
      <w:r>
        <w:rPr>
          <w:rFonts w:ascii="Consolas" w:hAnsi="Consolas"/>
          <w:color w:val="17202A"/>
          <w:sz w:val="15"/>
        </w:rPr>
        <w:t>Δd = d(source) - d(published)</w:t>
      </w:r>
    </w:p>
    <w:p>
      <w:r>
        <w:t>A positive loss indicator means a source feature is materially absent or altered in the publication. Detection must consider scope, not only cue words.</w:t>
      </w:r>
    </w:p>
    <w:p>
      <w:pPr>
        <w:pStyle w:val="Heading2"/>
      </w:pPr>
      <w:r>
        <w:t>13.3 Experimental context-loss score</w:t>
      </w:r>
    </w:p>
    <w:p>
      <w:pPr>
        <w:spacing w:before="80" w:after="120"/>
        <w:ind w:left="259" w:right="259"/>
        <w:shd w:fill="EEF2F5"/>
      </w:pPr>
      <w:r>
        <w:rPr>
          <w:rFonts w:ascii="Consolas" w:hAnsi="Consolas"/>
          <w:color w:val="17202A"/>
          <w:sz w:val="15"/>
        </w:rPr>
        <w:t>CLS(q) = wₙN_q + wₘM_q + w_cC_q + w_aA_q + w_tT_q</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shd w:fill="17324D"/>
          </w:tcPr>
          <w:p>
            <w:r>
              <w:rPr>
                <w:b/>
                <w:color w:val="FFFFFF"/>
                <w:sz w:val="16"/>
              </w:rPr>
              <w:t>Term</w:t>
            </w:r>
          </w:p>
        </w:tc>
        <w:tc>
          <w:tcPr>
            <w:tcW w:type="dxa" w:w="5112"/>
            <w:shd w:fill="17324D"/>
          </w:tcPr>
          <w:p>
            <w:r>
              <w:rPr>
                <w:b/>
                <w:color w:val="FFFFFF"/>
                <w:sz w:val="16"/>
              </w:rPr>
              <w:t>Meaning</w:t>
            </w:r>
          </w:p>
        </w:tc>
      </w:tr>
      <w:tr>
        <w:tc>
          <w:tcPr>
            <w:tcW w:type="dxa" w:w="5112"/>
            <w:vAlign w:val="top"/>
          </w:tcPr>
          <w:p>
            <w:r>
              <w:rPr>
                <w:sz w:val="15"/>
              </w:rPr>
              <w:t>N_q</w:t>
            </w:r>
          </w:p>
        </w:tc>
        <w:tc>
          <w:tcPr>
            <w:tcW w:type="dxa" w:w="5112"/>
            <w:vAlign w:val="top"/>
          </w:tcPr>
          <w:p>
            <w:r>
              <w:rPr>
                <w:sz w:val="15"/>
              </w:rPr>
              <w:t>Negation loss.</w:t>
            </w:r>
          </w:p>
        </w:tc>
      </w:tr>
      <w:tr>
        <w:tc>
          <w:tcPr>
            <w:tcW w:type="dxa" w:w="5112"/>
            <w:vAlign w:val="top"/>
            <w:shd w:fill="F3F6F9"/>
          </w:tcPr>
          <w:p>
            <w:r>
              <w:rPr>
                <w:sz w:val="15"/>
              </w:rPr>
              <w:t>M_q</w:t>
            </w:r>
          </w:p>
        </w:tc>
        <w:tc>
          <w:tcPr>
            <w:tcW w:type="dxa" w:w="5112"/>
            <w:vAlign w:val="top"/>
            <w:shd w:fill="F3F6F9"/>
          </w:tcPr>
          <w:p>
            <w:r>
              <w:rPr>
                <w:sz w:val="15"/>
              </w:rPr>
              <w:t>Modality or qualification loss.</w:t>
            </w:r>
          </w:p>
        </w:tc>
      </w:tr>
      <w:tr>
        <w:tc>
          <w:tcPr>
            <w:tcW w:type="dxa" w:w="5112"/>
            <w:vAlign w:val="top"/>
          </w:tcPr>
          <w:p>
            <w:r>
              <w:rPr>
                <w:sz w:val="15"/>
              </w:rPr>
              <w:t>C_q</w:t>
            </w:r>
          </w:p>
        </w:tc>
        <w:tc>
          <w:tcPr>
            <w:tcW w:type="dxa" w:w="5112"/>
            <w:vAlign w:val="top"/>
          </w:tcPr>
          <w:p>
            <w:r>
              <w:rPr>
                <w:sz w:val="15"/>
              </w:rPr>
              <w:t>Correction or concession loss.</w:t>
            </w:r>
          </w:p>
        </w:tc>
      </w:tr>
      <w:tr>
        <w:tc>
          <w:tcPr>
            <w:tcW w:type="dxa" w:w="5112"/>
            <w:vAlign w:val="top"/>
            <w:shd w:fill="F3F6F9"/>
          </w:tcPr>
          <w:p>
            <w:r>
              <w:rPr>
                <w:sz w:val="15"/>
              </w:rPr>
              <w:t>A_q</w:t>
            </w:r>
          </w:p>
        </w:tc>
        <w:tc>
          <w:tcPr>
            <w:tcW w:type="dxa" w:w="5112"/>
            <w:vAlign w:val="top"/>
            <w:shd w:fill="F3F6F9"/>
          </w:tcPr>
          <w:p>
            <w:r>
              <w:rPr>
                <w:sz w:val="15"/>
              </w:rPr>
              <w:t>Attribution inconsistency.</w:t>
            </w:r>
          </w:p>
        </w:tc>
      </w:tr>
      <w:tr>
        <w:tc>
          <w:tcPr>
            <w:tcW w:type="dxa" w:w="5112"/>
            <w:vAlign w:val="top"/>
          </w:tcPr>
          <w:p>
            <w:r>
              <w:rPr>
                <w:sz w:val="15"/>
              </w:rPr>
              <w:t>T_q</w:t>
            </w:r>
          </w:p>
        </w:tc>
        <w:tc>
          <w:tcPr>
            <w:tcW w:type="dxa" w:w="5112"/>
            <w:vAlign w:val="top"/>
          </w:tcPr>
          <w:p>
            <w:r>
              <w:rPr>
                <w:sz w:val="15"/>
              </w:rPr>
              <w:t>Temporal-context loss.</w:t>
            </w:r>
          </w:p>
        </w:tc>
      </w:tr>
    </w:tbl>
    <w:p>
      <w:r>
        <w:t>Compare equal weights, weights learned by logistic regression on development data, and no aggregate score. Keep the score only if it improves classification, calibration, interpretability, or generalization over the feature vector alone.</w:t>
      </w:r>
    </w:p>
    <w:p>
      <w:pPr>
        <w:pStyle w:val="Heading1"/>
      </w:pPr>
      <w:r>
        <w:t>14. Signed semantic-strength model</w:t>
      </w:r>
    </w:p>
    <w:p>
      <w:pPr>
        <w:pStyle w:val="Heading2"/>
      </w:pPr>
      <w:r>
        <w:t>14.1 Multidimensional representation</w:t>
      </w:r>
    </w:p>
    <w:p>
      <w:pPr>
        <w:spacing w:before="80" w:after="120"/>
        <w:ind w:left="259" w:right="259"/>
        <w:shd w:fill="EEF2F5"/>
      </w:pPr>
      <w:r>
        <w:rPr>
          <w:rFonts w:ascii="Consolas" w:hAnsi="Consolas"/>
          <w:color w:val="17202A"/>
          <w:sz w:val="15"/>
        </w:rPr>
        <w:t>S(x) = [S_modality, S_quantification, S_causality, S_certainty, S_temporal, S_scope]</w:t>
      </w:r>
    </w:p>
    <w:p>
      <w:pPr>
        <w:spacing w:before="80" w:after="120"/>
        <w:ind w:left="259" w:right="259"/>
        <w:shd w:fill="EEF2F5"/>
      </w:pPr>
      <w:r>
        <w:rPr>
          <w:rFonts w:ascii="Consolas" w:hAnsi="Consolas"/>
          <w:color w:val="17202A"/>
          <w:sz w:val="15"/>
        </w:rPr>
        <w:t>ΔS = S(published) - S(source)</w:t>
      </w:r>
    </w:p>
    <w:p>
      <w:r>
        <w:t>Do not collapse ΔS immediately. The sign can differ by dimension. A publication can strengthen certainty and narrow temporal extent at the same time.</w:t>
      </w:r>
    </w:p>
    <w:p>
      <w:pPr>
        <w:pStyle w:val="Heading2"/>
      </w:pPr>
      <w:r>
        <w:t>14.2 Candidate ordinal scales</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shd w:fill="17324D"/>
          </w:tcPr>
          <w:p>
            <w:r>
              <w:rPr>
                <w:b/>
                <w:color w:val="FFFFFF"/>
                <w:sz w:val="16"/>
              </w:rPr>
              <w:t>Dimension</w:t>
            </w:r>
          </w:p>
        </w:tc>
        <w:tc>
          <w:tcPr>
            <w:tcW w:type="dxa" w:w="5112"/>
            <w:shd w:fill="17324D"/>
          </w:tcPr>
          <w:p>
            <w:r>
              <w:rPr>
                <w:b/>
                <w:color w:val="FFFFFF"/>
                <w:sz w:val="16"/>
              </w:rPr>
              <w:t>Illustrative order from weaker to stronger</w:t>
            </w:r>
          </w:p>
        </w:tc>
      </w:tr>
      <w:tr>
        <w:tc>
          <w:tcPr>
            <w:tcW w:type="dxa" w:w="5112"/>
            <w:vAlign w:val="top"/>
          </w:tcPr>
          <w:p>
            <w:r>
              <w:rPr>
                <w:sz w:val="15"/>
              </w:rPr>
              <w:t>Modality</w:t>
            </w:r>
          </w:p>
        </w:tc>
        <w:tc>
          <w:tcPr>
            <w:tcW w:type="dxa" w:w="5112"/>
            <w:vAlign w:val="top"/>
          </w:tcPr>
          <w:p>
            <w:r>
              <w:rPr>
                <w:sz w:val="15"/>
              </w:rPr>
              <w:t>might &lt; may/could &lt; likely &lt; will &lt; must</w:t>
            </w:r>
          </w:p>
        </w:tc>
      </w:tr>
      <w:tr>
        <w:tc>
          <w:tcPr>
            <w:tcW w:type="dxa" w:w="5112"/>
            <w:vAlign w:val="top"/>
            <w:shd w:fill="F3F6F9"/>
          </w:tcPr>
          <w:p>
            <w:r>
              <w:rPr>
                <w:sz w:val="15"/>
              </w:rPr>
              <w:t>Quantification</w:t>
            </w:r>
          </w:p>
        </w:tc>
        <w:tc>
          <w:tcPr>
            <w:tcW w:type="dxa" w:w="5112"/>
            <w:vAlign w:val="top"/>
            <w:shd w:fill="F3F6F9"/>
          </w:tcPr>
          <w:p>
            <w:r>
              <w:rPr>
                <w:sz w:val="15"/>
              </w:rPr>
              <w:t>some &lt; many &lt; most &lt; all</w:t>
            </w:r>
          </w:p>
        </w:tc>
      </w:tr>
      <w:tr>
        <w:tc>
          <w:tcPr>
            <w:tcW w:type="dxa" w:w="5112"/>
            <w:vAlign w:val="top"/>
          </w:tcPr>
          <w:p>
            <w:r>
              <w:rPr>
                <w:sz w:val="15"/>
              </w:rPr>
              <w:t>Causality</w:t>
            </w:r>
          </w:p>
        </w:tc>
        <w:tc>
          <w:tcPr>
            <w:tcW w:type="dxa" w:w="5112"/>
            <w:vAlign w:val="top"/>
          </w:tcPr>
          <w:p>
            <w:r>
              <w:rPr>
                <w:sz w:val="15"/>
              </w:rPr>
              <w:t>correlated with &lt; associated with &lt; contributes to &lt; causes</w:t>
            </w:r>
          </w:p>
        </w:tc>
      </w:tr>
      <w:tr>
        <w:tc>
          <w:tcPr>
            <w:tcW w:type="dxa" w:w="5112"/>
            <w:vAlign w:val="top"/>
            <w:shd w:fill="F3F6F9"/>
          </w:tcPr>
          <w:p>
            <w:r>
              <w:rPr>
                <w:sz w:val="15"/>
              </w:rPr>
              <w:t>Epistemic certainty</w:t>
            </w:r>
          </w:p>
        </w:tc>
        <w:tc>
          <w:tcPr>
            <w:tcW w:type="dxa" w:w="5112"/>
            <w:vAlign w:val="top"/>
            <w:shd w:fill="F3F6F9"/>
          </w:tcPr>
          <w:p>
            <w:r>
              <w:rPr>
                <w:sz w:val="15"/>
              </w:rPr>
              <w:t>possible &lt; suggested &lt; likely &lt; supported &lt; confirmed</w:t>
            </w:r>
          </w:p>
        </w:tc>
      </w:tr>
      <w:tr>
        <w:tc>
          <w:tcPr>
            <w:tcW w:type="dxa" w:w="5112"/>
            <w:vAlign w:val="top"/>
          </w:tcPr>
          <w:p>
            <w:r>
              <w:rPr>
                <w:sz w:val="15"/>
              </w:rPr>
              <w:t>Evidence status</w:t>
            </w:r>
          </w:p>
        </w:tc>
        <w:tc>
          <w:tcPr>
            <w:tcW w:type="dxa" w:w="5112"/>
            <w:vAlign w:val="top"/>
          </w:tcPr>
          <w:p>
            <w:r>
              <w:rPr>
                <w:sz w:val="15"/>
              </w:rPr>
              <w:t>anecdotal &lt; preliminary &lt; reviewed &lt; replicated</w:t>
            </w:r>
          </w:p>
        </w:tc>
      </w:tr>
      <w:tr>
        <w:tc>
          <w:tcPr>
            <w:tcW w:type="dxa" w:w="5112"/>
            <w:vAlign w:val="top"/>
            <w:shd w:fill="F3F6F9"/>
          </w:tcPr>
          <w:p>
            <w:r>
              <w:rPr>
                <w:sz w:val="15"/>
              </w:rPr>
              <w:t>Temporal extent</w:t>
            </w:r>
          </w:p>
        </w:tc>
        <w:tc>
          <w:tcPr>
            <w:tcW w:type="dxa" w:w="5112"/>
            <w:vAlign w:val="top"/>
            <w:shd w:fill="F3F6F9"/>
          </w:tcPr>
          <w:p>
            <w:r>
              <w:rPr>
                <w:sz w:val="15"/>
              </w:rPr>
              <w:t>momentary &lt; short-term &lt; medium-term &lt; persistent</w:t>
            </w:r>
          </w:p>
        </w:tc>
      </w:tr>
    </w:tbl>
    <w:p>
      <w:r>
        <w:t>These are initial modelling hypotheses, not universally valid linguistic laws. Context, negation, lexical sense, and domain conventions can reverse or invalidate an ordering. The annotation scheme must permit INCOMPARABLE and MIXED.</w:t>
      </w:r>
    </w:p>
    <w:p>
      <w:pPr>
        <w:pStyle w:val="Heading2"/>
      </w:pPr>
      <w:r>
        <w:t>14.3 Direction decision</w:t>
      </w:r>
    </w:p>
    <w:p>
      <w:pPr>
        <w:spacing w:before="80" w:after="120"/>
        <w:ind w:left="259" w:right="259"/>
        <w:shd w:fill="EEF2F5"/>
      </w:pPr>
      <w:r>
        <w:rPr>
          <w:rFonts w:ascii="Consolas" w:hAnsi="Consolas"/>
          <w:color w:val="17202A"/>
          <w:sz w:val="15"/>
        </w:rPr>
        <w:t>if evidence insufficient: INCOMPARABLE / ABSTAIN</w:t>
        <w:br/>
        <w:t>elif all material ΔS_k ≈ 0: APPROXIMATELY_PRESERVED</w:t>
        <w:br/>
        <w:t>elif positive dimensions and no material negative dimensions: STRENGTHENED</w:t>
        <w:br/>
        <w:t>elif negative dimensions and no material positive dimensions: WEAKENED</w:t>
        <w:br/>
        <w:t>else: MIXED</w:t>
      </w:r>
    </w:p>
    <w:p>
      <w:pPr>
        <w:pStyle w:val="Heading2"/>
      </w:pPr>
      <w:r>
        <w:t>14.4 NLI limitation</w:t>
      </w:r>
    </w:p>
    <w:p>
      <w:r>
        <w:t>Standard NLI predicts entailment, contradiction, or neutral. That is useful for verification but insufficient for signed strength. Research on semantic fragments shows that NLI models can perform poorly on quantification, conditionals, comparatives, and monotonicity phenomena. Therefore, NLI is a branch or baseline, not the final transformation mechanism.</w:t>
      </w:r>
    </w:p>
    <w:p>
      <w:pPr>
        <w:pStyle w:val="Heading1"/>
      </w:pPr>
      <w:r>
        <w:t>15. Model architecture and baselines</w:t>
      </w:r>
    </w:p>
    <w:p>
      <w:pPr>
        <w:pStyle w:val="Heading2"/>
      </w:pPr>
      <w:r>
        <w:t>15.1 Proposed architecture</w:t>
      </w:r>
    </w:p>
    <w:p>
      <w:pPr>
        <w:spacing w:before="80" w:after="120"/>
        <w:ind w:left="259" w:right="259"/>
        <w:shd w:fill="EEF2F5"/>
      </w:pPr>
      <w:r>
        <w:rPr>
          <w:rFonts w:ascii="Consolas" w:hAnsi="Consolas"/>
          <w:color w:val="17202A"/>
          <w:sz w:val="15"/>
        </w:rPr>
        <w:t>Source encoder ─┐</w:t>
        <w:br/>
        <w:t xml:space="preserve">                ├─ Cross-document similarity matrix ─ Structured aligner</w:t>
        <w:br/>
        <w:t>Article encoder ┘                                  |</w:t>
        <w:br/>
        <w:t xml:space="preserve">                                                   v</w:t>
        <w:br/>
        <w:t>Aligned claim-pair encoder</w:t>
        <w:br/>
        <w:t xml:space="preserve">        + discourse-context branch</w:t>
        <w:br/>
        <w:t xml:space="preserve">        + semantic-strength branch</w:t>
        <w:br/>
        <w:t xml:space="preserve">        + attribution/quote branch</w:t>
        <w:br/>
        <w:t xml:space="preserve">        + evidence-coverage branch</w:t>
        <w:br/>
        <w:t xml:space="preserve">                    |</w:t>
        <w:br/>
        <w:t xml:space="preserve">                    v</w:t>
        <w:br/>
        <w:t>Typed transformation classifier</w:t>
        <w:br/>
        <w:t xml:space="preserve">                    |</w:t>
        <w:br/>
        <w:t xml:space="preserve">                    v</w:t>
        <w:br/>
        <w:t>Graph constructor + calibration + abstention</w:t>
      </w:r>
    </w:p>
    <w:p>
      <w:pPr>
        <w:pStyle w:val="Heading2"/>
      </w:pPr>
      <w:r>
        <w:t>15.2 Required baselines</w:t>
      </w:r>
    </w:p>
    <w:tbl>
      <w:tblPr>
        <w:tblStyle w:val="TableGrid"/>
        <w:tblW w:type="auto" w:w="0"/>
        <w:jc w:val="center"/>
        <w:tblLook w:firstColumn="1" w:firstRow="1" w:lastColumn="0" w:lastRow="0" w:noHBand="0" w:noVBand="1" w:val="04A0"/>
      </w:tblPr>
      <w:tblGrid>
        <w:gridCol w:w="3408"/>
        <w:gridCol w:w="3408"/>
        <w:gridCol w:w="3408"/>
      </w:tblGrid>
      <w:tr>
        <w:trPr>
          <w:tblHeader/>
        </w:trPr>
        <w:tc>
          <w:tcPr>
            <w:tcW w:type="dxa" w:w="3408"/>
            <w:shd w:fill="17324D"/>
          </w:tcPr>
          <w:p>
            <w:r>
              <w:rPr>
                <w:b/>
                <w:color w:val="FFFFFF"/>
                <w:sz w:val="16"/>
              </w:rPr>
              <w:t>ID</w:t>
            </w:r>
          </w:p>
        </w:tc>
        <w:tc>
          <w:tcPr>
            <w:tcW w:type="dxa" w:w="3408"/>
            <w:shd w:fill="17324D"/>
          </w:tcPr>
          <w:p>
            <w:r>
              <w:rPr>
                <w:b/>
                <w:color w:val="FFFFFF"/>
                <w:sz w:val="16"/>
              </w:rPr>
              <w:t>Baseline</w:t>
            </w:r>
          </w:p>
        </w:tc>
        <w:tc>
          <w:tcPr>
            <w:tcW w:type="dxa" w:w="3408"/>
            <w:shd w:fill="17324D"/>
          </w:tcPr>
          <w:p>
            <w:r>
              <w:rPr>
                <w:b/>
                <w:color w:val="FFFFFF"/>
                <w:sz w:val="16"/>
              </w:rPr>
              <w:t>Purpose</w:t>
            </w:r>
          </w:p>
        </w:tc>
      </w:tr>
      <w:tr>
        <w:tc>
          <w:tcPr>
            <w:tcW w:type="dxa" w:w="3408"/>
            <w:vAlign w:val="top"/>
          </w:tcPr>
          <w:p>
            <w:r>
              <w:rPr>
                <w:sz w:val="15"/>
              </w:rPr>
              <w:t>B0</w:t>
            </w:r>
          </w:p>
        </w:tc>
        <w:tc>
          <w:tcPr>
            <w:tcW w:type="dxa" w:w="3408"/>
            <w:vAlign w:val="top"/>
          </w:tcPr>
          <w:p>
            <w:r>
              <w:rPr>
                <w:sz w:val="15"/>
              </w:rPr>
              <w:t>Majority and random labels.</w:t>
            </w:r>
          </w:p>
        </w:tc>
        <w:tc>
          <w:tcPr>
            <w:tcW w:type="dxa" w:w="3408"/>
            <w:vAlign w:val="top"/>
          </w:tcPr>
          <w:p>
            <w:r>
              <w:rPr>
                <w:sz w:val="15"/>
              </w:rPr>
              <w:t>Sanity floor.</w:t>
            </w:r>
          </w:p>
        </w:tc>
      </w:tr>
      <w:tr>
        <w:tc>
          <w:tcPr>
            <w:tcW w:type="dxa" w:w="3408"/>
            <w:vAlign w:val="top"/>
            <w:shd w:fill="F3F6F9"/>
          </w:tcPr>
          <w:p>
            <w:r>
              <w:rPr>
                <w:sz w:val="15"/>
              </w:rPr>
              <w:t>B1</w:t>
            </w:r>
          </w:p>
        </w:tc>
        <w:tc>
          <w:tcPr>
            <w:tcW w:type="dxa" w:w="3408"/>
            <w:vAlign w:val="top"/>
            <w:shd w:fill="F3F6F9"/>
          </w:tcPr>
          <w:p>
            <w:r>
              <w:rPr>
                <w:sz w:val="15"/>
              </w:rPr>
              <w:t>TF-IDF cosine nearest source span.</w:t>
            </w:r>
          </w:p>
        </w:tc>
        <w:tc>
          <w:tcPr>
            <w:tcW w:type="dxa" w:w="3408"/>
            <w:vAlign w:val="top"/>
            <w:shd w:fill="F3F6F9"/>
          </w:tcPr>
          <w:p>
            <w:r>
              <w:rPr>
                <w:sz w:val="15"/>
              </w:rPr>
              <w:t>Sparse lexical retrieval.</w:t>
            </w:r>
          </w:p>
        </w:tc>
      </w:tr>
      <w:tr>
        <w:tc>
          <w:tcPr>
            <w:tcW w:type="dxa" w:w="3408"/>
            <w:vAlign w:val="top"/>
          </w:tcPr>
          <w:p>
            <w:r>
              <w:rPr>
                <w:sz w:val="15"/>
              </w:rPr>
              <w:t>B2</w:t>
            </w:r>
          </w:p>
        </w:tc>
        <w:tc>
          <w:tcPr>
            <w:tcW w:type="dxa" w:w="3408"/>
            <w:vAlign w:val="top"/>
          </w:tcPr>
          <w:p>
            <w:r>
              <w:rPr>
                <w:sz w:val="15"/>
              </w:rPr>
              <w:t>BM25 nearest source span.</w:t>
            </w:r>
          </w:p>
        </w:tc>
        <w:tc>
          <w:tcPr>
            <w:tcW w:type="dxa" w:w="3408"/>
            <w:vAlign w:val="top"/>
          </w:tcPr>
          <w:p>
            <w:r>
              <w:rPr>
                <w:sz w:val="15"/>
              </w:rPr>
              <w:t>Standard term-weighted retrieval.</w:t>
            </w:r>
          </w:p>
        </w:tc>
      </w:tr>
      <w:tr>
        <w:tc>
          <w:tcPr>
            <w:tcW w:type="dxa" w:w="3408"/>
            <w:vAlign w:val="top"/>
            <w:shd w:fill="F3F6F9"/>
          </w:tcPr>
          <w:p>
            <w:r>
              <w:rPr>
                <w:sz w:val="15"/>
              </w:rPr>
              <w:t>B3</w:t>
            </w:r>
          </w:p>
        </w:tc>
        <w:tc>
          <w:tcPr>
            <w:tcW w:type="dxa" w:w="3408"/>
            <w:vAlign w:val="top"/>
            <w:shd w:fill="F3F6F9"/>
          </w:tcPr>
          <w:p>
            <w:r>
              <w:rPr>
                <w:sz w:val="15"/>
              </w:rPr>
              <w:t>MiniLM nearest source span.</w:t>
            </w:r>
          </w:p>
        </w:tc>
        <w:tc>
          <w:tcPr>
            <w:tcW w:type="dxa" w:w="3408"/>
            <w:vAlign w:val="top"/>
            <w:shd w:fill="F3F6F9"/>
          </w:tcPr>
          <w:p>
            <w:r>
              <w:rPr>
                <w:sz w:val="15"/>
              </w:rPr>
              <w:t>Compact dense retrieval.</w:t>
            </w:r>
          </w:p>
        </w:tc>
      </w:tr>
      <w:tr>
        <w:tc>
          <w:tcPr>
            <w:tcW w:type="dxa" w:w="3408"/>
            <w:vAlign w:val="top"/>
          </w:tcPr>
          <w:p>
            <w:r>
              <w:rPr>
                <w:sz w:val="15"/>
              </w:rPr>
              <w:t>B4</w:t>
            </w:r>
          </w:p>
        </w:tc>
        <w:tc>
          <w:tcPr>
            <w:tcW w:type="dxa" w:w="3408"/>
            <w:vAlign w:val="top"/>
          </w:tcPr>
          <w:p>
            <w:r>
              <w:rPr>
                <w:sz w:val="15"/>
              </w:rPr>
              <w:t>E5-small nearest source span.</w:t>
            </w:r>
          </w:p>
        </w:tc>
        <w:tc>
          <w:tcPr>
            <w:tcW w:type="dxa" w:w="3408"/>
            <w:vAlign w:val="top"/>
          </w:tcPr>
          <w:p>
            <w:r>
              <w:rPr>
                <w:sz w:val="15"/>
              </w:rPr>
              <w:t>Alternative dense retrieval.</w:t>
            </w:r>
          </w:p>
        </w:tc>
      </w:tr>
      <w:tr>
        <w:tc>
          <w:tcPr>
            <w:tcW w:type="dxa" w:w="3408"/>
            <w:vAlign w:val="top"/>
            <w:shd w:fill="F3F6F9"/>
          </w:tcPr>
          <w:p>
            <w:r>
              <w:rPr>
                <w:sz w:val="15"/>
              </w:rPr>
              <w:t>B5</w:t>
            </w:r>
          </w:p>
        </w:tc>
        <w:tc>
          <w:tcPr>
            <w:tcW w:type="dxa" w:w="3408"/>
            <w:vAlign w:val="top"/>
            <w:shd w:fill="F3F6F9"/>
          </w:tcPr>
          <w:p>
            <w:r>
              <w:rPr>
                <w:sz w:val="15"/>
              </w:rPr>
              <w:t>Hybrid retrieval without structured alignment.</w:t>
            </w:r>
          </w:p>
        </w:tc>
        <w:tc>
          <w:tcPr>
            <w:tcW w:type="dxa" w:w="3408"/>
            <w:vAlign w:val="top"/>
            <w:shd w:fill="F3F6F9"/>
          </w:tcPr>
          <w:p>
            <w:r>
              <w:rPr>
                <w:sz w:val="15"/>
              </w:rPr>
              <w:t>Tests fusion benefit.</w:t>
            </w:r>
          </w:p>
        </w:tc>
      </w:tr>
      <w:tr>
        <w:tc>
          <w:tcPr>
            <w:tcW w:type="dxa" w:w="3408"/>
            <w:vAlign w:val="top"/>
          </w:tcPr>
          <w:p>
            <w:r>
              <w:rPr>
                <w:sz w:val="15"/>
              </w:rPr>
              <w:t>B6</w:t>
            </w:r>
          </w:p>
        </w:tc>
        <w:tc>
          <w:tcPr>
            <w:tcW w:type="dxa" w:w="3408"/>
            <w:vAlign w:val="top"/>
          </w:tcPr>
          <w:p>
            <w:r>
              <w:rPr>
                <w:sz w:val="15"/>
              </w:rPr>
              <w:t>Best retrieved pair + standard NLI.</w:t>
            </w:r>
          </w:p>
        </w:tc>
        <w:tc>
          <w:tcPr>
            <w:tcW w:type="dxa" w:w="3408"/>
            <w:vAlign w:val="top"/>
          </w:tcPr>
          <w:p>
            <w:r>
              <w:rPr>
                <w:sz w:val="15"/>
              </w:rPr>
              <w:t>Tests whether NLI alone is sufficient.</w:t>
            </w:r>
          </w:p>
        </w:tc>
      </w:tr>
      <w:tr>
        <w:tc>
          <w:tcPr>
            <w:tcW w:type="dxa" w:w="3408"/>
            <w:vAlign w:val="top"/>
            <w:shd w:fill="F3F6F9"/>
          </w:tcPr>
          <w:p>
            <w:r>
              <w:rPr>
                <w:sz w:val="15"/>
              </w:rPr>
              <w:t>B7</w:t>
            </w:r>
          </w:p>
        </w:tc>
        <w:tc>
          <w:tcPr>
            <w:tcW w:type="dxa" w:w="3408"/>
            <w:vAlign w:val="top"/>
            <w:shd w:fill="F3F6F9"/>
          </w:tcPr>
          <w:p>
            <w:r>
              <w:rPr>
                <w:sz w:val="15"/>
              </w:rPr>
              <w:t>Claim-pair encoder without explicit discourse or strength branches.</w:t>
            </w:r>
          </w:p>
        </w:tc>
        <w:tc>
          <w:tcPr>
            <w:tcW w:type="dxa" w:w="3408"/>
            <w:vAlign w:val="top"/>
            <w:shd w:fill="F3F6F9"/>
          </w:tcPr>
          <w:p>
            <w:r>
              <w:rPr>
                <w:sz w:val="15"/>
              </w:rPr>
              <w:t>Core neural baseline.</w:t>
            </w:r>
          </w:p>
        </w:tc>
      </w:tr>
      <w:tr>
        <w:tc>
          <w:tcPr>
            <w:tcW w:type="dxa" w:w="3408"/>
            <w:vAlign w:val="top"/>
          </w:tcPr>
          <w:p>
            <w:r>
              <w:rPr>
                <w:sz w:val="15"/>
              </w:rPr>
              <w:t>B8</w:t>
            </w:r>
          </w:p>
        </w:tc>
        <w:tc>
          <w:tcPr>
            <w:tcW w:type="dxa" w:w="3408"/>
            <w:vAlign w:val="top"/>
          </w:tcPr>
          <w:p>
            <w:r>
              <w:rPr>
                <w:sz w:val="15"/>
              </w:rPr>
              <w:t>Direct small-LLM classification with fixed prompt.</w:t>
            </w:r>
          </w:p>
        </w:tc>
        <w:tc>
          <w:tcPr>
            <w:tcW w:type="dxa" w:w="3408"/>
            <w:vAlign w:val="top"/>
          </w:tcPr>
          <w:p>
            <w:r>
              <w:rPr>
                <w:sz w:val="15"/>
              </w:rPr>
              <w:t>Generative baseline.</w:t>
            </w:r>
          </w:p>
        </w:tc>
      </w:tr>
      <w:tr>
        <w:tc>
          <w:tcPr>
            <w:tcW w:type="dxa" w:w="3408"/>
            <w:vAlign w:val="top"/>
            <w:shd w:fill="F3F6F9"/>
          </w:tcPr>
          <w:p>
            <w:r>
              <w:rPr>
                <w:sz w:val="15"/>
              </w:rPr>
              <w:t>P1</w:t>
            </w:r>
          </w:p>
        </w:tc>
        <w:tc>
          <w:tcPr>
            <w:tcW w:type="dxa" w:w="3408"/>
            <w:vAlign w:val="top"/>
            <w:shd w:fill="F3F6F9"/>
          </w:tcPr>
          <w:p>
            <w:r>
              <w:rPr>
                <w:sz w:val="15"/>
              </w:rPr>
              <w:t>Structured alignment + discourse branch.</w:t>
            </w:r>
          </w:p>
        </w:tc>
        <w:tc>
          <w:tcPr>
            <w:tcW w:type="dxa" w:w="3408"/>
            <w:vAlign w:val="top"/>
            <w:shd w:fill="F3F6F9"/>
          </w:tcPr>
          <w:p>
            <w:r>
              <w:rPr>
                <w:sz w:val="15"/>
              </w:rPr>
              <w:t>Proposed context model.</w:t>
            </w:r>
          </w:p>
        </w:tc>
      </w:tr>
      <w:tr>
        <w:tc>
          <w:tcPr>
            <w:tcW w:type="dxa" w:w="3408"/>
            <w:vAlign w:val="top"/>
          </w:tcPr>
          <w:p>
            <w:r>
              <w:rPr>
                <w:sz w:val="15"/>
              </w:rPr>
              <w:t>P2</w:t>
            </w:r>
          </w:p>
        </w:tc>
        <w:tc>
          <w:tcPr>
            <w:tcW w:type="dxa" w:w="3408"/>
            <w:vAlign w:val="top"/>
          </w:tcPr>
          <w:p>
            <w:r>
              <w:rPr>
                <w:sz w:val="15"/>
              </w:rPr>
              <w:t>P1 + signed strength branch.</w:t>
            </w:r>
          </w:p>
        </w:tc>
        <w:tc>
          <w:tcPr>
            <w:tcW w:type="dxa" w:w="3408"/>
            <w:vAlign w:val="top"/>
          </w:tcPr>
          <w:p>
            <w:r>
              <w:rPr>
                <w:sz w:val="15"/>
              </w:rPr>
              <w:t>Proposed complete pair model.</w:t>
            </w:r>
          </w:p>
        </w:tc>
      </w:tr>
      <w:tr>
        <w:tc>
          <w:tcPr>
            <w:tcW w:type="dxa" w:w="3408"/>
            <w:vAlign w:val="top"/>
            <w:shd w:fill="F3F6F9"/>
          </w:tcPr>
          <w:p>
            <w:r>
              <w:rPr>
                <w:sz w:val="15"/>
              </w:rPr>
              <w:t>P3</w:t>
            </w:r>
          </w:p>
        </w:tc>
        <w:tc>
          <w:tcPr>
            <w:tcW w:type="dxa" w:w="3408"/>
            <w:vAlign w:val="top"/>
            <w:shd w:fill="F3F6F9"/>
          </w:tcPr>
          <w:p>
            <w:r>
              <w:rPr>
                <w:sz w:val="15"/>
              </w:rPr>
              <w:t>P2 + graph constraints + abstention.</w:t>
            </w:r>
          </w:p>
        </w:tc>
        <w:tc>
          <w:tcPr>
            <w:tcW w:type="dxa" w:w="3408"/>
            <w:vAlign w:val="top"/>
            <w:shd w:fill="F3F6F9"/>
          </w:tcPr>
          <w:p>
            <w:r>
              <w:rPr>
                <w:sz w:val="15"/>
              </w:rPr>
              <w:t>Full proposed framework.</w:t>
            </w:r>
          </w:p>
        </w:tc>
      </w:tr>
    </w:tbl>
    <w:p>
      <w:pPr>
        <w:pStyle w:val="Heading2"/>
      </w:pPr>
      <w:r>
        <w:t>15.3 CPU-compatible model choices</w:t>
      </w:r>
    </w:p>
    <w:p>
      <w:pPr>
        <w:pStyle w:val="ListBullet"/>
      </w:pPr>
      <w:r>
        <w:t>sentence-transformers/all-MiniLM-L6-v2</w:t>
      </w:r>
    </w:p>
    <w:p>
      <w:pPr>
        <w:pStyle w:val="ListBullet"/>
      </w:pPr>
      <w:r>
        <w:t>intfloat/e5-small-v2</w:t>
      </w:r>
    </w:p>
    <w:p>
      <w:pPr>
        <w:pStyle w:val="ListBullet"/>
      </w:pPr>
      <w:r>
        <w:t>DistilRoBERTa or DeBERTa-v3-small if memory permits</w:t>
      </w:r>
    </w:p>
    <w:p>
      <w:pPr>
        <w:pStyle w:val="ListBullet"/>
      </w:pPr>
      <w:r>
        <w:t>Logistic Regression</w:t>
      </w:r>
    </w:p>
    <w:p>
      <w:pPr>
        <w:pStyle w:val="ListBullet"/>
      </w:pPr>
      <w:r>
        <w:t>Linear SVM</w:t>
      </w:r>
    </w:p>
    <w:p>
      <w:pPr>
        <w:pStyle w:val="ListBullet"/>
      </w:pPr>
      <w:r>
        <w:t>HistGradientBoosting or LightGBM</w:t>
      </w:r>
    </w:p>
    <w:p>
      <w:pPr>
        <w:pStyle w:val="ListBullet"/>
      </w:pPr>
      <w:r>
        <w:t>NetworkX for graph representation</w:t>
      </w:r>
    </w:p>
    <w:p>
      <w:pPr>
        <w:pStyle w:val="ListBullet"/>
      </w:pPr>
      <w:r>
        <w:t>ONNX Runtime where conversion is validated</w:t>
      </w:r>
    </w:p>
    <w:p>
      <w:r>
        <w:t>Large LLMs are not required for the main experiment. A small LLM can serve as a direct-classification baseline or annotation assistant, but not as the sole detector or adjudicator.</w:t>
      </w:r>
    </w:p>
    <w:p>
      <w:pPr>
        <w:pStyle w:val="Heading1"/>
      </w:pPr>
      <w:r>
        <w:t>16. Confidence, calibration, and abstention</w:t>
      </w:r>
    </w:p>
    <w:p>
      <w:pPr>
        <w:pStyle w:val="Heading2"/>
      </w:pPr>
      <w:r>
        <w:t>16.1 Confidence decomposition</w:t>
      </w:r>
    </w:p>
    <w:p>
      <w:pPr>
        <w:spacing w:before="80" w:after="120"/>
        <w:ind w:left="259" w:right="259"/>
        <w:shd w:fill="EEF2F5"/>
      </w:pPr>
      <w:r>
        <w:rPr>
          <w:rFonts w:ascii="Consolas" w:hAnsi="Consolas"/>
          <w:color w:val="17202A"/>
          <w:sz w:val="15"/>
        </w:rPr>
        <w:t>C_align = f(retrieval margin, span overlap, entity agreement, NLI compatibility, order consistency)</w:t>
      </w:r>
    </w:p>
    <w:p>
      <w:pPr>
        <w:spacing w:before="80" w:after="120"/>
        <w:ind w:left="259" w:right="259"/>
        <w:shd w:fill="EEF2F5"/>
      </w:pPr>
      <w:r>
        <w:rPr>
          <w:rFonts w:ascii="Consolas" w:hAnsi="Consolas"/>
          <w:color w:val="17202A"/>
          <w:sz w:val="15"/>
        </w:rPr>
        <w:t>C_trans = g(pair representation, discourse evidence, strength margin, class probability, evidence coverage)</w:t>
      </w:r>
    </w:p>
    <w:p>
      <w:pPr>
        <w:pStyle w:val="Heading2"/>
      </w:pPr>
      <w:r>
        <w:t>16.2 Joint decision</w:t>
      </w:r>
    </w:p>
    <w:p>
      <w:pPr>
        <w:spacing w:before="80" w:after="120"/>
        <w:ind w:left="259" w:right="259"/>
        <w:shd w:fill="EEF2F5"/>
      </w:pPr>
      <w:r>
        <w:rPr>
          <w:rFonts w:ascii="Consolas" w:hAnsi="Consolas"/>
          <w:color w:val="17202A"/>
          <w:sz w:val="15"/>
        </w:rPr>
        <w:t>C_joint = C_align^η · C_trans^(1-η)</w:t>
      </w:r>
    </w:p>
    <w:p>
      <w:r>
        <w:t>η is selected on development data. Also compare minimum confidence: C_joint = min(C_align, C_trans), which is more conservative.</w:t>
      </w:r>
    </w:p>
    <w:p>
      <w:pPr>
        <w:pStyle w:val="Heading2"/>
      </w:pPr>
      <w:r>
        <w:t>16.3 Abstention rule</w:t>
      </w:r>
    </w:p>
    <w:p>
      <w:pPr>
        <w:spacing w:before="80" w:after="120"/>
        <w:ind w:left="259" w:right="259"/>
        <w:shd w:fill="EEF2F5"/>
      </w:pPr>
      <w:r>
        <w:rPr>
          <w:rFonts w:ascii="Consolas" w:hAnsi="Consolas"/>
          <w:color w:val="17202A"/>
          <w:sz w:val="15"/>
        </w:rPr>
        <w:t>abstain if:</w:t>
        <w:br/>
        <w:t>C_align &lt; τ_align</w:t>
        <w:br/>
        <w:t>or C_trans &lt; τ_trans</w:t>
        <w:br/>
        <w:t>or evidence_coverage &lt; τ_cov</w:t>
        <w:br/>
        <w:t>or attribution is unresolved</w:t>
        <w:br/>
        <w:t>or predicted class is unknown / held-out</w:t>
        <w:br/>
        <w:t>or graph constraints are violated</w:t>
      </w:r>
    </w:p>
    <w:p>
      <w:pPr>
        <w:pStyle w:val="Heading2"/>
      </w:pPr>
      <w:r>
        <w:t>16.4 Selective risk</w:t>
      </w:r>
    </w:p>
    <w:p>
      <w:pPr>
        <w:spacing w:before="80" w:after="120"/>
        <w:ind w:left="259" w:right="259"/>
        <w:shd w:fill="EEF2F5"/>
      </w:pPr>
      <w:r>
        <w:rPr>
          <w:rFonts w:ascii="Consolas" w:hAnsi="Consolas"/>
          <w:color w:val="17202A"/>
          <w:sz w:val="15"/>
        </w:rPr>
        <w:t>coverage(τ) = |{i : C_i ≥ τ}| / N</w:t>
      </w:r>
    </w:p>
    <w:p>
      <w:pPr>
        <w:spacing w:before="80" w:after="120"/>
        <w:ind w:left="259" w:right="259"/>
        <w:shd w:fill="EEF2F5"/>
      </w:pPr>
      <w:r>
        <w:rPr>
          <w:rFonts w:ascii="Consolas" w:hAnsi="Consolas"/>
          <w:color w:val="17202A"/>
          <w:sz w:val="15"/>
        </w:rPr>
        <w:t>risk(τ) = errors among accepted predictions / accepted predictions</w:t>
      </w:r>
    </w:p>
    <w:p>
      <w:r>
        <w:t>Plot risk against coverage. The intended result is decreasing risk as the system abstains on uncertain cases. Thresholds must be selected on development data and frozen before test evaluation.</w:t>
      </w:r>
    </w:p>
    <w:p>
      <w:pPr>
        <w:pStyle w:val="Heading1"/>
      </w:pPr>
      <w:r>
        <w:t>17. Evaluation metrics and formulas</w:t>
      </w:r>
    </w:p>
    <w:p>
      <w:pPr>
        <w:pStyle w:val="Heading2"/>
      </w:pPr>
      <w:r>
        <w:t>17.1 Retrieval</w:t>
      </w:r>
    </w:p>
    <w:p>
      <w:pPr>
        <w:spacing w:before="80" w:after="120"/>
        <w:ind w:left="259" w:right="259"/>
        <w:shd w:fill="EEF2F5"/>
      </w:pPr>
      <w:r>
        <w:rPr>
          <w:rFonts w:ascii="Consolas" w:hAnsi="Consolas"/>
          <w:color w:val="17202A"/>
          <w:sz w:val="15"/>
        </w:rPr>
        <w:t>Recall@k = (queries with a relevant source span in top k) / total queries</w:t>
      </w:r>
    </w:p>
    <w:p>
      <w:pPr>
        <w:spacing w:before="80" w:after="120"/>
        <w:ind w:left="259" w:right="259"/>
        <w:shd w:fill="EEF2F5"/>
      </w:pPr>
      <w:r>
        <w:rPr>
          <w:rFonts w:ascii="Consolas" w:hAnsi="Consolas"/>
          <w:color w:val="17202A"/>
          <w:sz w:val="15"/>
        </w:rPr>
        <w:t>MRR = (1/N) Σᵢ 1 / rankᵢ</w:t>
      </w:r>
    </w:p>
    <w:p>
      <w:pPr>
        <w:spacing w:before="80" w:after="120"/>
        <w:ind w:left="259" w:right="259"/>
        <w:shd w:fill="EEF2F5"/>
      </w:pPr>
      <w:r>
        <w:rPr>
          <w:rFonts w:ascii="Consolas" w:hAnsi="Consolas"/>
          <w:color w:val="17202A"/>
          <w:sz w:val="15"/>
        </w:rPr>
        <w:t>DCG@k = Σᵢ₌₁ᵏ (2^relᵢ - 1) / log₂(i+1);  nDCG@k = DCG@k / IDCG@k</w:t>
      </w:r>
    </w:p>
    <w:p>
      <w:pPr>
        <w:pStyle w:val="Heading2"/>
      </w:pPr>
      <w:r>
        <w:t>17.2 Span alignment</w:t>
      </w:r>
    </w:p>
    <w:p>
      <w:pPr>
        <w:spacing w:before="80" w:after="120"/>
        <w:ind w:left="259" w:right="259"/>
        <w:shd w:fill="EEF2F5"/>
      </w:pPr>
      <w:r>
        <w:rPr>
          <w:rFonts w:ascii="Consolas" w:hAnsi="Consolas"/>
          <w:color w:val="17202A"/>
          <w:sz w:val="15"/>
        </w:rPr>
        <w:t>Precision_span = |pred ∩ gold| / |pred|</w:t>
      </w:r>
    </w:p>
    <w:p>
      <w:pPr>
        <w:spacing w:before="80" w:after="120"/>
        <w:ind w:left="259" w:right="259"/>
        <w:shd w:fill="EEF2F5"/>
      </w:pPr>
      <w:r>
        <w:rPr>
          <w:rFonts w:ascii="Consolas" w:hAnsi="Consolas"/>
          <w:color w:val="17202A"/>
          <w:sz w:val="15"/>
        </w:rPr>
        <w:t>Recall_span = |pred ∩ gold| / |gold|</w:t>
      </w:r>
    </w:p>
    <w:p>
      <w:pPr>
        <w:spacing w:before="80" w:after="120"/>
        <w:ind w:left="259" w:right="259"/>
        <w:shd w:fill="EEF2F5"/>
      </w:pPr>
      <w:r>
        <w:rPr>
          <w:rFonts w:ascii="Consolas" w:hAnsi="Consolas"/>
          <w:color w:val="17202A"/>
          <w:sz w:val="15"/>
        </w:rPr>
        <w:t>F1_span = 2PR / (P+R)</w:t>
      </w:r>
    </w:p>
    <w:p>
      <w:pPr>
        <w:spacing w:before="80" w:after="120"/>
        <w:ind w:left="259" w:right="259"/>
        <w:shd w:fill="EEF2F5"/>
      </w:pPr>
      <w:r>
        <w:rPr>
          <w:rFonts w:ascii="Consolas" w:hAnsi="Consolas"/>
          <w:color w:val="17202A"/>
          <w:sz w:val="15"/>
        </w:rPr>
        <w:t>IoU = |pred ∩ gold| / |pred ∪ gold|</w:t>
      </w:r>
    </w:p>
    <w:p>
      <w:pPr>
        <w:pStyle w:val="Heading2"/>
      </w:pPr>
      <w:r>
        <w:t>17.3 Classification</w:t>
      </w:r>
    </w:p>
    <w:p>
      <w:pPr>
        <w:spacing w:before="80" w:after="120"/>
        <w:ind w:left="259" w:right="259"/>
        <w:shd w:fill="EEF2F5"/>
      </w:pPr>
      <w:r>
        <w:rPr>
          <w:rFonts w:ascii="Consolas" w:hAnsi="Consolas"/>
          <w:color w:val="17202A"/>
          <w:sz w:val="15"/>
        </w:rPr>
        <w:t>Precision_c = TP_c / (TP_c + FP_c)</w:t>
      </w:r>
    </w:p>
    <w:p>
      <w:pPr>
        <w:spacing w:before="80" w:after="120"/>
        <w:ind w:left="259" w:right="259"/>
        <w:shd w:fill="EEF2F5"/>
      </w:pPr>
      <w:r>
        <w:rPr>
          <w:rFonts w:ascii="Consolas" w:hAnsi="Consolas"/>
          <w:color w:val="17202A"/>
          <w:sz w:val="15"/>
        </w:rPr>
        <w:t>Recall_c = TP_c / (TP_c + FN_c)</w:t>
      </w:r>
    </w:p>
    <w:p>
      <w:pPr>
        <w:spacing w:before="80" w:after="120"/>
        <w:ind w:left="259" w:right="259"/>
        <w:shd w:fill="EEF2F5"/>
      </w:pPr>
      <w:r>
        <w:rPr>
          <w:rFonts w:ascii="Consolas" w:hAnsi="Consolas"/>
          <w:color w:val="17202A"/>
          <w:sz w:val="15"/>
        </w:rPr>
        <w:t>F1_c = 2·Precision_c·Recall_c / (Precision_c + Recall_c)</w:t>
      </w:r>
    </w:p>
    <w:p>
      <w:pPr>
        <w:spacing w:before="80" w:after="120"/>
        <w:ind w:left="259" w:right="259"/>
        <w:shd w:fill="EEF2F5"/>
      </w:pPr>
      <w:r>
        <w:rPr>
          <w:rFonts w:ascii="Consolas" w:hAnsi="Consolas"/>
          <w:color w:val="17202A"/>
          <w:sz w:val="15"/>
        </w:rPr>
        <w:t>Macro F1 = (1/C) Σ_c F1_c</w:t>
      </w:r>
    </w:p>
    <w:p>
      <w:pPr>
        <w:pStyle w:val="Heading2"/>
      </w:pPr>
      <w:r>
        <w:t>17.4 Calibration</w:t>
      </w:r>
    </w:p>
    <w:p>
      <w:pPr>
        <w:spacing w:before="80" w:after="120"/>
        <w:ind w:left="259" w:right="259"/>
        <w:shd w:fill="EEF2F5"/>
      </w:pPr>
      <w:r>
        <w:rPr>
          <w:rFonts w:ascii="Consolas" w:hAnsi="Consolas"/>
          <w:color w:val="17202A"/>
          <w:sz w:val="15"/>
        </w:rPr>
        <w:t>Brier = (1/N) Σᵢ Σ_c (pᵢc - yᵢc)²</w:t>
      </w:r>
    </w:p>
    <w:p>
      <w:pPr>
        <w:spacing w:before="80" w:after="120"/>
        <w:ind w:left="259" w:right="259"/>
        <w:shd w:fill="EEF2F5"/>
      </w:pPr>
      <w:r>
        <w:rPr>
          <w:rFonts w:ascii="Consolas" w:hAnsi="Consolas"/>
          <w:color w:val="17202A"/>
          <w:sz w:val="15"/>
        </w:rPr>
        <w:t>ECE = Σ_b (|B_b|/N) · |acc(B_b) - conf(B_b)|</w:t>
      </w:r>
    </w:p>
    <w:p>
      <w:pPr>
        <w:pStyle w:val="Heading2"/>
      </w:pPr>
      <w:r>
        <w:t>17.5 Graph quality</w:t>
      </w:r>
    </w:p>
    <w:p>
      <w:pPr>
        <w:spacing w:before="80" w:after="120"/>
        <w:ind w:left="259" w:right="259"/>
        <w:shd w:fill="EEF2F5"/>
      </w:pPr>
      <w:r>
        <w:rPr>
          <w:rFonts w:ascii="Consolas" w:hAnsi="Consolas"/>
          <w:color w:val="17202A"/>
          <w:sz w:val="15"/>
        </w:rPr>
        <w:t>Edge precision = correct predicted edges / predicted edges</w:t>
      </w:r>
    </w:p>
    <w:p>
      <w:pPr>
        <w:spacing w:before="80" w:after="120"/>
        <w:ind w:left="259" w:right="259"/>
        <w:shd w:fill="EEF2F5"/>
      </w:pPr>
      <w:r>
        <w:rPr>
          <w:rFonts w:ascii="Consolas" w:hAnsi="Consolas"/>
          <w:color w:val="17202A"/>
          <w:sz w:val="15"/>
        </w:rPr>
        <w:t>Edge recall = correct predicted edges / gold edges</w:t>
      </w:r>
    </w:p>
    <w:p>
      <w:pPr>
        <w:spacing w:before="80" w:after="120"/>
        <w:ind w:left="259" w:right="259"/>
        <w:shd w:fill="EEF2F5"/>
      </w:pPr>
      <w:r>
        <w:rPr>
          <w:rFonts w:ascii="Consolas" w:hAnsi="Consolas"/>
          <w:color w:val="17202A"/>
          <w:sz w:val="15"/>
        </w:rPr>
        <w:t>Unsupported-edge rate = unsupported predicted edges / all predicted edges</w:t>
      </w:r>
    </w:p>
    <w:p>
      <w:pPr>
        <w:spacing w:before="80" w:after="120"/>
        <w:ind w:left="259" w:right="259"/>
        <w:shd w:fill="EEF2F5"/>
      </w:pPr>
      <w:r>
        <w:rPr>
          <w:rFonts w:ascii="Consolas" w:hAnsi="Consolas"/>
          <w:color w:val="17202A"/>
          <w:sz w:val="15"/>
        </w:rPr>
        <w:t>Dangling-edge rate = invalid or ungrounded edges / all predicted edges</w:t>
      </w:r>
    </w:p>
    <w:p>
      <w:pPr>
        <w:pStyle w:val="Heading2"/>
      </w:pPr>
      <w:r>
        <w:t>17.6 Primary endpoint hierarchy</w:t>
      </w:r>
    </w:p>
    <w:p>
      <w:pPr>
        <w:pStyle w:val="ListNumber"/>
      </w:pPr>
      <w:r>
        <w:t>Source-span Recall@5 and token F1.</w:t>
      </w:r>
    </w:p>
    <w:p>
      <w:pPr>
        <w:pStyle w:val="ListNumber"/>
      </w:pPr>
      <w:r>
        <w:t>Macro F1 across transformation classes.</w:t>
      </w:r>
    </w:p>
    <w:p>
      <w:pPr>
        <w:pStyle w:val="ListNumber"/>
      </w:pPr>
      <w:r>
        <w:t>Directional semantic-strength accuracy.</w:t>
      </w:r>
    </w:p>
    <w:p>
      <w:pPr>
        <w:pStyle w:val="ListNumber"/>
      </w:pPr>
      <w:r>
        <w:t>Incorrect high-confidence transformation rate.</w:t>
      </w:r>
    </w:p>
    <w:p>
      <w:pPr>
        <w:pStyle w:val="ListNumber"/>
      </w:pPr>
      <w:r>
        <w:t>Risk at fixed coverage levels.</w:t>
      </w:r>
    </w:p>
    <w:p>
      <w:pPr>
        <w:pStyle w:val="ListNumber"/>
      </w:pPr>
      <w:r>
        <w:t>Unsupported-edge rate.</w:t>
      </w:r>
    </w:p>
    <w:p>
      <w:pPr>
        <w:pStyle w:val="Heading1"/>
      </w:pPr>
      <w:r>
        <w:t>18. Experimental programme</w:t>
      </w:r>
    </w:p>
    <w:p>
      <w:pPr>
        <w:pStyle w:val="Heading2"/>
      </w:pPr>
      <w:r>
        <w:t>18.1 Experiment groups</w:t>
      </w:r>
    </w:p>
    <w:tbl>
      <w:tblPr>
        <w:tblStyle w:val="TableGrid"/>
        <w:tblW w:type="auto" w:w="0"/>
        <w:jc w:val="center"/>
        <w:tblLook w:firstColumn="1" w:firstRow="1" w:lastColumn="0" w:lastRow="0" w:noHBand="0" w:noVBand="1" w:val="04A0"/>
      </w:tblPr>
      <w:tblGrid>
        <w:gridCol w:w="3408"/>
        <w:gridCol w:w="3408"/>
        <w:gridCol w:w="3408"/>
      </w:tblGrid>
      <w:tr>
        <w:trPr>
          <w:tblHeader/>
        </w:trPr>
        <w:tc>
          <w:tcPr>
            <w:tcW w:type="dxa" w:w="3408"/>
            <w:shd w:fill="17324D"/>
          </w:tcPr>
          <w:p>
            <w:r>
              <w:rPr>
                <w:b/>
                <w:color w:val="FFFFFF"/>
                <w:sz w:val="16"/>
              </w:rPr>
              <w:t>Experiment</w:t>
            </w:r>
          </w:p>
        </w:tc>
        <w:tc>
          <w:tcPr>
            <w:tcW w:type="dxa" w:w="3408"/>
            <w:shd w:fill="17324D"/>
          </w:tcPr>
          <w:p>
            <w:r>
              <w:rPr>
                <w:b/>
                <w:color w:val="FFFFFF"/>
                <w:sz w:val="16"/>
              </w:rPr>
              <w:t>Question</w:t>
            </w:r>
          </w:p>
        </w:tc>
        <w:tc>
          <w:tcPr>
            <w:tcW w:type="dxa" w:w="3408"/>
            <w:shd w:fill="17324D"/>
          </w:tcPr>
          <w:p>
            <w:r>
              <w:rPr>
                <w:b/>
                <w:color w:val="FFFFFF"/>
                <w:sz w:val="16"/>
              </w:rPr>
              <w:t>Comparison</w:t>
            </w:r>
          </w:p>
        </w:tc>
      </w:tr>
      <w:tr>
        <w:tc>
          <w:tcPr>
            <w:tcW w:type="dxa" w:w="3408"/>
            <w:vAlign w:val="top"/>
          </w:tcPr>
          <w:p>
            <w:r>
              <w:rPr>
                <w:sz w:val="15"/>
              </w:rPr>
              <w:t>E1 Retrieval</w:t>
            </w:r>
          </w:p>
        </w:tc>
        <w:tc>
          <w:tcPr>
            <w:tcW w:type="dxa" w:w="3408"/>
            <w:vAlign w:val="top"/>
          </w:tcPr>
          <w:p>
            <w:r>
              <w:rPr>
                <w:sz w:val="15"/>
              </w:rPr>
              <w:t>Which retriever best finds supporting spans?</w:t>
            </w:r>
          </w:p>
        </w:tc>
        <w:tc>
          <w:tcPr>
            <w:tcW w:type="dxa" w:w="3408"/>
            <w:vAlign w:val="top"/>
          </w:tcPr>
          <w:p>
            <w:r>
              <w:rPr>
                <w:sz w:val="15"/>
              </w:rPr>
              <w:t>TF-IDF, BM25, MiniLM, E5-small, hybrid, RRF.</w:t>
            </w:r>
          </w:p>
        </w:tc>
      </w:tr>
      <w:tr>
        <w:tc>
          <w:tcPr>
            <w:tcW w:type="dxa" w:w="3408"/>
            <w:vAlign w:val="top"/>
            <w:shd w:fill="F3F6F9"/>
          </w:tcPr>
          <w:p>
            <w:r>
              <w:rPr>
                <w:sz w:val="15"/>
              </w:rPr>
              <w:t>E2 Local alignment</w:t>
            </w:r>
          </w:p>
        </w:tc>
        <w:tc>
          <w:tcPr>
            <w:tcW w:type="dxa" w:w="3408"/>
            <w:vAlign w:val="top"/>
            <w:shd w:fill="F3F6F9"/>
          </w:tcPr>
          <w:p>
            <w:r>
              <w:rPr>
                <w:sz w:val="15"/>
              </w:rPr>
              <w:t>Does word-level local alignment improve quote-span precision?</w:t>
            </w:r>
          </w:p>
        </w:tc>
        <w:tc>
          <w:tcPr>
            <w:tcW w:type="dxa" w:w="3408"/>
            <w:vAlign w:val="top"/>
            <w:shd w:fill="F3F6F9"/>
          </w:tcPr>
          <w:p>
            <w:r>
              <w:rPr>
                <w:sz w:val="15"/>
              </w:rPr>
              <w:t>Retriever span versus Smith–Waterman refinement.</w:t>
            </w:r>
          </w:p>
        </w:tc>
      </w:tr>
      <w:tr>
        <w:tc>
          <w:tcPr>
            <w:tcW w:type="dxa" w:w="3408"/>
            <w:vAlign w:val="top"/>
          </w:tcPr>
          <w:p>
            <w:r>
              <w:rPr>
                <w:sz w:val="15"/>
              </w:rPr>
              <w:t>E3 Structured alignment</w:t>
            </w:r>
          </w:p>
        </w:tc>
        <w:tc>
          <w:tcPr>
            <w:tcW w:type="dxa" w:w="3408"/>
            <w:vAlign w:val="top"/>
          </w:tcPr>
          <w:p>
            <w:r>
              <w:rPr>
                <w:sz w:val="15"/>
              </w:rPr>
              <w:t>Are split/merge and order constraints useful?</w:t>
            </w:r>
          </w:p>
        </w:tc>
        <w:tc>
          <w:tcPr>
            <w:tcW w:type="dxa" w:w="3408"/>
            <w:vAlign w:val="top"/>
          </w:tcPr>
          <w:p>
            <w:r>
              <w:rPr>
                <w:sz w:val="15"/>
              </w:rPr>
              <w:t>Independent pair classification versus structured objective.</w:t>
            </w:r>
          </w:p>
        </w:tc>
      </w:tr>
      <w:tr>
        <w:tc>
          <w:tcPr>
            <w:tcW w:type="dxa" w:w="3408"/>
            <w:vAlign w:val="top"/>
            <w:shd w:fill="F3F6F9"/>
          </w:tcPr>
          <w:p>
            <w:r>
              <w:rPr>
                <w:sz w:val="15"/>
              </w:rPr>
              <w:t>E4 Discourse ablation</w:t>
            </w:r>
          </w:p>
        </w:tc>
        <w:tc>
          <w:tcPr>
            <w:tcW w:type="dxa" w:w="3408"/>
            <w:vAlign w:val="top"/>
            <w:shd w:fill="F3F6F9"/>
          </w:tcPr>
          <w:p>
            <w:r>
              <w:rPr>
                <w:sz w:val="15"/>
              </w:rPr>
              <w:t>Which context features contribute?</w:t>
            </w:r>
          </w:p>
        </w:tc>
        <w:tc>
          <w:tcPr>
            <w:tcW w:type="dxa" w:w="3408"/>
            <w:vAlign w:val="top"/>
            <w:shd w:fill="F3F6F9"/>
          </w:tcPr>
          <w:p>
            <w:r>
              <w:rPr>
                <w:sz w:val="15"/>
              </w:rPr>
              <w:t>Remove each discourse feature family.</w:t>
            </w:r>
          </w:p>
        </w:tc>
      </w:tr>
      <w:tr>
        <w:tc>
          <w:tcPr>
            <w:tcW w:type="dxa" w:w="3408"/>
            <w:vAlign w:val="top"/>
          </w:tcPr>
          <w:p>
            <w:r>
              <w:rPr>
                <w:sz w:val="15"/>
              </w:rPr>
              <w:t>E5 Strength model</w:t>
            </w:r>
          </w:p>
        </w:tc>
        <w:tc>
          <w:tcPr>
            <w:tcW w:type="dxa" w:w="3408"/>
            <w:vAlign w:val="top"/>
          </w:tcPr>
          <w:p>
            <w:r>
              <w:rPr>
                <w:sz w:val="15"/>
              </w:rPr>
              <w:t>Does multidimensional signed strength outperform NLI?</w:t>
            </w:r>
          </w:p>
        </w:tc>
        <w:tc>
          <w:tcPr>
            <w:tcW w:type="dxa" w:w="3408"/>
            <w:vAlign w:val="top"/>
          </w:tcPr>
          <w:p>
            <w:r>
              <w:rPr>
                <w:sz w:val="15"/>
              </w:rPr>
              <w:t>NLI, pair encoder, ordinal features, combined model.</w:t>
            </w:r>
          </w:p>
        </w:tc>
      </w:tr>
      <w:tr>
        <w:tc>
          <w:tcPr>
            <w:tcW w:type="dxa" w:w="3408"/>
            <w:vAlign w:val="top"/>
            <w:shd w:fill="F3F6F9"/>
          </w:tcPr>
          <w:p>
            <w:r>
              <w:rPr>
                <w:sz w:val="15"/>
              </w:rPr>
              <w:t>E6 Graph constraints</w:t>
            </w:r>
          </w:p>
        </w:tc>
        <w:tc>
          <w:tcPr>
            <w:tcW w:type="dxa" w:w="3408"/>
            <w:vAlign w:val="top"/>
            <w:shd w:fill="F3F6F9"/>
          </w:tcPr>
          <w:p>
            <w:r>
              <w:rPr>
                <w:sz w:val="15"/>
              </w:rPr>
              <w:t>Do constraints reduce unsupported edges?</w:t>
            </w:r>
          </w:p>
        </w:tc>
        <w:tc>
          <w:tcPr>
            <w:tcW w:type="dxa" w:w="3408"/>
            <w:vAlign w:val="top"/>
            <w:shd w:fill="F3F6F9"/>
          </w:tcPr>
          <w:p>
            <w:r>
              <w:rPr>
                <w:sz w:val="15"/>
              </w:rPr>
              <w:t>Graph with and without constraints.</w:t>
            </w:r>
          </w:p>
        </w:tc>
      </w:tr>
      <w:tr>
        <w:tc>
          <w:tcPr>
            <w:tcW w:type="dxa" w:w="3408"/>
            <w:vAlign w:val="top"/>
          </w:tcPr>
          <w:p>
            <w:r>
              <w:rPr>
                <w:sz w:val="15"/>
              </w:rPr>
              <w:t>E7 Calibration</w:t>
            </w:r>
          </w:p>
        </w:tc>
        <w:tc>
          <w:tcPr>
            <w:tcW w:type="dxa" w:w="3408"/>
            <w:vAlign w:val="top"/>
          </w:tcPr>
          <w:p>
            <w:r>
              <w:rPr>
                <w:sz w:val="15"/>
              </w:rPr>
              <w:t>Which calibration works?</w:t>
            </w:r>
          </w:p>
        </w:tc>
        <w:tc>
          <w:tcPr>
            <w:tcW w:type="dxa" w:w="3408"/>
            <w:vAlign w:val="top"/>
          </w:tcPr>
          <w:p>
            <w:r>
              <w:rPr>
                <w:sz w:val="15"/>
              </w:rPr>
              <w:t>Raw, temperature scaling, isotonic, Platt where applicable.</w:t>
            </w:r>
          </w:p>
        </w:tc>
      </w:tr>
      <w:tr>
        <w:tc>
          <w:tcPr>
            <w:tcW w:type="dxa" w:w="3408"/>
            <w:vAlign w:val="top"/>
            <w:shd w:fill="F3F6F9"/>
          </w:tcPr>
          <w:p>
            <w:r>
              <w:rPr>
                <w:sz w:val="15"/>
              </w:rPr>
              <w:t>E8 Abstention</w:t>
            </w:r>
          </w:p>
        </w:tc>
        <w:tc>
          <w:tcPr>
            <w:tcW w:type="dxa" w:w="3408"/>
            <w:vAlign w:val="top"/>
            <w:shd w:fill="F3F6F9"/>
          </w:tcPr>
          <w:p>
            <w:r>
              <w:rPr>
                <w:sz w:val="15"/>
              </w:rPr>
              <w:t>Can risk be reduced predictably?</w:t>
            </w:r>
          </w:p>
        </w:tc>
        <w:tc>
          <w:tcPr>
            <w:tcW w:type="dxa" w:w="3408"/>
            <w:vAlign w:val="top"/>
            <w:shd w:fill="F3F6F9"/>
          </w:tcPr>
          <w:p>
            <w:r>
              <w:rPr>
                <w:sz w:val="15"/>
              </w:rPr>
              <w:t>Thresholds and unknown-transform rejection.</w:t>
            </w:r>
          </w:p>
        </w:tc>
      </w:tr>
      <w:tr>
        <w:tc>
          <w:tcPr>
            <w:tcW w:type="dxa" w:w="3408"/>
            <w:vAlign w:val="top"/>
          </w:tcPr>
          <w:p>
            <w:r>
              <w:rPr>
                <w:sz w:val="15"/>
              </w:rPr>
              <w:t>E9 Generalization</w:t>
            </w:r>
          </w:p>
        </w:tc>
        <w:tc>
          <w:tcPr>
            <w:tcW w:type="dxa" w:w="3408"/>
            <w:vAlign w:val="top"/>
          </w:tcPr>
          <w:p>
            <w:r>
              <w:rPr>
                <w:sz w:val="15"/>
              </w:rPr>
              <w:t>What changes on unseen data?</w:t>
            </w:r>
          </w:p>
        </w:tc>
        <w:tc>
          <w:tcPr>
            <w:tcW w:type="dxa" w:w="3408"/>
            <w:vAlign w:val="top"/>
          </w:tcPr>
          <w:p>
            <w:r>
              <w:rPr>
                <w:sz w:val="15"/>
              </w:rPr>
              <w:t>Random, event-held-out, publisher-held-out, source-type-held-out.</w:t>
            </w:r>
          </w:p>
        </w:tc>
      </w:tr>
      <w:tr>
        <w:tc>
          <w:tcPr>
            <w:tcW w:type="dxa" w:w="3408"/>
            <w:vAlign w:val="top"/>
            <w:shd w:fill="F3F6F9"/>
          </w:tcPr>
          <w:p>
            <w:r>
              <w:rPr>
                <w:sz w:val="15"/>
              </w:rPr>
              <w:t>E10 Synthetic-to-real</w:t>
            </w:r>
          </w:p>
        </w:tc>
        <w:tc>
          <w:tcPr>
            <w:tcW w:type="dxa" w:w="3408"/>
            <w:vAlign w:val="top"/>
            <w:shd w:fill="F3F6F9"/>
          </w:tcPr>
          <w:p>
            <w:r>
              <w:rPr>
                <w:sz w:val="15"/>
              </w:rPr>
              <w:t>Does synthetic training help real data?</w:t>
            </w:r>
          </w:p>
        </w:tc>
        <w:tc>
          <w:tcPr>
            <w:tcW w:type="dxa" w:w="3408"/>
            <w:vAlign w:val="top"/>
            <w:shd w:fill="F3F6F9"/>
          </w:tcPr>
          <w:p>
            <w:r>
              <w:rPr>
                <w:sz w:val="15"/>
              </w:rPr>
              <w:t>Real-only versus synthetic pretraining plus real fine-tuning.</w:t>
            </w:r>
          </w:p>
        </w:tc>
      </w:tr>
    </w:tbl>
    <w:p>
      <w:pPr>
        <w:pStyle w:val="Heading2"/>
      </w:pPr>
      <w:r>
        <w:t>18.2 Ablation matrix</w:t>
      </w:r>
    </w:p>
    <w:p>
      <w:pPr>
        <w:pStyle w:val="ListBullet"/>
      </w:pPr>
      <w:r>
        <w:t>No dense retrieval</w:t>
      </w:r>
    </w:p>
    <w:p>
      <w:pPr>
        <w:pStyle w:val="ListBullet"/>
      </w:pPr>
      <w:r>
        <w:t>No lexical retrieval</w:t>
      </w:r>
    </w:p>
    <w:p>
      <w:pPr>
        <w:pStyle w:val="ListBullet"/>
      </w:pPr>
      <w:r>
        <w:t>No local token alignment</w:t>
      </w:r>
    </w:p>
    <w:p>
      <w:pPr>
        <w:pStyle w:val="ListBullet"/>
      </w:pPr>
      <w:r>
        <w:t>No order constraint</w:t>
      </w:r>
    </w:p>
    <w:p>
      <w:pPr>
        <w:pStyle w:val="ListBullet"/>
      </w:pPr>
      <w:r>
        <w:t>No split/merge operations</w:t>
      </w:r>
    </w:p>
    <w:p>
      <w:pPr>
        <w:pStyle w:val="ListBullet"/>
      </w:pPr>
      <w:r>
        <w:t>No discourse branch</w:t>
      </w:r>
    </w:p>
    <w:p>
      <w:pPr>
        <w:pStyle w:val="ListBullet"/>
      </w:pPr>
      <w:r>
        <w:t>No semantic-strength branch</w:t>
      </w:r>
    </w:p>
    <w:p>
      <w:pPr>
        <w:pStyle w:val="ListBullet"/>
      </w:pPr>
      <w:r>
        <w:t>No attribution features</w:t>
      </w:r>
    </w:p>
    <w:p>
      <w:pPr>
        <w:pStyle w:val="ListBullet"/>
      </w:pPr>
      <w:r>
        <w:t>No evidence-coverage feature</w:t>
      </w:r>
    </w:p>
    <w:p>
      <w:pPr>
        <w:pStyle w:val="ListBullet"/>
      </w:pPr>
      <w:r>
        <w:t>No calibration</w:t>
      </w:r>
    </w:p>
    <w:p>
      <w:pPr>
        <w:pStyle w:val="ListBullet"/>
      </w:pPr>
      <w:r>
        <w:t>No abstention</w:t>
      </w:r>
    </w:p>
    <w:p>
      <w:pPr>
        <w:pStyle w:val="ListBullet"/>
      </w:pPr>
      <w:r>
        <w:t>No graph constraints</w:t>
      </w:r>
    </w:p>
    <w:p>
      <w:pPr>
        <w:pStyle w:val="Heading2"/>
      </w:pPr>
      <w:r>
        <w:t>18.3 Statistical reporting</w:t>
      </w:r>
    </w:p>
    <w:p>
      <w:pPr>
        <w:pStyle w:val="ListBullet"/>
      </w:pPr>
      <w:r>
        <w:t>Report 95% confidence intervals using bootstrap resampling at the event level.</w:t>
      </w:r>
    </w:p>
    <w:p>
      <w:pPr>
        <w:pStyle w:val="ListBullet"/>
      </w:pPr>
      <w:r>
        <w:t>Use paired comparisons because systems evaluate the same claims.</w:t>
      </w:r>
    </w:p>
    <w:p>
      <w:pPr>
        <w:pStyle w:val="ListBullet"/>
      </w:pPr>
      <w:r>
        <w:t>Correct for multiple comparisons when testing many systems or labels.</w:t>
      </w:r>
    </w:p>
    <w:p>
      <w:pPr>
        <w:pStyle w:val="ListBullet"/>
      </w:pPr>
      <w:r>
        <w:t>Report effect sizes and confidence intervals, not only p-values.</w:t>
      </w:r>
    </w:p>
    <w:p>
      <w:pPr>
        <w:pStyle w:val="ListBullet"/>
      </w:pPr>
      <w:r>
        <w:t>Preserve all seeds, configurations, checkpoints, and test predictions.</w:t>
      </w:r>
    </w:p>
    <w:p>
      <w:pPr>
        <w:pStyle w:val="ListBullet"/>
      </w:pPr>
      <w:r>
        <w:t>Avoid test-set tuning. Thresholds and weights are frozen using development data.</w:t>
      </w:r>
    </w:p>
    <w:p>
      <w:pPr>
        <w:pStyle w:val="Heading2"/>
      </w:pPr>
      <w:r>
        <w:t>18.4 Error analysis</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shd w:fill="17324D"/>
          </w:tcPr>
          <w:p>
            <w:r>
              <w:rPr>
                <w:b/>
                <w:color w:val="FFFFFF"/>
                <w:sz w:val="16"/>
              </w:rPr>
              <w:t>Error family</w:t>
            </w:r>
          </w:p>
        </w:tc>
        <w:tc>
          <w:tcPr>
            <w:tcW w:type="dxa" w:w="5112"/>
            <w:shd w:fill="17324D"/>
          </w:tcPr>
          <w:p>
            <w:r>
              <w:rPr>
                <w:b/>
                <w:color w:val="FFFFFF"/>
                <w:sz w:val="16"/>
              </w:rPr>
              <w:t>Questions</w:t>
            </w:r>
          </w:p>
        </w:tc>
      </w:tr>
      <w:tr>
        <w:tc>
          <w:tcPr>
            <w:tcW w:type="dxa" w:w="5112"/>
            <w:vAlign w:val="top"/>
          </w:tcPr>
          <w:p>
            <w:r>
              <w:rPr>
                <w:sz w:val="15"/>
              </w:rPr>
              <w:t>Retrieval failure</w:t>
            </w:r>
          </w:p>
        </w:tc>
        <w:tc>
          <w:tcPr>
            <w:tcW w:type="dxa" w:w="5112"/>
            <w:vAlign w:val="top"/>
          </w:tcPr>
          <w:p>
            <w:r>
              <w:rPr>
                <w:sz w:val="15"/>
              </w:rPr>
              <w:t>Was the correct source outside top-k? Was vocabulary mismatch responsible?</w:t>
            </w:r>
          </w:p>
        </w:tc>
      </w:tr>
      <w:tr>
        <w:tc>
          <w:tcPr>
            <w:tcW w:type="dxa" w:w="5112"/>
            <w:vAlign w:val="top"/>
            <w:shd w:fill="F3F6F9"/>
          </w:tcPr>
          <w:p>
            <w:r>
              <w:rPr>
                <w:sz w:val="15"/>
              </w:rPr>
              <w:t>Boundary error</w:t>
            </w:r>
          </w:p>
        </w:tc>
        <w:tc>
          <w:tcPr>
            <w:tcW w:type="dxa" w:w="5112"/>
            <w:vAlign w:val="top"/>
            <w:shd w:fill="F3F6F9"/>
          </w:tcPr>
          <w:p>
            <w:r>
              <w:rPr>
                <w:sz w:val="15"/>
              </w:rPr>
              <w:t>Was the correct page/sentence found but the qualification lay outside the predicted span?</w:t>
            </w:r>
          </w:p>
        </w:tc>
      </w:tr>
      <w:tr>
        <w:tc>
          <w:tcPr>
            <w:tcW w:type="dxa" w:w="5112"/>
            <w:vAlign w:val="top"/>
          </w:tcPr>
          <w:p>
            <w:r>
              <w:rPr>
                <w:sz w:val="15"/>
              </w:rPr>
              <w:t>Coreference error</w:t>
            </w:r>
          </w:p>
        </w:tc>
        <w:tc>
          <w:tcPr>
            <w:tcW w:type="dxa" w:w="5112"/>
            <w:vAlign w:val="top"/>
          </w:tcPr>
          <w:p>
            <w:r>
              <w:rPr>
                <w:sz w:val="15"/>
              </w:rPr>
              <w:t>Did pronoun or entity resolution attach the claim to the wrong subject?</w:t>
            </w:r>
          </w:p>
        </w:tc>
      </w:tr>
      <w:tr>
        <w:tc>
          <w:tcPr>
            <w:tcW w:type="dxa" w:w="5112"/>
            <w:vAlign w:val="top"/>
            <w:shd w:fill="F3F6F9"/>
          </w:tcPr>
          <w:p>
            <w:r>
              <w:rPr>
                <w:sz w:val="15"/>
              </w:rPr>
              <w:t>Attribution error</w:t>
            </w:r>
          </w:p>
        </w:tc>
        <w:tc>
          <w:tcPr>
            <w:tcW w:type="dxa" w:w="5112"/>
            <w:vAlign w:val="top"/>
            <w:shd w:fill="F3F6F9"/>
          </w:tcPr>
          <w:p>
            <w:r>
              <w:rPr>
                <w:sz w:val="15"/>
              </w:rPr>
              <w:t>Was speech reported through a secondary source or nested quotation?</w:t>
            </w:r>
          </w:p>
        </w:tc>
      </w:tr>
      <w:tr>
        <w:tc>
          <w:tcPr>
            <w:tcW w:type="dxa" w:w="5112"/>
            <w:vAlign w:val="top"/>
          </w:tcPr>
          <w:p>
            <w:r>
              <w:rPr>
                <w:sz w:val="15"/>
              </w:rPr>
              <w:t>Scope error</w:t>
            </w:r>
          </w:p>
        </w:tc>
        <w:tc>
          <w:tcPr>
            <w:tcW w:type="dxa" w:w="5112"/>
            <w:vAlign w:val="top"/>
          </w:tcPr>
          <w:p>
            <w:r>
              <w:rPr>
                <w:sz w:val="15"/>
              </w:rPr>
              <w:t>Was a negation or quantifier cue detected but its scope misassigned?</w:t>
            </w:r>
          </w:p>
        </w:tc>
      </w:tr>
      <w:tr>
        <w:tc>
          <w:tcPr>
            <w:tcW w:type="dxa" w:w="5112"/>
            <w:vAlign w:val="top"/>
            <w:shd w:fill="F3F6F9"/>
          </w:tcPr>
          <w:p>
            <w:r>
              <w:rPr>
                <w:sz w:val="15"/>
              </w:rPr>
              <w:t>Strength error</w:t>
            </w:r>
          </w:p>
        </w:tc>
        <w:tc>
          <w:tcPr>
            <w:tcW w:type="dxa" w:w="5112"/>
            <w:vAlign w:val="top"/>
            <w:shd w:fill="F3F6F9"/>
          </w:tcPr>
          <w:p>
            <w:r>
              <w:rPr>
                <w:sz w:val="15"/>
              </w:rPr>
              <w:t>Was the dimension incomparable or domain-dependent?</w:t>
            </w:r>
          </w:p>
        </w:tc>
      </w:tr>
      <w:tr>
        <w:tc>
          <w:tcPr>
            <w:tcW w:type="dxa" w:w="5112"/>
            <w:vAlign w:val="top"/>
          </w:tcPr>
          <w:p>
            <w:r>
              <w:rPr>
                <w:sz w:val="15"/>
              </w:rPr>
              <w:t>Graph error</w:t>
            </w:r>
          </w:p>
        </w:tc>
        <w:tc>
          <w:tcPr>
            <w:tcW w:type="dxa" w:w="5112"/>
            <w:vAlign w:val="top"/>
          </w:tcPr>
          <w:p>
            <w:r>
              <w:rPr>
                <w:sz w:val="15"/>
              </w:rPr>
              <w:t>Did independent pair decisions create inconsistent edges?</w:t>
            </w:r>
          </w:p>
        </w:tc>
      </w:tr>
      <w:tr>
        <w:tc>
          <w:tcPr>
            <w:tcW w:type="dxa" w:w="5112"/>
            <w:vAlign w:val="top"/>
            <w:shd w:fill="F3F6F9"/>
          </w:tcPr>
          <w:p>
            <w:r>
              <w:rPr>
                <w:sz w:val="15"/>
              </w:rPr>
              <w:t>Abstention error</w:t>
            </w:r>
          </w:p>
        </w:tc>
        <w:tc>
          <w:tcPr>
            <w:tcW w:type="dxa" w:w="5112"/>
            <w:vAlign w:val="top"/>
            <w:shd w:fill="F3F6F9"/>
          </w:tcPr>
          <w:p>
            <w:r>
              <w:rPr>
                <w:sz w:val="15"/>
              </w:rPr>
              <w:t>Did the system abstain on an easy case or accept an unsupported case?</w:t>
            </w:r>
          </w:p>
        </w:tc>
      </w:tr>
    </w:tbl>
    <w:p>
      <w:pPr>
        <w:pStyle w:val="Heading1"/>
      </w:pPr>
      <w:r>
        <w:t>19. Reproducible implementation plan</w:t>
      </w:r>
    </w:p>
    <w:p>
      <w:pPr>
        <w:pStyle w:val="Heading2"/>
      </w:pPr>
      <w:r>
        <w:t>19.1 Repository structure</w:t>
      </w:r>
    </w:p>
    <w:p>
      <w:pPr>
        <w:spacing w:before="80" w:after="120"/>
        <w:ind w:left="259" w:right="259"/>
        <w:shd w:fill="EEF2F5"/>
      </w:pPr>
      <w:r>
        <w:rPr>
          <w:rFonts w:ascii="Consolas" w:hAnsi="Consolas"/>
          <w:color w:val="17202A"/>
          <w:sz w:val="15"/>
        </w:rPr>
        <w:t>editorial-transformation-provenance/</w:t>
        <w:br/>
        <w:t xml:space="preserve">  configs/                 # experiment YAML files</w:t>
        <w:br/>
        <w:t xml:space="preserve">  data/</w:t>
        <w:br/>
        <w:t xml:space="preserve">    raw/                    # never modified</w:t>
        <w:br/>
        <w:t xml:space="preserve">    interim/</w:t>
        <w:br/>
        <w:t xml:space="preserve">    processed/</w:t>
        <w:br/>
        <w:t xml:space="preserve">    synthetic/</w:t>
        <w:br/>
        <w:t xml:space="preserve">    annotations/</w:t>
        <w:br/>
        <w:t xml:space="preserve">    splits/</w:t>
        <w:br/>
        <w:t xml:space="preserve">  src/</w:t>
        <w:br/>
        <w:t xml:space="preserve">    ingestion/</w:t>
        <w:br/>
        <w:t xml:space="preserve">    segmentation/</w:t>
        <w:br/>
        <w:t xml:space="preserve">    quote_attribution/</w:t>
        <w:br/>
        <w:t xml:space="preserve">    retrieval/</w:t>
        <w:br/>
        <w:t xml:space="preserve">    alignment/</w:t>
        <w:br/>
        <w:t xml:space="preserve">    discourse/</w:t>
        <w:br/>
        <w:t xml:space="preserve">    semantic_strength/</w:t>
        <w:br/>
        <w:t xml:space="preserve">    transformation/</w:t>
        <w:br/>
        <w:t xml:space="preserve">    graph/</w:t>
        <w:br/>
        <w:t xml:space="preserve">    calibration/</w:t>
        <w:br/>
        <w:t xml:space="preserve">    evaluation/</w:t>
        <w:br/>
        <w:t xml:space="preserve">  scripts/</w:t>
        <w:br/>
        <w:t xml:space="preserve">    collect_sources.py</w:t>
        <w:br/>
        <w:t xml:space="preserve">    generate_synthetic.py</w:t>
        <w:br/>
        <w:t xml:space="preserve">    prepare_corpus.py</w:t>
        <w:br/>
        <w:t xml:space="preserve">    build_splits.py</w:t>
        <w:br/>
        <w:t xml:space="preserve">    train_retriever.py</w:t>
        <w:br/>
        <w:t xml:space="preserve">    train_transformer.py</w:t>
        <w:br/>
        <w:t xml:space="preserve">    evaluate.py</w:t>
        <w:br/>
        <w:t xml:space="preserve">    run_ablations.py</w:t>
        <w:br/>
        <w:t xml:space="preserve">    export_error_analysis.py</w:t>
        <w:br/>
        <w:t xml:space="preserve">  tests/</w:t>
        <w:br/>
        <w:t xml:space="preserve">  notebooks/                # exploration only; production logic remains in src</w:t>
        <w:br/>
        <w:t xml:space="preserve">  artifacts/</w:t>
        <w:br/>
        <w:t xml:space="preserve">    models/</w:t>
        <w:br/>
        <w:t xml:space="preserve">    indexes/</w:t>
        <w:br/>
        <w:t xml:space="preserve">    predictions/</w:t>
        <w:br/>
        <w:t xml:space="preserve">    metrics/</w:t>
        <w:br/>
        <w:t xml:space="preserve">  docs/</w:t>
        <w:br/>
        <w:t xml:space="preserve">    annotation_guidelines.md</w:t>
        <w:br/>
        <w:t xml:space="preserve">    data_statement.md</w:t>
        <w:br/>
        <w:t xml:space="preserve">    model_card.md</w:t>
        <w:br/>
        <w:t xml:space="preserve">    experiment_registry.md</w:t>
        <w:br/>
        <w:t xml:space="preserve">  requirements.txt</w:t>
        <w:br/>
        <w:t xml:space="preserve">  README.md</w:t>
        <w:br/>
        <w:t xml:space="preserve">  CITATION.cff</w:t>
        <w:br/>
        <w:t xml:space="preserve">  LICENSE</w:t>
      </w:r>
    </w:p>
    <w:p>
      <w:pPr>
        <w:pStyle w:val="Heading2"/>
      </w:pPr>
      <w:r>
        <w:t>19.2 Experiment record</w:t>
      </w:r>
    </w:p>
    <w:p>
      <w:pPr>
        <w:spacing w:before="80" w:after="120"/>
        <w:ind w:left="259" w:right="259"/>
        <w:shd w:fill="EEF2F5"/>
      </w:pPr>
      <w:r>
        <w:rPr>
          <w:rFonts w:ascii="Consolas" w:hAnsi="Consolas"/>
          <w:color w:val="17202A"/>
          <w:sz w:val="15"/>
        </w:rPr>
        <w:t>experiment_id</w:t>
        <w:br/>
        <w:t>research_question</w:t>
        <w:br/>
        <w:t>code_commit</w:t>
        <w:br/>
        <w:t>config_hash</w:t>
        <w:br/>
        <w:t>data_version</w:t>
        <w:br/>
        <w:t>split_version</w:t>
        <w:br/>
        <w:t>random_seed</w:t>
        <w:br/>
        <w:t>model_name</w:t>
        <w:br/>
        <w:t>hyperparameters</w:t>
        <w:br/>
        <w:t>training_time</w:t>
        <w:br/>
        <w:t>hardware</w:t>
        <w:br/>
        <w:t>metrics</w:t>
        <w:br/>
        <w:t>confidence_intervals</w:t>
        <w:br/>
        <w:t>prediction_file</w:t>
        <w:br/>
        <w:t>error_analysis_file</w:t>
        <w:br/>
        <w:t>notes</w:t>
      </w:r>
    </w:p>
    <w:p>
      <w:pPr>
        <w:pStyle w:val="Heading2"/>
      </w:pPr>
      <w:r>
        <w:t>19.3 Recommended stack</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shd w:fill="17324D"/>
          </w:tcPr>
          <w:p>
            <w:r>
              <w:rPr>
                <w:b/>
                <w:color w:val="FFFFFF"/>
                <w:sz w:val="16"/>
              </w:rPr>
              <w:t>Function</w:t>
            </w:r>
          </w:p>
        </w:tc>
        <w:tc>
          <w:tcPr>
            <w:tcW w:type="dxa" w:w="5112"/>
            <w:shd w:fill="17324D"/>
          </w:tcPr>
          <w:p>
            <w:r>
              <w:rPr>
                <w:b/>
                <w:color w:val="FFFFFF"/>
                <w:sz w:val="16"/>
              </w:rPr>
              <w:t>Tools</w:t>
            </w:r>
          </w:p>
        </w:tc>
      </w:tr>
      <w:tr>
        <w:tc>
          <w:tcPr>
            <w:tcW w:type="dxa" w:w="5112"/>
            <w:vAlign w:val="top"/>
          </w:tcPr>
          <w:p>
            <w:r>
              <w:rPr>
                <w:sz w:val="15"/>
              </w:rPr>
              <w:t>Data</w:t>
            </w:r>
          </w:p>
        </w:tc>
        <w:tc>
          <w:tcPr>
            <w:tcW w:type="dxa" w:w="5112"/>
            <w:vAlign w:val="top"/>
          </w:tcPr>
          <w:p>
            <w:r>
              <w:rPr>
                <w:sz w:val="15"/>
              </w:rPr>
              <w:t>Python, Pandas, PyArrow, JSONL/Parquet.</w:t>
            </w:r>
          </w:p>
        </w:tc>
      </w:tr>
      <w:tr>
        <w:tc>
          <w:tcPr>
            <w:tcW w:type="dxa" w:w="5112"/>
            <w:vAlign w:val="top"/>
            <w:shd w:fill="F3F6F9"/>
          </w:tcPr>
          <w:p>
            <w:r>
              <w:rPr>
                <w:sz w:val="15"/>
              </w:rPr>
              <w:t>NLP</w:t>
            </w:r>
          </w:p>
        </w:tc>
        <w:tc>
          <w:tcPr>
            <w:tcW w:type="dxa" w:w="5112"/>
            <w:vAlign w:val="top"/>
            <w:shd w:fill="F3F6F9"/>
          </w:tcPr>
          <w:p>
            <w:r>
              <w:rPr>
                <w:sz w:val="15"/>
              </w:rPr>
              <w:t>spaCy, Stanza or NLTK; Hugging Face Transformers.</w:t>
            </w:r>
          </w:p>
        </w:tc>
      </w:tr>
      <w:tr>
        <w:tc>
          <w:tcPr>
            <w:tcW w:type="dxa" w:w="5112"/>
            <w:vAlign w:val="top"/>
          </w:tcPr>
          <w:p>
            <w:r>
              <w:rPr>
                <w:sz w:val="15"/>
              </w:rPr>
              <w:t>Retrieval</w:t>
            </w:r>
          </w:p>
        </w:tc>
        <w:tc>
          <w:tcPr>
            <w:tcW w:type="dxa" w:w="5112"/>
            <w:vAlign w:val="top"/>
          </w:tcPr>
          <w:p>
            <w:r>
              <w:rPr>
                <w:sz w:val="15"/>
              </w:rPr>
              <w:t>rank-bm25, Scikit-learn TF-IDF, Sentence Transformers, FAISS.</w:t>
            </w:r>
          </w:p>
        </w:tc>
      </w:tr>
      <w:tr>
        <w:tc>
          <w:tcPr>
            <w:tcW w:type="dxa" w:w="5112"/>
            <w:vAlign w:val="top"/>
            <w:shd w:fill="F3F6F9"/>
          </w:tcPr>
          <w:p>
            <w:r>
              <w:rPr>
                <w:sz w:val="15"/>
              </w:rPr>
              <w:t>Models</w:t>
            </w:r>
          </w:p>
        </w:tc>
        <w:tc>
          <w:tcPr>
            <w:tcW w:type="dxa" w:w="5112"/>
            <w:vAlign w:val="top"/>
            <w:shd w:fill="F3F6F9"/>
          </w:tcPr>
          <w:p>
            <w:r>
              <w:rPr>
                <w:sz w:val="15"/>
              </w:rPr>
              <w:t>Scikit-learn, PyTorch CPU, ONNX Runtime where validated.</w:t>
            </w:r>
          </w:p>
        </w:tc>
      </w:tr>
      <w:tr>
        <w:tc>
          <w:tcPr>
            <w:tcW w:type="dxa" w:w="5112"/>
            <w:vAlign w:val="top"/>
          </w:tcPr>
          <w:p>
            <w:r>
              <w:rPr>
                <w:sz w:val="15"/>
              </w:rPr>
              <w:t>Graphs</w:t>
            </w:r>
          </w:p>
        </w:tc>
        <w:tc>
          <w:tcPr>
            <w:tcW w:type="dxa" w:w="5112"/>
            <w:vAlign w:val="top"/>
          </w:tcPr>
          <w:p>
            <w:r>
              <w:rPr>
                <w:sz w:val="15"/>
              </w:rPr>
              <w:t>NetworkX.</w:t>
            </w:r>
          </w:p>
        </w:tc>
      </w:tr>
      <w:tr>
        <w:tc>
          <w:tcPr>
            <w:tcW w:type="dxa" w:w="5112"/>
            <w:vAlign w:val="top"/>
            <w:shd w:fill="F3F6F9"/>
          </w:tcPr>
          <w:p>
            <w:r>
              <w:rPr>
                <w:sz w:val="15"/>
              </w:rPr>
              <w:t>Metrics</w:t>
            </w:r>
          </w:p>
        </w:tc>
        <w:tc>
          <w:tcPr>
            <w:tcW w:type="dxa" w:w="5112"/>
            <w:vAlign w:val="top"/>
            <w:shd w:fill="F3F6F9"/>
          </w:tcPr>
          <w:p>
            <w:r>
              <w:rPr>
                <w:sz w:val="15"/>
              </w:rPr>
              <w:t>Scikit-learn, evaluate, custom span and graph metrics.</w:t>
            </w:r>
          </w:p>
        </w:tc>
      </w:tr>
      <w:tr>
        <w:tc>
          <w:tcPr>
            <w:tcW w:type="dxa" w:w="5112"/>
            <w:vAlign w:val="top"/>
          </w:tcPr>
          <w:p>
            <w:r>
              <w:rPr>
                <w:sz w:val="15"/>
              </w:rPr>
              <w:t>Annotation</w:t>
            </w:r>
          </w:p>
        </w:tc>
        <w:tc>
          <w:tcPr>
            <w:tcW w:type="dxa" w:w="5112"/>
            <w:vAlign w:val="top"/>
          </w:tcPr>
          <w:p>
            <w:r>
              <w:rPr>
                <w:sz w:val="15"/>
              </w:rPr>
              <w:t>Label Studio or a controlled custom form; CSV/JSONL export.</w:t>
            </w:r>
          </w:p>
        </w:tc>
      </w:tr>
      <w:tr>
        <w:tc>
          <w:tcPr>
            <w:tcW w:type="dxa" w:w="5112"/>
            <w:vAlign w:val="top"/>
            <w:shd w:fill="F3F6F9"/>
          </w:tcPr>
          <w:p>
            <w:r>
              <w:rPr>
                <w:sz w:val="15"/>
              </w:rPr>
              <w:t>Tracking</w:t>
            </w:r>
          </w:p>
        </w:tc>
        <w:tc>
          <w:tcPr>
            <w:tcW w:type="dxa" w:w="5112"/>
            <w:vAlign w:val="top"/>
            <w:shd w:fill="F3F6F9"/>
          </w:tcPr>
          <w:p>
            <w:r>
              <w:rPr>
                <w:sz w:val="15"/>
              </w:rPr>
              <w:t>MLflow or a structured local experiment registry.</w:t>
            </w:r>
          </w:p>
        </w:tc>
      </w:tr>
      <w:tr>
        <w:tc>
          <w:tcPr>
            <w:tcW w:type="dxa" w:w="5112"/>
            <w:vAlign w:val="top"/>
          </w:tcPr>
          <w:p>
            <w:r>
              <w:rPr>
                <w:sz w:val="15"/>
              </w:rPr>
              <w:t>Quality</w:t>
            </w:r>
          </w:p>
        </w:tc>
        <w:tc>
          <w:tcPr>
            <w:tcW w:type="dxa" w:w="5112"/>
            <w:vAlign w:val="top"/>
          </w:tcPr>
          <w:p>
            <w:r>
              <w:rPr>
                <w:sz w:val="15"/>
              </w:rPr>
              <w:t>Pytest, Ruff, mypy where feasible, fixed seeds, data hashes.</w:t>
            </w:r>
          </w:p>
        </w:tc>
      </w:tr>
    </w:tbl>
    <w:p>
      <w:pPr>
        <w:pStyle w:val="Heading1"/>
      </w:pPr>
      <w:r>
        <w:t>20. Milestones and decision gates</w:t>
      </w:r>
    </w:p>
    <w:tbl>
      <w:tblPr>
        <w:tblStyle w:val="TableGrid"/>
        <w:tblW w:type="auto" w:w="0"/>
        <w:jc w:val="center"/>
        <w:tblLook w:firstColumn="1" w:firstRow="1" w:lastColumn="0" w:lastRow="0" w:noHBand="0" w:noVBand="1" w:val="04A0"/>
      </w:tblPr>
      <w:tblGrid>
        <w:gridCol w:w="3408"/>
        <w:gridCol w:w="3408"/>
        <w:gridCol w:w="3408"/>
      </w:tblGrid>
      <w:tr>
        <w:trPr>
          <w:tblHeader/>
        </w:trPr>
        <w:tc>
          <w:tcPr>
            <w:tcW w:type="dxa" w:w="3408"/>
            <w:shd w:fill="17324D"/>
          </w:tcPr>
          <w:p>
            <w:r>
              <w:rPr>
                <w:b/>
                <w:color w:val="FFFFFF"/>
                <w:sz w:val="16"/>
              </w:rPr>
              <w:t>Gate</w:t>
            </w:r>
          </w:p>
        </w:tc>
        <w:tc>
          <w:tcPr>
            <w:tcW w:type="dxa" w:w="3408"/>
            <w:shd w:fill="17324D"/>
          </w:tcPr>
          <w:p>
            <w:r>
              <w:rPr>
                <w:b/>
                <w:color w:val="FFFFFF"/>
                <w:sz w:val="16"/>
              </w:rPr>
              <w:t>Deliverables</w:t>
            </w:r>
          </w:p>
        </w:tc>
        <w:tc>
          <w:tcPr>
            <w:tcW w:type="dxa" w:w="3408"/>
            <w:shd w:fill="17324D"/>
          </w:tcPr>
          <w:p>
            <w:r>
              <w:rPr>
                <w:b/>
                <w:color w:val="FFFFFF"/>
                <w:sz w:val="16"/>
              </w:rPr>
              <w:t>Go / no-go criterion</w:t>
            </w:r>
          </w:p>
        </w:tc>
      </w:tr>
      <w:tr>
        <w:tc>
          <w:tcPr>
            <w:tcW w:type="dxa" w:w="3408"/>
            <w:vAlign w:val="top"/>
          </w:tcPr>
          <w:p>
            <w:r>
              <w:rPr>
                <w:sz w:val="15"/>
              </w:rPr>
              <w:t>G1 Ontology pilot</w:t>
            </w:r>
          </w:p>
        </w:tc>
        <w:tc>
          <w:tcPr>
            <w:tcW w:type="dxa" w:w="3408"/>
            <w:vAlign w:val="top"/>
          </w:tcPr>
          <w:p>
            <w:r>
              <w:rPr>
                <w:sz w:val="15"/>
              </w:rPr>
              <w:t>Definitions, examples, counterexamples, 50–100 pilot items.</w:t>
            </w:r>
          </w:p>
        </w:tc>
        <w:tc>
          <w:tcPr>
            <w:tcW w:type="dxa" w:w="3408"/>
            <w:vAlign w:val="top"/>
          </w:tcPr>
          <w:p>
            <w:r>
              <w:rPr>
                <w:sz w:val="15"/>
              </w:rPr>
              <w:t>Annotators can apply core labels consistently enough to revise and freeze guidelines.</w:t>
            </w:r>
          </w:p>
        </w:tc>
      </w:tr>
      <w:tr>
        <w:tc>
          <w:tcPr>
            <w:tcW w:type="dxa" w:w="3408"/>
            <w:vAlign w:val="top"/>
            <w:shd w:fill="F3F6F9"/>
          </w:tcPr>
          <w:p>
            <w:r>
              <w:rPr>
                <w:sz w:val="15"/>
              </w:rPr>
              <w:t>G2 Synthetic generator</w:t>
            </w:r>
          </w:p>
        </w:tc>
        <w:tc>
          <w:tcPr>
            <w:tcW w:type="dxa" w:w="3408"/>
            <w:vAlign w:val="top"/>
            <w:shd w:fill="F3F6F9"/>
          </w:tcPr>
          <w:p>
            <w:r>
              <w:rPr>
                <w:sz w:val="15"/>
              </w:rPr>
              <w:t>Operation library, provenance log, unit tests.</w:t>
            </w:r>
          </w:p>
        </w:tc>
        <w:tc>
          <w:tcPr>
            <w:tcW w:type="dxa" w:w="3408"/>
            <w:vAlign w:val="top"/>
            <w:shd w:fill="F3F6F9"/>
          </w:tcPr>
          <w:p>
            <w:r>
              <w:rPr>
                <w:sz w:val="15"/>
              </w:rPr>
              <w:t>Each operation produces the intended label and preserves unrelated content.</w:t>
            </w:r>
          </w:p>
        </w:tc>
      </w:tr>
      <w:tr>
        <w:tc>
          <w:tcPr>
            <w:tcW w:type="dxa" w:w="3408"/>
            <w:vAlign w:val="top"/>
          </w:tcPr>
          <w:p>
            <w:r>
              <w:rPr>
                <w:sz w:val="15"/>
              </w:rPr>
              <w:t>G3 Retrieval benchmark</w:t>
            </w:r>
          </w:p>
        </w:tc>
        <w:tc>
          <w:tcPr>
            <w:tcW w:type="dxa" w:w="3408"/>
            <w:vAlign w:val="top"/>
          </w:tcPr>
          <w:p>
            <w:r>
              <w:rPr>
                <w:sz w:val="15"/>
              </w:rPr>
              <w:t>TF-IDF, BM25, MiniLM, E5-small, hybrid results.</w:t>
            </w:r>
          </w:p>
        </w:tc>
        <w:tc>
          <w:tcPr>
            <w:tcW w:type="dxa" w:w="3408"/>
            <w:vAlign w:val="top"/>
          </w:tcPr>
          <w:p>
            <w:r>
              <w:rPr>
                <w:sz w:val="15"/>
              </w:rPr>
              <w:t>At least one method retrieves usable candidates; failure modes understood.</w:t>
            </w:r>
          </w:p>
        </w:tc>
      </w:tr>
      <w:tr>
        <w:tc>
          <w:tcPr>
            <w:tcW w:type="dxa" w:w="3408"/>
            <w:vAlign w:val="top"/>
            <w:shd w:fill="F3F6F9"/>
          </w:tcPr>
          <w:p>
            <w:r>
              <w:rPr>
                <w:sz w:val="15"/>
              </w:rPr>
              <w:t>G4 Manual corpus v1</w:t>
            </w:r>
          </w:p>
        </w:tc>
        <w:tc>
          <w:tcPr>
            <w:tcW w:type="dxa" w:w="3408"/>
            <w:vAlign w:val="top"/>
            <w:shd w:fill="F3F6F9"/>
          </w:tcPr>
          <w:p>
            <w:r>
              <w:rPr>
                <w:sz w:val="15"/>
              </w:rPr>
              <w:t>Event-grouped source/article pairs with double annotation.</w:t>
            </w:r>
          </w:p>
        </w:tc>
        <w:tc>
          <w:tcPr>
            <w:tcW w:type="dxa" w:w="3408"/>
            <w:vAlign w:val="top"/>
            <w:shd w:fill="F3F6F9"/>
          </w:tcPr>
          <w:p>
            <w:r>
              <w:rPr>
                <w:sz w:val="15"/>
              </w:rPr>
              <w:t>Provenance and licensing are documented; agreement reported.</w:t>
            </w:r>
          </w:p>
        </w:tc>
      </w:tr>
      <w:tr>
        <w:tc>
          <w:tcPr>
            <w:tcW w:type="dxa" w:w="3408"/>
            <w:vAlign w:val="top"/>
          </w:tcPr>
          <w:p>
            <w:r>
              <w:rPr>
                <w:sz w:val="15"/>
              </w:rPr>
              <w:t>G5 Quote-integrity model</w:t>
            </w:r>
          </w:p>
        </w:tc>
        <w:tc>
          <w:tcPr>
            <w:tcW w:type="dxa" w:w="3408"/>
            <w:vAlign w:val="top"/>
          </w:tcPr>
          <w:p>
            <w:r>
              <w:rPr>
                <w:sz w:val="15"/>
              </w:rPr>
              <w:t>Best-span retrieval, attribution, context-loss labels, abstention.</w:t>
            </w:r>
          </w:p>
        </w:tc>
        <w:tc>
          <w:tcPr>
            <w:tcW w:type="dxa" w:w="3408"/>
            <w:vAlign w:val="top"/>
          </w:tcPr>
          <w:p>
            <w:r>
              <w:rPr>
                <w:sz w:val="15"/>
              </w:rPr>
              <w:t>Outperforms simple nearest-span and direct classifier baselines on primary metrics.</w:t>
            </w:r>
          </w:p>
        </w:tc>
      </w:tr>
      <w:tr>
        <w:tc>
          <w:tcPr>
            <w:tcW w:type="dxa" w:w="3408"/>
            <w:vAlign w:val="top"/>
            <w:shd w:fill="F3F6F9"/>
          </w:tcPr>
          <w:p>
            <w:r>
              <w:rPr>
                <w:sz w:val="15"/>
              </w:rPr>
              <w:t>G6 Strength model</w:t>
            </w:r>
          </w:p>
        </w:tc>
        <w:tc>
          <w:tcPr>
            <w:tcW w:type="dxa" w:w="3408"/>
            <w:vAlign w:val="top"/>
            <w:shd w:fill="F3F6F9"/>
          </w:tcPr>
          <w:p>
            <w:r>
              <w:rPr>
                <w:sz w:val="15"/>
              </w:rPr>
              <w:t>Directional dimensions and ablations.</w:t>
            </w:r>
          </w:p>
        </w:tc>
        <w:tc>
          <w:tcPr>
            <w:tcW w:type="dxa" w:w="3408"/>
            <w:vAlign w:val="top"/>
            <w:shd w:fill="F3F6F9"/>
          </w:tcPr>
          <w:p>
            <w:r>
              <w:rPr>
                <w:sz w:val="15"/>
              </w:rPr>
              <w:t>Shows measurable value beyond NLI, or is rejected as unnecessary.</w:t>
            </w:r>
          </w:p>
        </w:tc>
      </w:tr>
      <w:tr>
        <w:tc>
          <w:tcPr>
            <w:tcW w:type="dxa" w:w="3408"/>
            <w:vAlign w:val="top"/>
          </w:tcPr>
          <w:p>
            <w:r>
              <w:rPr>
                <w:sz w:val="15"/>
              </w:rPr>
              <w:t>G7 Graph model</w:t>
            </w:r>
          </w:p>
        </w:tc>
        <w:tc>
          <w:tcPr>
            <w:tcW w:type="dxa" w:w="3408"/>
            <w:vAlign w:val="top"/>
          </w:tcPr>
          <w:p>
            <w:r>
              <w:rPr>
                <w:sz w:val="15"/>
              </w:rPr>
              <w:t>Typed graph and constraints.</w:t>
            </w:r>
          </w:p>
        </w:tc>
        <w:tc>
          <w:tcPr>
            <w:tcW w:type="dxa" w:w="3408"/>
            <w:vAlign w:val="top"/>
          </w:tcPr>
          <w:p>
            <w:r>
              <w:rPr>
                <w:sz w:val="15"/>
              </w:rPr>
              <w:t>Improves traceability or edge validity; otherwise retained only as visualization.</w:t>
            </w:r>
          </w:p>
        </w:tc>
      </w:tr>
      <w:tr>
        <w:tc>
          <w:tcPr>
            <w:tcW w:type="dxa" w:w="3408"/>
            <w:vAlign w:val="top"/>
            <w:shd w:fill="F3F6F9"/>
          </w:tcPr>
          <w:p>
            <w:r>
              <w:rPr>
                <w:sz w:val="15"/>
              </w:rPr>
              <w:t>G8 Generalization</w:t>
            </w:r>
          </w:p>
        </w:tc>
        <w:tc>
          <w:tcPr>
            <w:tcW w:type="dxa" w:w="3408"/>
            <w:vAlign w:val="top"/>
            <w:shd w:fill="F3F6F9"/>
          </w:tcPr>
          <w:p>
            <w:r>
              <w:rPr>
                <w:sz w:val="15"/>
              </w:rPr>
              <w:t>Held-out event/publisher/source/transformation tests.</w:t>
            </w:r>
          </w:p>
        </w:tc>
        <w:tc>
          <w:tcPr>
            <w:tcW w:type="dxa" w:w="3408"/>
            <w:vAlign w:val="top"/>
            <w:shd w:fill="F3F6F9"/>
          </w:tcPr>
          <w:p>
            <w:r>
              <w:rPr>
                <w:sz w:val="15"/>
              </w:rPr>
              <w:t>Results and limitations reported without selective omission.</w:t>
            </w:r>
          </w:p>
        </w:tc>
      </w:tr>
      <w:tr>
        <w:tc>
          <w:tcPr>
            <w:tcW w:type="dxa" w:w="3408"/>
            <w:vAlign w:val="top"/>
          </w:tcPr>
          <w:p>
            <w:r>
              <w:rPr>
                <w:sz w:val="15"/>
              </w:rPr>
              <w:t>G9 Thesis package</w:t>
            </w:r>
          </w:p>
        </w:tc>
        <w:tc>
          <w:tcPr>
            <w:tcW w:type="dxa" w:w="3408"/>
            <w:vAlign w:val="top"/>
          </w:tcPr>
          <w:p>
            <w:r>
              <w:rPr>
                <w:sz w:val="15"/>
              </w:rPr>
              <w:t>Code, data statement, model card, paper, appendix, demos.</w:t>
            </w:r>
          </w:p>
        </w:tc>
        <w:tc>
          <w:tcPr>
            <w:tcW w:type="dxa" w:w="3408"/>
            <w:vAlign w:val="top"/>
          </w:tcPr>
          <w:p>
            <w:r>
              <w:rPr>
                <w:sz w:val="15"/>
              </w:rPr>
              <w:t>Independent reproduction from documented environment.</w:t>
            </w:r>
          </w:p>
        </w:tc>
      </w:tr>
    </w:tbl>
    <w:p>
      <w:pPr>
        <w:pStyle w:val="Heading1"/>
      </w:pPr>
      <w:r>
        <w:t>21. Ethics, fairness, and publication safeguards</w:t>
      </w:r>
    </w:p>
    <w:p>
      <w:pPr>
        <w:pStyle w:val="ListBullet"/>
      </w:pPr>
      <w:r>
        <w:t>Do not label journalists, outlets, political groups, or individuals as biased based solely on model output.</w:t>
      </w:r>
    </w:p>
    <w:p>
      <w:pPr>
        <w:pStyle w:val="ListBullet"/>
      </w:pPr>
      <w:r>
        <w:t>Do not infer motivation, deception, or intent from a transformation label.</w:t>
      </w:r>
    </w:p>
    <w:p>
      <w:pPr>
        <w:pStyle w:val="ListBullet"/>
      </w:pPr>
      <w:r>
        <w:t>Use only public or lawfully obtained source records and articles. Record licences and redistribution restrictions.</w:t>
      </w:r>
    </w:p>
    <w:p>
      <w:pPr>
        <w:pStyle w:val="ListBullet"/>
      </w:pPr>
      <w:r>
        <w:t>Distinguish source fidelity from factual truth. An article can quote a source faithfully even if the source claim is false.</w:t>
      </w:r>
    </w:p>
    <w:p>
      <w:pPr>
        <w:pStyle w:val="ListBullet"/>
      </w:pPr>
      <w:r>
        <w:t>Do not expose personal information from transcripts beyond what is necessary for published attribution research.</w:t>
      </w:r>
    </w:p>
    <w:p>
      <w:pPr>
        <w:pStyle w:val="ListBullet"/>
      </w:pPr>
      <w:r>
        <w:t>Report class imbalance, publisher/source coverage, language limits, and known domain failures.</w:t>
      </w:r>
    </w:p>
    <w:p>
      <w:pPr>
        <w:pStyle w:val="ListBullet"/>
      </w:pPr>
      <w:r>
        <w:t>Require human review for high-stakes or public-facing examples.</w:t>
      </w:r>
    </w:p>
    <w:p>
      <w:pPr>
        <w:pStyle w:val="ListBullet"/>
      </w:pPr>
      <w:r>
        <w:t>Publish counterexamples and false positives, especially cases involving legitimate compression or copy editing.</w:t>
      </w:r>
    </w:p>
    <w:p>
      <w:pPr>
        <w:pStyle w:val="ListBullet"/>
      </w:pPr>
      <w:r>
        <w:t>Do not use ideological labels as a proxy for transformation ground truth.</w:t>
      </w:r>
    </w:p>
    <w:p>
      <w:pPr>
        <w:pStyle w:val="Heading2"/>
      </w:pPr>
      <w:r>
        <w:t>21.1 Legitimate editorial transformation safeguards</w:t>
      </w:r>
    </w:p>
    <w:p>
      <w:r>
        <w:t>Not every omission or strengthening is bias. Headlines compress; quotations are shortened; tense may change; grammar may be normalized; redundant qualifiers may be removed without material distortion. The annotation scheme must distinguish material context loss from benign editing and must permit uncertainty or abstention.</w:t>
      </w:r>
    </w:p>
    <w:p>
      <w:pPr>
        <w:pStyle w:val="Heading1"/>
      </w:pPr>
      <w:r>
        <w:t>22. Patent-oriented research record</w:t>
      </w:r>
    </w:p>
    <w:tbl>
      <w:tblPr>
        <w:tblStyle w:val="TableGrid"/>
        <w:tblW w:type="auto" w:w="0"/>
        <w:tblLook w:firstColumn="1" w:firstRow="1" w:lastColumn="0" w:lastRow="0" w:noHBand="0" w:noVBand="1" w:val="04A0"/>
      </w:tblPr>
      <w:tblGrid>
        <w:gridCol w:w="10224"/>
      </w:tblGrid>
      <w:tr>
        <w:tc>
          <w:tcPr>
            <w:tcW w:type="dxa" w:w="10224"/>
            <w:shd w:fill="FFF3E8"/>
          </w:tcPr>
          <w:p>
            <w:r>
              <w:rPr>
                <w:b/>
              </w:rPr>
              <w:t>This section supports research documentation. It is not a patentability opinion or a drafted claim.</w:t>
            </w:r>
          </w:p>
        </w:tc>
      </w:tr>
    </w:tbl>
    <w:tbl>
      <w:tblPr>
        <w:tblStyle w:val="TableGrid"/>
        <w:tblW w:type="auto" w:w="0"/>
        <w:jc w:val="center"/>
        <w:tblLook w:firstColumn="1" w:firstRow="1" w:lastColumn="0" w:lastRow="0" w:noHBand="0" w:noVBand="1" w:val="04A0"/>
      </w:tblPr>
      <w:tblGrid>
        <w:gridCol w:w="3408"/>
        <w:gridCol w:w="3408"/>
        <w:gridCol w:w="3408"/>
      </w:tblGrid>
      <w:tr>
        <w:trPr>
          <w:tblHeader/>
        </w:trPr>
        <w:tc>
          <w:tcPr>
            <w:tcW w:type="dxa" w:w="3408"/>
            <w:shd w:fill="17324D"/>
          </w:tcPr>
          <w:p>
            <w:r>
              <w:rPr>
                <w:b/>
                <w:color w:val="FFFFFF"/>
                <w:sz w:val="16"/>
              </w:rPr>
              <w:t>Broad concept</w:t>
            </w:r>
          </w:p>
        </w:tc>
        <w:tc>
          <w:tcPr>
            <w:tcW w:type="dxa" w:w="3408"/>
            <w:shd w:fill="17324D"/>
          </w:tcPr>
          <w:p>
            <w:r>
              <w:rPr>
                <w:b/>
                <w:color w:val="FFFFFF"/>
                <w:sz w:val="16"/>
              </w:rPr>
              <w:t>Preliminary research assessment</w:t>
            </w:r>
          </w:p>
        </w:tc>
        <w:tc>
          <w:tcPr>
            <w:tcW w:type="dxa" w:w="3408"/>
            <w:shd w:fill="17324D"/>
          </w:tcPr>
          <w:p>
            <w:r>
              <w:rPr>
                <w:b/>
                <w:color w:val="FFFFFF"/>
                <w:sz w:val="16"/>
              </w:rPr>
              <w:t>Reason</w:t>
            </w:r>
          </w:p>
        </w:tc>
      </w:tr>
      <w:tr>
        <w:tc>
          <w:tcPr>
            <w:tcW w:type="dxa" w:w="3408"/>
            <w:vAlign w:val="top"/>
          </w:tcPr>
          <w:p>
            <w:r>
              <w:rPr>
                <w:sz w:val="15"/>
              </w:rPr>
              <w:t>Media-bias detection</w:t>
            </w:r>
          </w:p>
        </w:tc>
        <w:tc>
          <w:tcPr>
            <w:tcW w:type="dxa" w:w="3408"/>
            <w:vAlign w:val="top"/>
          </w:tcPr>
          <w:p>
            <w:r>
              <w:rPr>
                <w:sz w:val="15"/>
              </w:rPr>
              <w:t>Weak / crowded</w:t>
            </w:r>
          </w:p>
        </w:tc>
        <w:tc>
          <w:tcPr>
            <w:tcW w:type="dxa" w:w="3408"/>
            <w:vAlign w:val="top"/>
          </w:tcPr>
          <w:p>
            <w:r>
              <w:rPr>
                <w:sz w:val="15"/>
              </w:rPr>
              <w:t>Large existing literature, datasets, classifiers, tools, multimodal methods, and framing systems.</w:t>
            </w:r>
          </w:p>
        </w:tc>
      </w:tr>
      <w:tr>
        <w:tc>
          <w:tcPr>
            <w:tcW w:type="dxa" w:w="3408"/>
            <w:vAlign w:val="top"/>
            <w:shd w:fill="F3F6F9"/>
          </w:tcPr>
          <w:p>
            <w:r>
              <w:rPr>
                <w:sz w:val="15"/>
              </w:rPr>
              <w:t>Article biased/unbiased classifier</w:t>
            </w:r>
          </w:p>
        </w:tc>
        <w:tc>
          <w:tcPr>
            <w:tcW w:type="dxa" w:w="3408"/>
            <w:vAlign w:val="top"/>
            <w:shd w:fill="F3F6F9"/>
          </w:tcPr>
          <w:p>
            <w:r>
              <w:rPr>
                <w:sz w:val="15"/>
              </w:rPr>
              <w:t>Weak / crowded</w:t>
            </w:r>
          </w:p>
        </w:tc>
        <w:tc>
          <w:tcPr>
            <w:tcW w:type="dxa" w:w="3408"/>
            <w:vAlign w:val="top"/>
            <w:shd w:fill="F3F6F9"/>
          </w:tcPr>
          <w:p>
            <w:r>
              <w:rPr>
                <w:sz w:val="15"/>
              </w:rPr>
              <w:t>Generic classification with subjective labels.</w:t>
            </w:r>
          </w:p>
        </w:tc>
      </w:tr>
      <w:tr>
        <w:tc>
          <w:tcPr>
            <w:tcW w:type="dxa" w:w="3408"/>
            <w:vAlign w:val="top"/>
          </w:tcPr>
          <w:p>
            <w:r>
              <w:rPr>
                <w:sz w:val="15"/>
              </w:rPr>
              <w:t>Source-to-publication transformation provenance</w:t>
            </w:r>
          </w:p>
        </w:tc>
        <w:tc>
          <w:tcPr>
            <w:tcW w:type="dxa" w:w="3408"/>
            <w:vAlign w:val="top"/>
          </w:tcPr>
          <w:p>
            <w:r>
              <w:rPr>
                <w:sz w:val="15"/>
              </w:rPr>
              <w:t>Potentially differentiable; requires claims-level prior-art search</w:t>
            </w:r>
          </w:p>
        </w:tc>
        <w:tc>
          <w:tcPr>
            <w:tcW w:type="dxa" w:w="3408"/>
            <w:vAlign w:val="top"/>
          </w:tcPr>
          <w:p>
            <w:r>
              <w:rPr>
                <w:sz w:val="15"/>
              </w:rPr>
              <w:t>More specific inputs, alignment, typed operations, evidence, and abstention.</w:t>
            </w:r>
          </w:p>
        </w:tc>
      </w:tr>
      <w:tr>
        <w:tc>
          <w:tcPr>
            <w:tcW w:type="dxa" w:w="3408"/>
            <w:vAlign w:val="top"/>
            <w:shd w:fill="F3F6F9"/>
          </w:tcPr>
          <w:p>
            <w:r>
              <w:rPr>
                <w:sz w:val="15"/>
              </w:rPr>
              <w:t>Quote-context integrity</w:t>
            </w:r>
          </w:p>
        </w:tc>
        <w:tc>
          <w:tcPr>
            <w:tcW w:type="dxa" w:w="3408"/>
            <w:vAlign w:val="top"/>
            <w:shd w:fill="F3F6F9"/>
          </w:tcPr>
          <w:p>
            <w:r>
              <w:rPr>
                <w:sz w:val="15"/>
              </w:rPr>
              <w:t>Best first embodiment</w:t>
            </w:r>
          </w:p>
        </w:tc>
        <w:tc>
          <w:tcPr>
            <w:tcW w:type="dxa" w:w="3408"/>
            <w:vAlign w:val="top"/>
            <w:shd w:fill="F3F6F9"/>
          </w:tcPr>
          <w:p>
            <w:r>
              <w:rPr>
                <w:sz w:val="15"/>
              </w:rPr>
              <w:t>Defined inputs, reproducible spans, measurable context features, CPU-compatible evaluation.</w:t>
            </w:r>
          </w:p>
        </w:tc>
      </w:tr>
      <w:tr>
        <w:tc>
          <w:tcPr>
            <w:tcW w:type="dxa" w:w="3408"/>
            <w:vAlign w:val="top"/>
          </w:tcPr>
          <w:p>
            <w:r>
              <w:rPr>
                <w:sz w:val="15"/>
              </w:rPr>
              <w:t>Signed semantic-strength transformation</w:t>
            </w:r>
          </w:p>
        </w:tc>
        <w:tc>
          <w:tcPr>
            <w:tcW w:type="dxa" w:w="3408"/>
            <w:vAlign w:val="top"/>
          </w:tcPr>
          <w:p>
            <w:r>
              <w:rPr>
                <w:sz w:val="15"/>
              </w:rPr>
              <w:t>Potentially useful but unproven</w:t>
            </w:r>
          </w:p>
        </w:tc>
        <w:tc>
          <w:tcPr>
            <w:tcW w:type="dxa" w:w="3408"/>
            <w:vAlign w:val="top"/>
          </w:tcPr>
          <w:p>
            <w:r>
              <w:rPr>
                <w:sz w:val="15"/>
              </w:rPr>
              <w:t>Must show reliable direction and value beyond NLI/lexical rules.</w:t>
            </w:r>
          </w:p>
        </w:tc>
      </w:tr>
      <w:tr>
        <w:tc>
          <w:tcPr>
            <w:tcW w:type="dxa" w:w="3408"/>
            <w:vAlign w:val="top"/>
            <w:shd w:fill="F3F6F9"/>
          </w:tcPr>
          <w:p>
            <w:r>
              <w:rPr>
                <w:sz w:val="15"/>
              </w:rPr>
              <w:t>Confidence-gated provenance graph</w:t>
            </w:r>
          </w:p>
        </w:tc>
        <w:tc>
          <w:tcPr>
            <w:tcW w:type="dxa" w:w="3408"/>
            <w:vAlign w:val="top"/>
            <w:shd w:fill="F3F6F9"/>
          </w:tcPr>
          <w:p>
            <w:r>
              <w:rPr>
                <w:sz w:val="15"/>
              </w:rPr>
              <w:t>Potentially useful but unproven</w:t>
            </w:r>
          </w:p>
        </w:tc>
        <w:tc>
          <w:tcPr>
            <w:tcW w:type="dxa" w:w="3408"/>
            <w:vAlign w:val="top"/>
            <w:shd w:fill="F3F6F9"/>
          </w:tcPr>
          <w:p>
            <w:r>
              <w:rPr>
                <w:sz w:val="15"/>
              </w:rPr>
              <w:t>Graph must provide functional improvement beyond visualization.</w:t>
            </w:r>
          </w:p>
        </w:tc>
      </w:tr>
    </w:tbl>
    <w:p>
      <w:pPr>
        <w:pStyle w:val="Heading2"/>
      </w:pPr>
      <w:r>
        <w:t>22.1 Candidate technical mechanism statement</w:t>
      </w:r>
    </w:p>
    <w:p>
      <w:r>
        <w:t>A computer-implemented method for retrieving and aligning published claims or quotations with source-document spans, identifying discourse-context and signed semantic-strength transformations, constructing a typed source-to-publication provenance graph, and withholding a transformation determination when alignment or contextual evidence fails a defined confidence condition.</w:t>
      </w:r>
    </w:p>
    <w:p>
      <w:pPr>
        <w:pStyle w:val="Heading2"/>
      </w:pPr>
      <w:r>
        <w:t>22.2 Evidence needed before stronger claims</w:t>
      </w:r>
    </w:p>
    <w:p>
      <w:pPr>
        <w:pStyle w:val="ListBullet"/>
      </w:pPr>
      <w:r>
        <w:t>Claims-level prior-art matrix</w:t>
      </w:r>
    </w:p>
    <w:p>
      <w:pPr>
        <w:pStyle w:val="ListBullet"/>
      </w:pPr>
      <w:r>
        <w:t>Ablations showing each mechanism is necessary</w:t>
      </w:r>
    </w:p>
    <w:p>
      <w:pPr>
        <w:pStyle w:val="ListBullet"/>
      </w:pPr>
      <w:r>
        <w:t>Performance against simple lexical, dense, NLI, and direct-LLM baselines</w:t>
      </w:r>
    </w:p>
    <w:p>
      <w:pPr>
        <w:pStyle w:val="ListBullet"/>
      </w:pPr>
      <w:r>
        <w:t>Generalization beyond one publisher or source class</w:t>
      </w:r>
    </w:p>
    <w:p>
      <w:pPr>
        <w:pStyle w:val="ListBullet"/>
      </w:pPr>
      <w:r>
        <w:t>Calibrated abstention results</w:t>
      </w:r>
    </w:p>
    <w:p>
      <w:pPr>
        <w:pStyle w:val="ListBullet"/>
      </w:pPr>
      <w:r>
        <w:t>Functional graph benefit beyond visualization</w:t>
      </w:r>
    </w:p>
    <w:p>
      <w:pPr>
        <w:pStyle w:val="ListBullet"/>
      </w:pPr>
      <w:r>
        <w:t>Reproducible implementation and exact parameter record</w:t>
      </w:r>
    </w:p>
    <w:p>
      <w:pPr>
        <w:pStyle w:val="Heading1"/>
      </w:pPr>
      <w:r>
        <w:t>23. Expected thesis structure</w:t>
      </w:r>
    </w:p>
    <w:p>
      <w:pPr>
        <w:pStyle w:val="ListNumber"/>
      </w:pPr>
      <w:r>
        <w:t>Introduction and research problem.</w:t>
      </w:r>
    </w:p>
    <w:p>
      <w:pPr>
        <w:pStyle w:val="ListNumber"/>
      </w:pPr>
      <w:r>
        <w:t>Media framing, quote attribution, source alignment, NLI, semantic strength, and provenance literature.</w:t>
      </w:r>
    </w:p>
    <w:p>
      <w:pPr>
        <w:pStyle w:val="ListNumber"/>
      </w:pPr>
      <w:r>
        <w:t>Problem formulation and transformation ontology.</w:t>
      </w:r>
    </w:p>
    <w:p>
      <w:pPr>
        <w:pStyle w:val="ListNumber"/>
      </w:pPr>
      <w:r>
        <w:t>Dataset construction, synthetic transformations, annotation, agreement, and splits.</w:t>
      </w:r>
    </w:p>
    <w:p>
      <w:pPr>
        <w:pStyle w:val="ListNumber"/>
      </w:pPr>
      <w:r>
        <w:t>Hierarchical retrieval and structured alignment method.</w:t>
      </w:r>
    </w:p>
    <w:p>
      <w:pPr>
        <w:pStyle w:val="ListNumber"/>
      </w:pPr>
      <w:r>
        <w:t>Discourse-context and signed semantic-strength models.</w:t>
      </w:r>
    </w:p>
    <w:p>
      <w:pPr>
        <w:pStyle w:val="ListNumber"/>
      </w:pPr>
      <w:r>
        <w:t>Provenance graph, calibration, and abstention.</w:t>
      </w:r>
    </w:p>
    <w:p>
      <w:pPr>
        <w:pStyle w:val="ListNumber"/>
      </w:pPr>
      <w:r>
        <w:t>Experiments, baselines, ablations, and generalization.</w:t>
      </w:r>
    </w:p>
    <w:p>
      <w:pPr>
        <w:pStyle w:val="ListNumber"/>
      </w:pPr>
      <w:r>
        <w:t>Error analysis and limitations.</w:t>
      </w:r>
    </w:p>
    <w:p>
      <w:pPr>
        <w:pStyle w:val="ListNumber"/>
      </w:pPr>
      <w:r>
        <w:t>Ethics, fairness, and responsible interpretation.</w:t>
      </w:r>
    </w:p>
    <w:p>
      <w:pPr>
        <w:pStyle w:val="ListNumber"/>
      </w:pPr>
      <w:r>
        <w:t>Conclusion and future work.</w:t>
      </w:r>
    </w:p>
    <w:p>
      <w:pPr>
        <w:pStyle w:val="Heading1"/>
      </w:pPr>
      <w:r>
        <w:t>24. Immediate implementation scope</w:t>
      </w:r>
    </w:p>
    <w:tbl>
      <w:tblPr>
        <w:tblStyle w:val="TableGrid"/>
        <w:tblW w:type="auto" w:w="0"/>
        <w:tblLook w:firstColumn="1" w:firstRow="1" w:lastColumn="0" w:lastRow="0" w:noHBand="0" w:noVBand="1" w:val="04A0"/>
      </w:tblPr>
      <w:tblGrid>
        <w:gridCol w:w="10224"/>
      </w:tblGrid>
      <w:tr>
        <w:tc>
          <w:tcPr>
            <w:tcW w:type="dxa" w:w="10224"/>
            <w:shd w:fill="FFF3E8"/>
          </w:tcPr>
          <w:p>
            <w:r>
              <w:rPr>
                <w:b/>
              </w:rPr>
              <w:t>Do not start with the full graph. Build and validate the quote-context embodiment first.</w:t>
            </w:r>
          </w:p>
        </w:tc>
      </w:tr>
    </w:tbl>
    <w:p>
      <w:pPr>
        <w:pStyle w:val="ListNumber"/>
      </w:pPr>
      <w:r>
        <w:t>Select two or three source classes with stable provenance.</w:t>
      </w:r>
    </w:p>
    <w:p>
      <w:pPr>
        <w:pStyle w:val="ListNumber"/>
      </w:pPr>
      <w:r>
        <w:t>Create the first controlled transformation generator.</w:t>
      </w:r>
    </w:p>
    <w:p>
      <w:pPr>
        <w:pStyle w:val="ListNumber"/>
      </w:pPr>
      <w:r>
        <w:t>Write annotation guidelines for quote integrity and five context-loss labels.</w:t>
      </w:r>
    </w:p>
    <w:p>
      <w:pPr>
        <w:pStyle w:val="ListNumber"/>
      </w:pPr>
      <w:r>
        <w:t>Create a small double-annotated pilot.</w:t>
      </w:r>
    </w:p>
    <w:p>
      <w:pPr>
        <w:pStyle w:val="ListNumber"/>
      </w:pPr>
      <w:r>
        <w:t>Implement TF-IDF, BM25, MiniLM, and E5-small retrieval baselines.</w:t>
      </w:r>
    </w:p>
    <w:p>
      <w:pPr>
        <w:pStyle w:val="ListNumber"/>
      </w:pPr>
      <w:r>
        <w:t>Implement token-level local alignment for near-verbatim quotes.</w:t>
      </w:r>
    </w:p>
    <w:p>
      <w:pPr>
        <w:pStyle w:val="ListNumber"/>
      </w:pPr>
      <w:r>
        <w:t>Implement attribution, negation, qualification, correction, and temporal features.</w:t>
      </w:r>
    </w:p>
    <w:p>
      <w:pPr>
        <w:pStyle w:val="ListNumber"/>
      </w:pPr>
      <w:r>
        <w:t>Train a simple transformation classifier and calibrate it.</w:t>
      </w:r>
    </w:p>
    <w:p>
      <w:pPr>
        <w:pStyle w:val="ListNumber"/>
      </w:pPr>
      <w:r>
        <w:t>Add abstention and risk-coverage evaluation.</w:t>
      </w:r>
    </w:p>
    <w:p>
      <w:pPr>
        <w:pStyle w:val="ListNumber"/>
      </w:pPr>
      <w:r>
        <w:t>Only then add signed strength and graph construction.</w:t>
      </w:r>
    </w:p>
    <w:p>
      <w:pPr>
        <w:pStyle w:val="Heading2"/>
      </w:pPr>
      <w:r>
        <w:t>24.1 Minimal publishable output</w:t>
      </w:r>
    </w:p>
    <w:p>
      <w:pPr>
        <w:spacing w:before="80" w:after="120"/>
        <w:ind w:left="259" w:right="259"/>
        <w:shd w:fill="EEF2F5"/>
      </w:pPr>
      <w:r>
        <w:rPr>
          <w:rFonts w:ascii="Consolas" w:hAnsi="Consolas"/>
          <w:color w:val="17202A"/>
          <w:sz w:val="15"/>
        </w:rPr>
        <w:t>Input:</w:t>
        <w:br/>
        <w:t>- source transcript or statement</w:t>
        <w:br/>
        <w:t>- published quotation</w:t>
        <w:br/>
        <w:t>- article context sentence</w:t>
        <w:br/>
        <w:br/>
        <w:t>Output:</w:t>
        <w:br/>
        <w:t>- best source span</w:t>
        <w:br/>
        <w:t>- quote integrity class</w:t>
        <w:br/>
        <w:t>- lost context features</w:t>
        <w:br/>
        <w:t>- attribution status</w:t>
        <w:br/>
        <w:t>- signed strength direction</w:t>
        <w:br/>
        <w:t>- alignment confidence</w:t>
        <w:br/>
        <w:t>- transformation confidence</w:t>
        <w:br/>
        <w:t>- evidence sufficiency</w:t>
        <w:br/>
        <w:t>- abstention decision</w:t>
      </w:r>
    </w:p>
    <w:p>
      <w:pPr>
        <w:pStyle w:val="Heading1"/>
      </w:pPr>
      <w:r>
        <w:t>25. Worked example</w:t>
      </w:r>
    </w:p>
    <w:p>
      <w:r>
        <w:t>Source: “We do not expect prices to fall immediately, although the policy may reduce inflation over the next two quarters.”</w:t>
      </w:r>
    </w:p>
    <w:p>
      <w:r>
        <w:t>Published headline: “Policy will reduce prices.”</w:t>
      </w:r>
    </w:p>
    <w:tbl>
      <w:tblPr>
        <w:tblStyle w:val="TableGrid"/>
        <w:tblW w:type="auto" w:w="0"/>
        <w:jc w:val="center"/>
        <w:tblLook w:firstColumn="1" w:firstRow="1" w:lastColumn="0" w:lastRow="0" w:noHBand="0" w:noVBand="1" w:val="04A0"/>
      </w:tblPr>
      <w:tblGrid>
        <w:gridCol w:w="2556"/>
        <w:gridCol w:w="2556"/>
        <w:gridCol w:w="2556"/>
        <w:gridCol w:w="2556"/>
      </w:tblGrid>
      <w:tr>
        <w:trPr>
          <w:tblHeader/>
        </w:trPr>
        <w:tc>
          <w:tcPr>
            <w:tcW w:type="dxa" w:w="2556"/>
            <w:shd w:fill="17324D"/>
          </w:tcPr>
          <w:p>
            <w:r>
              <w:rPr>
                <w:b/>
                <w:color w:val="FFFFFF"/>
                <w:sz w:val="16"/>
              </w:rPr>
              <w:t>Analysis dimension</w:t>
            </w:r>
          </w:p>
        </w:tc>
        <w:tc>
          <w:tcPr>
            <w:tcW w:type="dxa" w:w="2556"/>
            <w:shd w:fill="17324D"/>
          </w:tcPr>
          <w:p>
            <w:r>
              <w:rPr>
                <w:b/>
                <w:color w:val="FFFFFF"/>
                <w:sz w:val="16"/>
              </w:rPr>
              <w:t>Source</w:t>
            </w:r>
          </w:p>
        </w:tc>
        <w:tc>
          <w:tcPr>
            <w:tcW w:type="dxa" w:w="2556"/>
            <w:shd w:fill="17324D"/>
          </w:tcPr>
          <w:p>
            <w:r>
              <w:rPr>
                <w:b/>
                <w:color w:val="FFFFFF"/>
                <w:sz w:val="16"/>
              </w:rPr>
              <w:t>Published</w:t>
            </w:r>
          </w:p>
        </w:tc>
        <w:tc>
          <w:tcPr>
            <w:tcW w:type="dxa" w:w="2556"/>
            <w:shd w:fill="17324D"/>
          </w:tcPr>
          <w:p>
            <w:r>
              <w:rPr>
                <w:b/>
                <w:color w:val="FFFFFF"/>
                <w:sz w:val="16"/>
              </w:rPr>
              <w:t>Candidate transformation</w:t>
            </w:r>
          </w:p>
        </w:tc>
      </w:tr>
      <w:tr>
        <w:tc>
          <w:tcPr>
            <w:tcW w:type="dxa" w:w="2556"/>
            <w:vAlign w:val="top"/>
          </w:tcPr>
          <w:p>
            <w:r>
              <w:rPr>
                <w:sz w:val="15"/>
              </w:rPr>
              <w:t>Negation</w:t>
            </w:r>
          </w:p>
        </w:tc>
        <w:tc>
          <w:tcPr>
            <w:tcW w:type="dxa" w:w="2556"/>
            <w:vAlign w:val="top"/>
          </w:tcPr>
          <w:p>
            <w:r>
              <w:rPr>
                <w:sz w:val="15"/>
              </w:rPr>
              <w:t>do not expect prices to fall</w:t>
            </w:r>
          </w:p>
        </w:tc>
        <w:tc>
          <w:tcPr>
            <w:tcW w:type="dxa" w:w="2556"/>
            <w:vAlign w:val="top"/>
          </w:tcPr>
          <w:p>
            <w:r>
              <w:rPr>
                <w:sz w:val="15"/>
              </w:rPr>
              <w:t>absent</w:t>
            </w:r>
          </w:p>
        </w:tc>
        <w:tc>
          <w:tcPr>
            <w:tcW w:type="dxa" w:w="2556"/>
            <w:vAlign w:val="top"/>
          </w:tcPr>
          <w:p>
            <w:r>
              <w:rPr>
                <w:sz w:val="15"/>
              </w:rPr>
              <w:t>NEGATION / PROPOSITIONAL CONTEXT LOST</w:t>
            </w:r>
          </w:p>
        </w:tc>
      </w:tr>
      <w:tr>
        <w:tc>
          <w:tcPr>
            <w:tcW w:type="dxa" w:w="2556"/>
            <w:vAlign w:val="top"/>
            <w:shd w:fill="F3F6F9"/>
          </w:tcPr>
          <w:p>
            <w:r>
              <w:rPr>
                <w:sz w:val="15"/>
              </w:rPr>
              <w:t>Object</w:t>
            </w:r>
          </w:p>
        </w:tc>
        <w:tc>
          <w:tcPr>
            <w:tcW w:type="dxa" w:w="2556"/>
            <w:vAlign w:val="top"/>
            <w:shd w:fill="F3F6F9"/>
          </w:tcPr>
          <w:p>
            <w:r>
              <w:rPr>
                <w:sz w:val="15"/>
              </w:rPr>
              <w:t>inflation</w:t>
            </w:r>
          </w:p>
        </w:tc>
        <w:tc>
          <w:tcPr>
            <w:tcW w:type="dxa" w:w="2556"/>
            <w:vAlign w:val="top"/>
            <w:shd w:fill="F3F6F9"/>
          </w:tcPr>
          <w:p>
            <w:r>
              <w:rPr>
                <w:sz w:val="15"/>
              </w:rPr>
              <w:t>prices</w:t>
            </w:r>
          </w:p>
        </w:tc>
        <w:tc>
          <w:tcPr>
            <w:tcW w:type="dxa" w:w="2556"/>
            <w:vAlign w:val="top"/>
            <w:shd w:fill="F3F6F9"/>
          </w:tcPr>
          <w:p>
            <w:r>
              <w:rPr>
                <w:sz w:val="15"/>
              </w:rPr>
              <w:t>SUBJECT OR PREDICATE SHIFT</w:t>
            </w:r>
          </w:p>
        </w:tc>
      </w:tr>
      <w:tr>
        <w:tc>
          <w:tcPr>
            <w:tcW w:type="dxa" w:w="2556"/>
            <w:vAlign w:val="top"/>
          </w:tcPr>
          <w:p>
            <w:r>
              <w:rPr>
                <w:sz w:val="15"/>
              </w:rPr>
              <w:t>Modality</w:t>
            </w:r>
          </w:p>
        </w:tc>
        <w:tc>
          <w:tcPr>
            <w:tcW w:type="dxa" w:w="2556"/>
            <w:vAlign w:val="top"/>
          </w:tcPr>
          <w:p>
            <w:r>
              <w:rPr>
                <w:sz w:val="15"/>
              </w:rPr>
              <w:t>may reduce</w:t>
            </w:r>
          </w:p>
        </w:tc>
        <w:tc>
          <w:tcPr>
            <w:tcW w:type="dxa" w:w="2556"/>
            <w:vAlign w:val="top"/>
          </w:tcPr>
          <w:p>
            <w:r>
              <w:rPr>
                <w:sz w:val="15"/>
              </w:rPr>
              <w:t>will reduce</w:t>
            </w:r>
          </w:p>
        </w:tc>
        <w:tc>
          <w:tcPr>
            <w:tcW w:type="dxa" w:w="2556"/>
            <w:vAlign w:val="top"/>
          </w:tcPr>
          <w:p>
            <w:r>
              <w:rPr>
                <w:sz w:val="15"/>
              </w:rPr>
              <w:t>STRENGTHENED</w:t>
            </w:r>
          </w:p>
        </w:tc>
      </w:tr>
      <w:tr>
        <w:tc>
          <w:tcPr>
            <w:tcW w:type="dxa" w:w="2556"/>
            <w:vAlign w:val="top"/>
            <w:shd w:fill="F3F6F9"/>
          </w:tcPr>
          <w:p>
            <w:r>
              <w:rPr>
                <w:sz w:val="15"/>
              </w:rPr>
              <w:t>Temporal</w:t>
            </w:r>
          </w:p>
        </w:tc>
        <w:tc>
          <w:tcPr>
            <w:tcW w:type="dxa" w:w="2556"/>
            <w:vAlign w:val="top"/>
            <w:shd w:fill="F3F6F9"/>
          </w:tcPr>
          <w:p>
            <w:r>
              <w:rPr>
                <w:sz w:val="15"/>
              </w:rPr>
              <w:t>over the next two quarters; not immediately</w:t>
            </w:r>
          </w:p>
        </w:tc>
        <w:tc>
          <w:tcPr>
            <w:tcW w:type="dxa" w:w="2556"/>
            <w:vAlign w:val="top"/>
            <w:shd w:fill="F3F6F9"/>
          </w:tcPr>
          <w:p>
            <w:r>
              <w:rPr>
                <w:sz w:val="15"/>
              </w:rPr>
              <w:t>absent</w:t>
            </w:r>
          </w:p>
        </w:tc>
        <w:tc>
          <w:tcPr>
            <w:tcW w:type="dxa" w:w="2556"/>
            <w:vAlign w:val="top"/>
            <w:shd w:fill="F3F6F9"/>
          </w:tcPr>
          <w:p>
            <w:r>
              <w:rPr>
                <w:sz w:val="15"/>
              </w:rPr>
              <w:t>TEMPORAL_CONTEXT_REMOVED</w:t>
            </w:r>
          </w:p>
        </w:tc>
      </w:tr>
      <w:tr>
        <w:tc>
          <w:tcPr>
            <w:tcW w:type="dxa" w:w="2556"/>
            <w:vAlign w:val="top"/>
          </w:tcPr>
          <w:p>
            <w:r>
              <w:rPr>
                <w:sz w:val="15"/>
              </w:rPr>
              <w:t>Concession</w:t>
            </w:r>
          </w:p>
        </w:tc>
        <w:tc>
          <w:tcPr>
            <w:tcW w:type="dxa" w:w="2556"/>
            <w:vAlign w:val="top"/>
          </w:tcPr>
          <w:p>
            <w:r>
              <w:rPr>
                <w:sz w:val="15"/>
              </w:rPr>
              <w:t>although</w:t>
            </w:r>
          </w:p>
        </w:tc>
        <w:tc>
          <w:tcPr>
            <w:tcW w:type="dxa" w:w="2556"/>
            <w:vAlign w:val="top"/>
          </w:tcPr>
          <w:p>
            <w:r>
              <w:rPr>
                <w:sz w:val="15"/>
              </w:rPr>
              <w:t>absent</w:t>
            </w:r>
          </w:p>
        </w:tc>
        <w:tc>
          <w:tcPr>
            <w:tcW w:type="dxa" w:w="2556"/>
            <w:vAlign w:val="top"/>
          </w:tcPr>
          <w:p>
            <w:r>
              <w:rPr>
                <w:sz w:val="15"/>
              </w:rPr>
              <w:t>CONCESSION_REMOVED</w:t>
            </w:r>
          </w:p>
        </w:tc>
      </w:tr>
      <w:tr>
        <w:tc>
          <w:tcPr>
            <w:tcW w:type="dxa" w:w="2556"/>
            <w:vAlign w:val="top"/>
            <w:shd w:fill="F3F6F9"/>
          </w:tcPr>
          <w:p>
            <w:r>
              <w:rPr>
                <w:sz w:val="15"/>
              </w:rPr>
              <w:t>Evidence sufficiency</w:t>
            </w:r>
          </w:p>
        </w:tc>
        <w:tc>
          <w:tcPr>
            <w:tcW w:type="dxa" w:w="2556"/>
            <w:vAlign w:val="top"/>
            <w:shd w:fill="F3F6F9"/>
          </w:tcPr>
          <w:p>
            <w:r>
              <w:rPr>
                <w:sz w:val="15"/>
              </w:rPr>
              <w:t>single source sentence supports comparison</w:t>
            </w:r>
          </w:p>
        </w:tc>
        <w:tc>
          <w:tcPr>
            <w:tcW w:type="dxa" w:w="2556"/>
            <w:vAlign w:val="top"/>
            <w:shd w:fill="F3F6F9"/>
          </w:tcPr>
          <w:p>
            <w:r>
              <w:rPr>
                <w:sz w:val="15"/>
              </w:rPr>
              <w:t>headline aligned to sentence</w:t>
            </w:r>
          </w:p>
        </w:tc>
        <w:tc>
          <w:tcPr>
            <w:tcW w:type="dxa" w:w="2556"/>
            <w:vAlign w:val="top"/>
            <w:shd w:fill="F3F6F9"/>
          </w:tcPr>
          <w:p>
            <w:r>
              <w:rPr>
                <w:sz w:val="15"/>
              </w:rPr>
              <w:t>Sufficient if alignment confidence is above threshold</w:t>
            </w:r>
          </w:p>
        </w:tc>
      </w:tr>
    </w:tbl>
    <w:p>
      <w:pPr>
        <w:spacing w:before="80" w:after="120"/>
        <w:ind w:left="259" w:right="259"/>
        <w:shd w:fill="EEF2F5"/>
      </w:pPr>
      <w:r>
        <w:rPr>
          <w:rFonts w:ascii="Consolas" w:hAnsi="Consolas"/>
          <w:color w:val="17202A"/>
          <w:sz w:val="15"/>
        </w:rPr>
        <w:t>Candidate output</w:t>
        <w:br/>
        <w:t>alignment_relation: PARAPHRASED_WITH_MATERIAL_CHANGE</w:t>
        <w:br/>
        <w:t>context_transformations:</w:t>
        <w:br/>
        <w:t xml:space="preserve">  - TEMPORAL_CONTEXT_REMOVED</w:t>
        <w:br/>
        <w:t xml:space="preserve">  - CONCESSION_REMOVED</w:t>
        <w:br/>
        <w:t xml:space="preserve">  - UNCERTAINTY_REMOVED</w:t>
        <w:br/>
        <w:t>strength_direction: STRENGTHENED</w:t>
        <w:br/>
        <w:t>additional_issue: INFLATION_TO_PRICES_SEMANTIC_SHIFT</w:t>
        <w:br/>
        <w:t>bias_conclusion: WITHHELD</w:t>
        <w:br/>
        <w:t>human_review_required: true</w:t>
      </w:r>
    </w:p>
    <w:p>
      <w:pPr>
        <w:pStyle w:val="Heading1"/>
      </w:pPr>
      <w:r>
        <w:t>26. Final success criteria</w:t>
      </w:r>
    </w:p>
    <w:p>
      <w:pPr>
        <w:pStyle w:val="ListBullet"/>
      </w:pPr>
      <w:r>
        <w:t>The task is source-to-publication transformation detection, not generic bias classification.</w:t>
      </w:r>
    </w:p>
    <w:p>
      <w:pPr>
        <w:pStyle w:val="ListBullet"/>
      </w:pPr>
      <w:r>
        <w:t>Every accepted transformation has a source span and published span.</w:t>
      </w:r>
    </w:p>
    <w:p>
      <w:pPr>
        <w:pStyle w:val="ListBullet"/>
      </w:pPr>
      <w:r>
        <w:t>The system distinguishes alignment confidence from transformation confidence.</w:t>
      </w:r>
    </w:p>
    <w:p>
      <w:pPr>
        <w:pStyle w:val="ListBullet"/>
      </w:pPr>
      <w:r>
        <w:t>The system supports split, merge, unsupported, and abstained cases.</w:t>
      </w:r>
    </w:p>
    <w:p>
      <w:pPr>
        <w:pStyle w:val="ListBullet"/>
      </w:pPr>
      <w:r>
        <w:t>Context loss is evaluated with explicit discourse features.</w:t>
      </w:r>
    </w:p>
    <w:p>
      <w:pPr>
        <w:pStyle w:val="ListBullet"/>
      </w:pPr>
      <w:r>
        <w:t>Semantic strength retains direction and can return MIXED or INCOMPARABLE.</w:t>
      </w:r>
    </w:p>
    <w:p>
      <w:pPr>
        <w:pStyle w:val="ListBullet"/>
      </w:pPr>
      <w:r>
        <w:t>Synthetic and real test data remain separated.</w:t>
      </w:r>
    </w:p>
    <w:p>
      <w:pPr>
        <w:pStyle w:val="ListBullet"/>
      </w:pPr>
      <w:r>
        <w:t>Event, publisher, source-type, and transformation-held-out evaluations are reported.</w:t>
      </w:r>
    </w:p>
    <w:p>
      <w:pPr>
        <w:pStyle w:val="ListBullet"/>
      </w:pPr>
      <w:r>
        <w:t>Baselines include lexical, dense, NLI, pair-encoder, and direct small-LLM comparisons.</w:t>
      </w:r>
    </w:p>
    <w:p>
      <w:pPr>
        <w:pStyle w:val="ListBullet"/>
      </w:pPr>
      <w:r>
        <w:t>Calibration and abstention are evaluated with risk-coverage analysis.</w:t>
      </w:r>
    </w:p>
    <w:p>
      <w:pPr>
        <w:pStyle w:val="ListBullet"/>
      </w:pPr>
      <w:r>
        <w:t>Annotation agreement is reported by label and span.</w:t>
      </w:r>
    </w:p>
    <w:p>
      <w:pPr>
        <w:pStyle w:val="ListBullet"/>
      </w:pPr>
      <w:r>
        <w:t>No ideological or intent conclusion is inferred from the transformation graph.</w:t>
      </w:r>
    </w:p>
    <w:p>
      <w:pPr>
        <w:pStyle w:val="ListBullet"/>
      </w:pPr>
      <w:r>
        <w:t>All data provenance, licences, splits, code versions, parameters, and predictions are documented.</w:t>
      </w:r>
    </w:p>
    <w:p>
      <w:pPr>
        <w:pStyle w:val="ListBullet"/>
      </w:pPr>
      <w:r>
        <w:t>Negative findings and failed hypotheses are reported.</w:t>
      </w:r>
    </w:p>
    <w:p>
      <w:pPr>
        <w:pStyle w:val="Heading1"/>
      </w:pPr>
      <w:r>
        <w:t>27. References and verified resources</w:t>
      </w:r>
    </w:p>
    <w:p>
      <w:r>
        <w:rPr>
          <w:b/>
        </w:rPr>
        <w:t xml:space="preserve">Media Bias Detector: Designing and Implementing a Tool for Real-Time Selection and Framing Bias Analysis in News Coverage: </w:t>
      </w:r>
      <w:hyperlink r:id="rId11">
        <w:r>
          <w:rPr>
            <w:color w:val="0563C1"/>
            <w:u w:val="single"/>
          </w:rPr>
          <w:t>Source</w:t>
        </w:r>
      </w:hyperlink>
    </w:p>
    <w:p>
      <w:r>
        <w:rPr>
          <w:b/>
        </w:rPr>
        <w:t xml:space="preserve">The Media Bias Detector: A Framework for Annotating and Analyzing the News at Scale: </w:t>
      </w:r>
      <w:hyperlink r:id="rId12">
        <w:r>
          <w:rPr>
            <w:color w:val="0563C1"/>
            <w:u w:val="single"/>
          </w:rPr>
          <w:t>Source</w:t>
        </w:r>
      </w:hyperlink>
    </w:p>
    <w:p>
      <w:r>
        <w:rPr>
          <w:b/>
        </w:rPr>
        <w:t xml:space="preserve">The MediaSpin Dataset: </w:t>
      </w:r>
      <w:hyperlink r:id="rId13">
        <w:r>
          <w:rPr>
            <w:color w:val="0563C1"/>
            <w:u w:val="single"/>
          </w:rPr>
          <w:t>Source</w:t>
        </w:r>
      </w:hyperlink>
    </w:p>
    <w:p>
      <w:r>
        <w:rPr>
          <w:b/>
        </w:rPr>
        <w:t xml:space="preserve">Frame In, Frame Out: </w:t>
      </w:r>
      <w:hyperlink r:id="rId14">
        <w:r>
          <w:rPr>
            <w:color w:val="0563C1"/>
            <w:u w:val="single"/>
          </w:rPr>
          <w:t>Source</w:t>
        </w:r>
      </w:hyperlink>
    </w:p>
    <w:p>
      <w:r>
        <w:rPr>
          <w:b/>
        </w:rPr>
        <w:t xml:space="preserve">NewsMediaBias-Plus Dataset: </w:t>
      </w:r>
      <w:hyperlink r:id="rId15">
        <w:r>
          <w:rPr>
            <w:color w:val="0563C1"/>
            <w:u w:val="single"/>
          </w:rPr>
          <w:t>Source</w:t>
        </w:r>
      </w:hyperlink>
    </w:p>
    <w:p>
      <w:r>
        <w:rPr>
          <w:b/>
        </w:rPr>
        <w:t xml:space="preserve">DirectQuote: </w:t>
      </w:r>
      <w:hyperlink r:id="rId16">
        <w:r>
          <w:rPr>
            <w:color w:val="0563C1"/>
            <w:u w:val="single"/>
          </w:rPr>
          <w:t>Source</w:t>
        </w:r>
      </w:hyperlink>
    </w:p>
    <w:p>
      <w:r>
        <w:rPr>
          <w:b/>
        </w:rPr>
        <w:t xml:space="preserve">NewsQuote: </w:t>
      </w:r>
      <w:hyperlink r:id="rId17">
        <w:r>
          <w:rPr>
            <w:color w:val="0563C1"/>
            <w:u w:val="single"/>
          </w:rPr>
          <w:t>Source</w:t>
        </w:r>
      </w:hyperlink>
    </w:p>
    <w:p>
      <w:r>
        <w:rPr>
          <w:b/>
        </w:rPr>
        <w:t xml:space="preserve">Probing Natural Language Inference Models through Semantic Fragments: </w:t>
      </w:r>
      <w:hyperlink r:id="rId18">
        <w:r>
          <w:rPr>
            <w:color w:val="0563C1"/>
            <w:u w:val="single"/>
          </w:rPr>
          <w:t>Source</w:t>
        </w:r>
      </w:hyperlink>
    </w:p>
    <w:p>
      <w:r>
        <w:rPr>
          <w:b/>
        </w:rPr>
        <w:t xml:space="preserve">Capturing the Varieties of Natural Language Inference: </w:t>
      </w:r>
      <w:hyperlink r:id="rId19">
        <w:r>
          <w:rPr>
            <w:color w:val="0563C1"/>
            <w:u w:val="single"/>
          </w:rPr>
          <w:t>Source</w:t>
        </w:r>
      </w:hyperlink>
    </w:p>
    <w:p>
      <w:r>
        <w:rPr>
          <w:b/>
        </w:rPr>
        <w:t xml:space="preserve">Text Alignment with Smith-Waterman: </w:t>
      </w:r>
      <w:hyperlink r:id="rId20">
        <w:r>
          <w:rPr>
            <w:color w:val="0563C1"/>
            <w:u w:val="single"/>
          </w:rPr>
          <w:t>Source</w:t>
        </w:r>
      </w:hyperlink>
    </w:p>
    <w:p>
      <w:r>
        <w:rPr>
          <w:b/>
        </w:rPr>
        <w:t xml:space="preserve">Krippendorff Alpha Annotation Agreement Guide: </w:t>
      </w:r>
      <w:hyperlink r:id="rId21">
        <w:r>
          <w:rPr>
            <w:color w:val="0563C1"/>
            <w:u w:val="single"/>
          </w:rPr>
          <w:t>Source</w:t>
        </w:r>
      </w:hyperlink>
    </w:p>
    <w:sectPr w:rsidR="00FC693F" w:rsidRPr="0006063C" w:rsidSect="00034616">
      <w:headerReference w:type="default" r:id="rId9"/>
      <w:footerReference w:type="default" r:id="rId10"/>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4"/>
      </w:rPr>
      <w:t>Research Bible | Claim Alignment • Quote Integrity • Semantic Strength • Provenance Graphs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F5A94"/>
        <w:sz w:val="15"/>
      </w:rPr>
      <w:t>EDITORIAL TRANSFORMATION PROVENANCE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F5A94"/>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37C8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502.06009" TargetMode="External"/><Relationship Id="rId12" Type="http://schemas.openxmlformats.org/officeDocument/2006/relationships/hyperlink" Target="https://arxiv.org/html/2509.25649v1" TargetMode="External"/><Relationship Id="rId13" Type="http://schemas.openxmlformats.org/officeDocument/2006/relationships/hyperlink" Target="https://ojs.aaai.org/index.php/ICWSM/article/view/42794" TargetMode="External"/><Relationship Id="rId14" Type="http://schemas.openxmlformats.org/officeDocument/2006/relationships/hyperlink" Target="https://aclanthology.org/2026.starsem-conference.25/" TargetMode="External"/><Relationship Id="rId15" Type="http://schemas.openxmlformats.org/officeDocument/2006/relationships/hyperlink" Target="https://vectorinstitute.github.io/Newsmediabias-plus/dataset.html" TargetMode="External"/><Relationship Id="rId16" Type="http://schemas.openxmlformats.org/officeDocument/2006/relationships/hyperlink" Target="https://aclanthology.org/2022.lrec-1.752/" TargetMode="External"/><Relationship Id="rId17" Type="http://schemas.openxmlformats.org/officeDocument/2006/relationships/hyperlink" Target="https://arxiv.org/abs/2305.04825" TargetMode="External"/><Relationship Id="rId18" Type="http://schemas.openxmlformats.org/officeDocument/2006/relationships/hyperlink" Target="https://arxiv.org/abs/1909.07521" TargetMode="External"/><Relationship Id="rId19" Type="http://schemas.openxmlformats.org/officeDocument/2006/relationships/hyperlink" Target="https://link.springer.com/article/10.1007/s10849-023-09410-4" TargetMode="External"/><Relationship Id="rId20" Type="http://schemas.openxmlformats.org/officeDocument/2006/relationships/hyperlink" Target="https://cran.r-universe.dev/text.alignment/doc/manual.html" TargetMode="External"/><Relationship Id="rId21" Type="http://schemas.openxmlformats.org/officeDocument/2006/relationships/hyperlink" Target="https://labelstud.io/blog/how-to-use-krippendorff-s-alpha-to-measure-annotation-agre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Editorial Transformation Provenance Research Bible</dc:title>
  <dc:subject>Source-to-publication claim alignment, quote context, semantic strength, provenance graphs and abstention</dc:subject>
  <dc:creator>Adithyash BChandaralingam</dc:creator>
  <keywords>media bias, editorial transformation provenance, quote integrity, source alignment, semantic strength, provenance graph</keywords>
  <dc:description>generated by python-docx</dc:description>
  <lastModifiedBy>Adithyash BChandaralingam</lastModifiedBy>
  <revision>1</revision>
  <dcterms:created xsi:type="dcterms:W3CDTF">2026-10-15T08:36:45.0308510Z</dcterms:created>
  <dcterms:modified xsi:type="dcterms:W3CDTF">2026-10-15T08:36:45.0308510Z</dcterms:modified>
  <category/>
</coreProperties>
</file>