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8-20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FC6D20" w:rsidP="00346B48">
          <w:pPr>
            <w:pStyle w:val="NoSpacing"/>
          </w:pPr>
          <w:r>
            <w:t>8/20</w:t>
          </w:r>
          <w:r w:rsidR="001C6AAD">
            <w:t>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B83813" w:rsidRDefault="00B83813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t xml:space="preserve">Specify transducers (e.g. SIL Converters) to automatically create sort keys or convert to other writing systems. </w:t>
      </w:r>
    </w:p>
    <w:p w:rsidR="00B83813" w:rsidRPr="00B83813" w:rsidRDefault="00B83813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1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8D5EEB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>. Currently xml-only.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E311BF" w:rsidP="00D738B4">
      <w:pPr>
        <w:pStyle w:val="Heading3"/>
      </w:pPr>
      <w:r>
        <w:rPr>
          <w:rFonts w:ascii="MS Mincho" w:eastAsia="MS Mincho" w:hAnsi="MS Mincho" w:cs="MS Mincho"/>
          <w:sz w:val="18"/>
        </w:rPr>
        <w:t>~</w:t>
      </w:r>
      <w:r w:rsidRPr="00872A7C">
        <w:rPr>
          <w:rFonts w:ascii="MS Mincho" w:eastAsia="MS Mincho" w:hAnsi="MS Mincho" w:cs="MS Mincho" w:hint="eastAsia"/>
          <w:sz w:val="18"/>
        </w:rPr>
        <w:t>➀</w:t>
      </w:r>
      <w:r w:rsidR="00EA2466">
        <w:t xml:space="preserve"> Localization via </w:t>
      </w:r>
      <w:hyperlink r:id="rId12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872A7C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91552D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Senses can have one or more pictures.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00484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 collection traits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lastRenderedPageBreak/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D907C2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C12AD7" w:rsidP="00690790">
      <w:pPr>
        <w:pStyle w:val="Heading3"/>
      </w:pPr>
      <w:r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Add/draw Illustrations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50377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 Key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872A7C" w:rsidP="00690790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 w:rsidR="00317AA7">
        <w:t xml:space="preserve"> </w:t>
      </w:r>
      <w:r w:rsidR="006E5BFF">
        <w:t>Print draft dictionary.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lastRenderedPageBreak/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lastRenderedPageBreak/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3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097" w:rsidRDefault="00D91097" w:rsidP="00CE3CA9">
      <w:r>
        <w:separator/>
      </w:r>
    </w:p>
  </w:endnote>
  <w:endnote w:type="continuationSeparator" w:id="1">
    <w:p w:rsidR="00D91097" w:rsidRDefault="00D91097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097" w:rsidRDefault="00D91097" w:rsidP="00CE3CA9">
      <w:r>
        <w:separator/>
      </w:r>
    </w:p>
  </w:footnote>
  <w:footnote w:type="continuationSeparator" w:id="1">
    <w:p w:rsidR="00D91097" w:rsidRDefault="00D91097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124EDB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8D5EEB"/>
    <w:rsid w:val="0091552D"/>
    <w:rsid w:val="00960C46"/>
    <w:rsid w:val="0096655D"/>
    <w:rsid w:val="0097135A"/>
    <w:rsid w:val="00976F35"/>
    <w:rsid w:val="009803DE"/>
    <w:rsid w:val="009B52F0"/>
    <w:rsid w:val="009D625C"/>
    <w:rsid w:val="00A608D6"/>
    <w:rsid w:val="00A729BF"/>
    <w:rsid w:val="00AB6380"/>
    <w:rsid w:val="00B02869"/>
    <w:rsid w:val="00B059DF"/>
    <w:rsid w:val="00B171BA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3E51"/>
    <w:rsid w:val="00D738B4"/>
    <w:rsid w:val="00D907C2"/>
    <w:rsid w:val="00D91097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wiki/LIF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oedit.ne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i18n.org/specs/ldml/1.0/ldml-spec.ht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451385"/>
    <w:rsid w:val="004F357B"/>
    <w:rsid w:val="00615AA8"/>
    <w:rsid w:val="007F4D2E"/>
    <w:rsid w:val="00835055"/>
    <w:rsid w:val="00B962BD"/>
    <w:rsid w:val="00C41392"/>
    <w:rsid w:val="00CA7DB2"/>
    <w:rsid w:val="00D9601C"/>
    <w:rsid w:val="00EB41F0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7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47</cp:revision>
  <cp:lastPrinted>2007-06-01T07:36:00Z</cp:lastPrinted>
  <dcterms:created xsi:type="dcterms:W3CDTF">2007-04-19T04:27:00Z</dcterms:created>
  <dcterms:modified xsi:type="dcterms:W3CDTF">2007-08-23T08:46:00Z</dcterms:modified>
</cp:coreProperties>
</file>