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MatadorAudit -- Team Reference Guide</w:t>
      </w:r>
    </w:p>
    <w:p>
      <w:pPr>
        <w:jc w:val="center"/>
      </w:pPr>
      <w:r>
        <w:rPr>
          <w:b/>
        </w:rPr>
        <w:t>Quick-reference for data rules, demo datasets, and AI/API components</w:t>
      </w:r>
    </w:p>
    <w:p/>
    <w:p>
      <w:pPr>
        <w:pStyle w:val="Heading1"/>
      </w:pPr>
      <w:r>
        <w:rPr>
          <w:color w:val="CF0A2C"/>
        </w:rPr>
        <w:t>Section 1: Data Rules</w:t>
      </w:r>
    </w:p>
    <w:p>
      <w:r>
        <w:t>All data used in MatadorAudit is synthetic. No real CSUN student records were accessed, uploaded, or shared with any AI platform.</w:t>
      </w:r>
    </w:p>
    <w:p/>
    <w:p>
      <w:pPr>
        <w:pStyle w:val="Heading2"/>
      </w:pPr>
      <w:r>
        <w:t>Synthetic Data Demographics (modeled on public CSUN data)</w:t>
      </w:r>
    </w:p>
    <w:p>
      <w:r>
        <w:t>The synthetic dataset reflects real CSUN demographic proportions from publicly available sources:</w:t>
      </w:r>
    </w:p>
    <w:tbl>
      <w:tblPr>
        <w:tblStyle w:val="LightGrid-Accent1"/>
        <w:tblW w:type="auto" w:w="0"/>
        <w:tblLook w:firstColumn="1" w:firstRow="1" w:lastColumn="0" w:lastRow="0" w:noHBand="0" w:noVBand="1" w:val="04A0"/>
      </w:tblPr>
      <w:tblGrid>
        <w:gridCol w:w="4320"/>
        <w:gridCol w:w="4320"/>
      </w:tblGrid>
      <w:tr>
        <w:tc>
          <w:tcPr>
            <w:tcW w:type="dxa" w:w="4320"/>
          </w:tcPr>
          <w:p>
            <w:r>
              <w:t>Demographic</w:t>
            </w:r>
          </w:p>
        </w:tc>
        <w:tc>
          <w:tcPr>
            <w:tcW w:type="dxa" w:w="4320"/>
          </w:tcPr>
          <w:p>
            <w:r>
              <w:t>Proportion</w:t>
            </w:r>
          </w:p>
        </w:tc>
      </w:tr>
      <w:tr>
        <w:tc>
          <w:tcPr>
            <w:tcW w:type="dxa" w:w="4320"/>
          </w:tcPr>
          <w:p>
            <w:r>
              <w:t>Hispanic/Latino</w:t>
            </w:r>
          </w:p>
        </w:tc>
        <w:tc>
          <w:tcPr>
            <w:tcW w:type="dxa" w:w="4320"/>
          </w:tcPr>
          <w:p>
            <w:r>
              <w:t>56.2%</w:t>
            </w:r>
          </w:p>
        </w:tc>
      </w:tr>
      <w:tr>
        <w:tc>
          <w:tcPr>
            <w:tcW w:type="dxa" w:w="4320"/>
          </w:tcPr>
          <w:p>
            <w:r>
              <w:t>Pell-Eligible</w:t>
            </w:r>
          </w:p>
        </w:tc>
        <w:tc>
          <w:tcPr>
            <w:tcW w:type="dxa" w:w="4320"/>
          </w:tcPr>
          <w:p>
            <w:r>
              <w:t>58%</w:t>
            </w:r>
          </w:p>
        </w:tc>
      </w:tr>
      <w:tr>
        <w:tc>
          <w:tcPr>
            <w:tcW w:type="dxa" w:w="4320"/>
          </w:tcPr>
          <w:p>
            <w:r>
              <w:t>First-Generation</w:t>
            </w:r>
          </w:p>
        </w:tc>
        <w:tc>
          <w:tcPr>
            <w:tcW w:type="dxa" w:w="4320"/>
          </w:tcPr>
          <w:p>
            <w:r>
              <w:t>47%</w:t>
            </w:r>
          </w:p>
        </w:tc>
      </w:tr>
    </w:tbl>
    <w:p/>
    <w:p>
      <w:pPr>
        <w:pStyle w:val="Heading2"/>
      </w:pPr>
      <w:r>
        <w:t>Data Sources</w:t>
      </w:r>
    </w:p>
    <w:tbl>
      <w:tblPr>
        <w:tblStyle w:val="LightGrid-Accent1"/>
        <w:tblW w:type="auto" w:w="0"/>
        <w:tblLook w:firstColumn="1" w:firstRow="1" w:lastColumn="0" w:lastRow="0" w:noHBand="0" w:noVBand="1" w:val="04A0"/>
      </w:tblPr>
      <w:tblGrid>
        <w:gridCol w:w="4320"/>
        <w:gridCol w:w="4320"/>
      </w:tblGrid>
      <w:tr>
        <w:tc>
          <w:tcPr>
            <w:tcW w:type="dxa" w:w="4320"/>
          </w:tcPr>
          <w:p>
            <w:r>
              <w:t>Source</w:t>
            </w:r>
          </w:p>
        </w:tc>
        <w:tc>
          <w:tcPr>
            <w:tcW w:type="dxa" w:w="4320"/>
          </w:tcPr>
          <w:p>
            <w:r>
              <w:t>What We Used</w:t>
            </w:r>
          </w:p>
        </w:tc>
      </w:tr>
      <w:tr>
        <w:tc>
          <w:tcPr>
            <w:tcW w:type="dxa" w:w="4320"/>
          </w:tcPr>
          <w:p>
            <w:r>
              <w:t>CSUN Institutional Research</w:t>
            </w:r>
          </w:p>
        </w:tc>
        <w:tc>
          <w:tcPr>
            <w:tcW w:type="dxa" w:w="4320"/>
          </w:tcPr>
          <w:p>
            <w:r>
              <w:t>Enrollment demographics, graduation rates, Pell eligibility rates</w:t>
            </w:r>
          </w:p>
        </w:tc>
      </w:tr>
      <w:tr>
        <w:tc>
          <w:tcPr>
            <w:tcW w:type="dxa" w:w="4320"/>
          </w:tcPr>
          <w:p>
            <w:r>
              <w:t>CSUN Fact Sheet</w:t>
            </w:r>
          </w:p>
        </w:tc>
        <w:tc>
          <w:tcPr>
            <w:tcW w:type="dxa" w:w="4320"/>
          </w:tcPr>
          <w:p>
            <w:r>
              <w:t>Student body composition, first-generation percentages</w:t>
            </w:r>
          </w:p>
        </w:tc>
      </w:tr>
      <w:tr>
        <w:tc>
          <w:tcPr>
            <w:tcW w:type="dxa" w:w="4320"/>
          </w:tcPr>
          <w:p>
            <w:r>
              <w:t>IPEDS (NCES)</w:t>
            </w:r>
          </w:p>
        </w:tc>
        <w:tc>
          <w:tcPr>
            <w:tcW w:type="dxa" w:w="4320"/>
          </w:tcPr>
          <w:p>
            <w:r>
              <w:t>Federal enrollment and completion data</w:t>
            </w:r>
          </w:p>
        </w:tc>
      </w:tr>
      <w:tr>
        <w:tc>
          <w:tcPr>
            <w:tcW w:type="dxa" w:w="4320"/>
          </w:tcPr>
          <w:p>
            <w:r>
              <w:t>College Scorecard (US DOE)</w:t>
            </w:r>
          </w:p>
        </w:tc>
        <w:tc>
          <w:tcPr>
            <w:tcW w:type="dxa" w:w="4320"/>
          </w:tcPr>
          <w:p>
            <w:r>
              <w:t>Financial aid rates, income distributions</w:t>
            </w:r>
          </w:p>
        </w:tc>
      </w:tr>
    </w:tbl>
    <w:p/>
    <w:p>
      <w:pPr>
        <w:pStyle w:val="Heading2"/>
      </w:pPr>
      <w:r>
        <w:t>Data Ethics Compliance</w:t>
      </w:r>
    </w:p>
    <w:p>
      <w:pPr>
        <w:pStyle w:val="ListBullet"/>
      </w:pPr>
      <w:r>
        <w:t>No real CSUN student data used -- all synthetic</w:t>
      </w:r>
    </w:p>
    <w:p>
      <w:pPr>
        <w:pStyle w:val="ListBullet"/>
      </w:pPr>
      <w:r>
        <w:t>No copyrighted data</w:t>
      </w:r>
    </w:p>
    <w:p>
      <w:pPr>
        <w:pStyle w:val="ListBullet"/>
      </w:pPr>
      <w:r>
        <w:t>No data involving minors</w:t>
      </w:r>
    </w:p>
    <w:p>
      <w:pPr>
        <w:pStyle w:val="ListBullet"/>
      </w:pPr>
      <w:r>
        <w:t>No commercial promotion</w:t>
      </w:r>
    </w:p>
    <w:p>
      <w:pPr>
        <w:pStyle w:val="ListBullet"/>
      </w:pPr>
      <w:r>
        <w:t>Synthetic data disclosure included in both Netlify site and Streamlit app</w:t>
      </w:r>
    </w:p>
    <w:p>
      <w:pPr>
        <w:pStyle w:val="ListBullet"/>
      </w:pPr>
      <w:r>
        <w:t>AI usage disclosure included in both platforms</w:t>
      </w:r>
    </w:p>
    <w:p/>
    <w:p>
      <w:pPr>
        <w:pStyle w:val="Heading1"/>
      </w:pPr>
      <w:r>
        <w:rPr>
          <w:color w:val="CF0A2C"/>
        </w:rPr>
        <w:t>Section 2: Demo Datasets</w:t>
      </w:r>
    </w:p>
    <w:p>
      <w:r>
        <w:t>Three pre-built synthetic datasets are included for demonstration: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Dataset</w:t>
            </w:r>
          </w:p>
        </w:tc>
        <w:tc>
          <w:tcPr>
            <w:tcW w:type="dxa" w:w="2160"/>
          </w:tcPr>
          <w:p>
            <w:r>
              <w:t>Records</w:t>
            </w:r>
          </w:p>
        </w:tc>
        <w:tc>
          <w:tcPr>
            <w:tcW w:type="dxa" w:w="2160"/>
          </w:tcPr>
          <w:p>
            <w:r>
              <w:t>Columns</w:t>
            </w:r>
          </w:p>
        </w:tc>
        <w:tc>
          <w:tcPr>
            <w:tcW w:type="dxa" w:w="2160"/>
          </w:tcPr>
          <w:p>
            <w:r>
              <w:t>Use Case</w:t>
            </w:r>
          </w:p>
        </w:tc>
      </w:tr>
      <w:tr>
        <w:tc>
          <w:tcPr>
            <w:tcW w:type="dxa" w:w="2160"/>
          </w:tcPr>
          <w:p>
            <w:r>
              <w:t>csun_financial_aid_synthetic.csv</w:t>
            </w:r>
          </w:p>
        </w:tc>
        <w:tc>
          <w:tcPr>
            <w:tcW w:type="dxa" w:w="2160"/>
          </w:tcPr>
          <w:p>
            <w:r>
              <w:t>5,000</w:t>
            </w:r>
          </w:p>
        </w:tc>
        <w:tc>
          <w:tcPr>
            <w:tcW w:type="dxa" w:w="2160"/>
          </w:tcPr>
          <w:p>
            <w:r>
              <w:t>15</w:t>
            </w:r>
          </w:p>
        </w:tc>
        <w:tc>
          <w:tcPr>
            <w:tcW w:type="dxa" w:w="2160"/>
          </w:tcPr>
          <w:p>
            <w:r>
              <w:t>Financial aid approval audits, proxy detection, What-If Simulator</w:t>
            </w:r>
          </w:p>
        </w:tc>
      </w:tr>
      <w:tr>
        <w:tc>
          <w:tcPr>
            <w:tcW w:type="dxa" w:w="2160"/>
          </w:tcPr>
          <w:p>
            <w:r>
              <w:t>csun_admissions_synthetic.csv</w:t>
            </w:r>
          </w:p>
        </w:tc>
        <w:tc>
          <w:tcPr>
            <w:tcW w:type="dxa" w:w="2160"/>
          </w:tcPr>
          <w:p>
            <w:r>
              <w:t>5,000</w:t>
            </w:r>
          </w:p>
        </w:tc>
        <w:tc>
          <w:tcPr>
            <w:tcW w:type="dxa" w:w="2160"/>
          </w:tcPr>
          <w:p>
            <w:r>
              <w:t>12</w:t>
            </w:r>
          </w:p>
        </w:tc>
        <w:tc>
          <w:tcPr>
            <w:tcW w:type="dxa" w:w="2160"/>
          </w:tcPr>
          <w:p>
            <w:r>
              <w:t>Admissions screening, at-risk flagging, STEM recommendation audits</w:t>
            </w:r>
          </w:p>
        </w:tc>
      </w:tr>
      <w:tr>
        <w:tc>
          <w:tcPr>
            <w:tcW w:type="dxa" w:w="2160"/>
          </w:tcPr>
          <w:p>
            <w:r>
              <w:t>csun_advising_synthetic.csv</w:t>
            </w:r>
          </w:p>
        </w:tc>
        <w:tc>
          <w:tcPr>
            <w:tcW w:type="dxa" w:w="2160"/>
          </w:tcPr>
          <w:p>
            <w:r>
              <w:t>5,000</w:t>
            </w:r>
          </w:p>
        </w:tc>
        <w:tc>
          <w:tcPr>
            <w:tcW w:type="dxa" w:w="2160"/>
          </w:tcPr>
          <w:p>
            <w:r>
              <w:t>10</w:t>
            </w:r>
          </w:p>
        </w:tc>
        <w:tc>
          <w:tcPr>
            <w:tcW w:type="dxa" w:w="2160"/>
          </w:tcPr>
          <w:p>
            <w:r>
              <w:t>Academic advising quality, scholarship allocation, gender parity</w:t>
            </w:r>
          </w:p>
        </w:tc>
      </w:tr>
    </w:tbl>
    <w:p/>
    <w:p>
      <w:pPr>
        <w:pStyle w:val="Heading1"/>
      </w:pPr>
      <w:r>
        <w:rPr>
          <w:color w:val="CF0A2C"/>
        </w:rPr>
        <w:t>Section 3: What AI/API Is Used</w:t>
      </w:r>
    </w:p>
    <w:p>
      <w:r>
        <w:t>MatadorAudit uses AI in two ways: (1) generating natural-language fairness report cards, and (2) powering the AI Q&amp;A Assistant for follow-up questions.</w:t>
      </w:r>
    </w:p>
    <w:p/>
    <w:p>
      <w:pPr>
        <w:pStyle w:val="Heading2"/>
      </w:pPr>
      <w:r>
        <w:t>AI/API Components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Component</w:t>
            </w:r>
          </w:p>
        </w:tc>
        <w:tc>
          <w:tcPr>
            <w:tcW w:type="dxa" w:w="2160"/>
          </w:tcPr>
          <w:p>
            <w:r>
              <w:t>Provider / Model</w:t>
            </w:r>
          </w:p>
        </w:tc>
        <w:tc>
          <w:tcPr>
            <w:tcW w:type="dxa" w:w="2160"/>
          </w:tcPr>
          <w:p>
            <w:r>
              <w:t>Used in Demo?</w:t>
            </w:r>
          </w:p>
        </w:tc>
        <w:tc>
          <w:tcPr>
            <w:tcW w:type="dxa" w:w="2160"/>
          </w:tcPr>
          <w:p>
            <w:r>
              <w:t>Purpose</w:t>
            </w:r>
          </w:p>
        </w:tc>
      </w:tr>
      <w:tr>
        <w:tc>
          <w:tcPr>
            <w:tcW w:type="dxa" w:w="2160"/>
          </w:tcPr>
          <w:p>
            <w:r>
              <w:t>Groq Q&amp;A (free, built-in)</w:t>
            </w:r>
          </w:p>
        </w:tc>
        <w:tc>
          <w:tcPr>
            <w:tcW w:type="dxa" w:w="2160"/>
          </w:tcPr>
          <w:p>
            <w:r>
              <w:t>Groq API (Llama 3.3 70B)</w:t>
            </w:r>
          </w:p>
        </w:tc>
        <w:tc>
          <w:tcPr>
            <w:tcW w:type="dxa" w:w="2160"/>
          </w:tcPr>
          <w:p>
            <w:r>
              <w:t>YES</w:t>
            </w:r>
          </w:p>
        </w:tc>
        <w:tc>
          <w:tcPr>
            <w:tcW w:type="dxa" w:w="2160"/>
          </w:tcPr>
          <w:p>
            <w:r>
              <w:t>Free AI Q&amp;A built into MatadorAudit -- users can ask follow-up questions about their audit with no setup required</w:t>
            </w:r>
          </w:p>
        </w:tc>
      </w:tr>
      <w:tr>
        <w:tc>
          <w:tcPr>
            <w:tcW w:type="dxa" w:w="2160"/>
          </w:tcPr>
          <w:p>
            <w:r>
              <w:t>Claude Fairness Reports</w:t>
            </w:r>
          </w:p>
        </w:tc>
        <w:tc>
          <w:tcPr>
            <w:tcW w:type="dxa" w:w="2160"/>
          </w:tcPr>
          <w:p>
            <w:r>
              <w:t>Anthropic Claude API</w:t>
            </w:r>
          </w:p>
        </w:tc>
        <w:tc>
          <w:tcPr>
            <w:tcW w:type="dxa" w:w="2160"/>
          </w:tcPr>
          <w:p>
            <w:r>
              <w:t>YES</w:t>
            </w:r>
          </w:p>
        </w:tc>
        <w:tc>
          <w:tcPr>
            <w:tcW w:type="dxa" w:w="2160"/>
          </w:tcPr>
          <w:p>
            <w:r>
              <w:t>Generates plain-English fairness report cards from statistical summaries</w:t>
            </w:r>
          </w:p>
        </w:tc>
      </w:tr>
      <w:tr>
        <w:tc>
          <w:tcPr>
            <w:tcW w:type="dxa" w:w="2160"/>
          </w:tcPr>
          <w:p>
            <w:r>
              <w:t>Claude Q&amp;A (optional)</w:t>
            </w:r>
          </w:p>
        </w:tc>
        <w:tc>
          <w:tcPr>
            <w:tcW w:type="dxa" w:w="2160"/>
          </w:tcPr>
          <w:p>
            <w:r>
              <w:t>Anthropic Claude API</w:t>
            </w:r>
          </w:p>
        </w:tc>
        <w:tc>
          <w:tcPr>
            <w:tcW w:type="dxa" w:w="2160"/>
          </w:tcPr>
          <w:p>
            <w:r>
              <w:t>Optional</w:t>
            </w:r>
          </w:p>
        </w:tc>
        <w:tc>
          <w:tcPr>
            <w:tcW w:type="dxa" w:w="2160"/>
          </w:tcPr>
          <w:p>
            <w:r>
              <w:t>Alternative AI Q&amp;A provider if user provides their own API key</w:t>
            </w:r>
          </w:p>
        </w:tc>
      </w:tr>
      <w:tr>
        <w:tc>
          <w:tcPr>
            <w:tcW w:type="dxa" w:w="2160"/>
          </w:tcPr>
          <w:p>
            <w:r>
              <w:t>ChatGPT Q&amp;A (optional)</w:t>
            </w:r>
          </w:p>
        </w:tc>
        <w:tc>
          <w:tcPr>
            <w:tcW w:type="dxa" w:w="2160"/>
          </w:tcPr>
          <w:p>
            <w:r>
              <w:t>OpenAI GPT API</w:t>
            </w:r>
          </w:p>
        </w:tc>
        <w:tc>
          <w:tcPr>
            <w:tcW w:type="dxa" w:w="2160"/>
          </w:tcPr>
          <w:p>
            <w:r>
              <w:t>Optional</w:t>
            </w:r>
          </w:p>
        </w:tc>
        <w:tc>
          <w:tcPr>
            <w:tcW w:type="dxa" w:w="2160"/>
          </w:tcPr>
          <w:p>
            <w:r>
              <w:t>Alternative AI Q&amp;A provider if user provides their own API key</w:t>
            </w:r>
          </w:p>
        </w:tc>
      </w:tr>
      <w:tr>
        <w:tc>
          <w:tcPr>
            <w:tcW w:type="dxa" w:w="2160"/>
          </w:tcPr>
          <w:p>
            <w:r>
              <w:t>Gemini Q&amp;A (optional)</w:t>
            </w:r>
          </w:p>
        </w:tc>
        <w:tc>
          <w:tcPr>
            <w:tcW w:type="dxa" w:w="2160"/>
          </w:tcPr>
          <w:p>
            <w:r>
              <w:t>Google Gemini API</w:t>
            </w:r>
          </w:p>
        </w:tc>
        <w:tc>
          <w:tcPr>
            <w:tcW w:type="dxa" w:w="2160"/>
          </w:tcPr>
          <w:p>
            <w:r>
              <w:t>Optional</w:t>
            </w:r>
          </w:p>
        </w:tc>
        <w:tc>
          <w:tcPr>
            <w:tcW w:type="dxa" w:w="2160"/>
          </w:tcPr>
          <w:p>
            <w:r>
              <w:t>Alternative AI Q&amp;A provider if user provides their own API key</w:t>
            </w:r>
          </w:p>
        </w:tc>
      </w:tr>
      <w:tr>
        <w:tc>
          <w:tcPr>
            <w:tcW w:type="dxa" w:w="2160"/>
          </w:tcPr>
          <w:p>
            <w:r>
              <w:t>Ollama Q&amp;A (optional)</w:t>
            </w:r>
          </w:p>
        </w:tc>
        <w:tc>
          <w:tcPr>
            <w:tcW w:type="dxa" w:w="2160"/>
          </w:tcPr>
          <w:p>
            <w:r>
              <w:t>Ollama (local models)</w:t>
            </w:r>
          </w:p>
        </w:tc>
        <w:tc>
          <w:tcPr>
            <w:tcW w:type="dxa" w:w="2160"/>
          </w:tcPr>
          <w:p>
            <w:r>
              <w:t>Optional</w:t>
            </w:r>
          </w:p>
        </w:tc>
        <w:tc>
          <w:tcPr>
            <w:tcW w:type="dxa" w:w="2160"/>
          </w:tcPr>
          <w:p>
            <w:r>
              <w:t>Local AI Q&amp;A for users who want to run models on their own machine</w:t>
            </w:r>
          </w:p>
        </w:tc>
      </w:tr>
      <w:tr>
        <w:tc>
          <w:tcPr>
            <w:tcW w:type="dxa" w:w="2160"/>
          </w:tcPr>
          <w:p>
            <w:r>
              <w:t>Copilot mode (optional)</w:t>
            </w:r>
          </w:p>
        </w:tc>
        <w:tc>
          <w:tcPr>
            <w:tcW w:type="dxa" w:w="2160"/>
          </w:tcPr>
          <w:p>
            <w:r>
              <w:t>Copy-paste to any AI</w:t>
            </w:r>
          </w:p>
        </w:tc>
        <w:tc>
          <w:tcPr>
            <w:tcW w:type="dxa" w:w="2160"/>
          </w:tcPr>
          <w:p>
            <w:r>
              <w:t>Optional</w:t>
            </w:r>
          </w:p>
        </w:tc>
        <w:tc>
          <w:tcPr>
            <w:tcW w:type="dxa" w:w="2160"/>
          </w:tcPr>
          <w:p>
            <w:r>
              <w:t>Copies audit context to clipboard so users can paste into any AI assistant</w:t>
            </w:r>
          </w:p>
        </w:tc>
      </w:tr>
    </w:tbl>
    <w:p/>
    <w:p>
      <w:r>
        <w:rPr>
          <w:b/>
        </w:rPr>
        <w:t xml:space="preserve">Note: </w:t>
      </w:r>
      <w:r>
        <w:t>Groq is the default free option that works out of the box with no user setup. Claude, ChatGPT, Gemini, and Ollama are optional alternatives that users can configure if they prefer a different AI provider.</w:t>
      </w:r>
    </w:p>
    <w:p/>
    <w:p>
      <w:pPr>
        <w:pStyle w:val="Heading2"/>
      </w:pPr>
      <w:r>
        <w:t>What AI Does NOT Do</w:t>
      </w:r>
    </w:p>
    <w:p>
      <w:pPr>
        <w:pStyle w:val="ListBullet"/>
      </w:pPr>
      <w:r>
        <w:t>AI never receives raw student data -- only statistical summaries</w:t>
      </w:r>
    </w:p>
    <w:p>
      <w:pPr>
        <w:pStyle w:val="ListBullet"/>
      </w:pPr>
      <w:r>
        <w:t>AI does not make decisions or automatically debias systems</w:t>
      </w:r>
    </w:p>
    <w:p>
      <w:pPr>
        <w:pStyle w:val="ListBullet"/>
      </w:pPr>
      <w:r>
        <w:t>AI does not access any real CSUN systems or databases</w:t>
      </w:r>
    </w:p>
    <w:p>
      <w:pPr>
        <w:pStyle w:val="ListBullet"/>
      </w:pPr>
      <w:r>
        <w:t>All fairness metrics are computed locally using our own code -- AI is used only for natural-language explanations and Q&amp;A</w:t>
      </w:r>
    </w:p>
    <w:p/>
    <w:p>
      <w:pPr>
        <w:pStyle w:val="Heading2"/>
      </w:pPr>
      <w:r>
        <w:t>Academic Sources for Fairness Metrics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Citation</w:t>
            </w:r>
          </w:p>
        </w:tc>
        <w:tc>
          <w:tcPr>
            <w:tcW w:type="dxa" w:w="2880"/>
          </w:tcPr>
          <w:p>
            <w:r>
              <w:t>Concept</w:t>
            </w:r>
          </w:p>
        </w:tc>
        <w:tc>
          <w:tcPr>
            <w:tcW w:type="dxa" w:w="2880"/>
          </w:tcPr>
          <w:p>
            <w:r>
              <w:t>How We Use It</w:t>
            </w:r>
          </w:p>
        </w:tc>
      </w:tr>
      <w:tr>
        <w:tc>
          <w:tcPr>
            <w:tcW w:type="dxa" w:w="2880"/>
          </w:tcPr>
          <w:p>
            <w:r>
              <w:t>Dwork et al., 2012</w:t>
            </w:r>
          </w:p>
        </w:tc>
        <w:tc>
          <w:tcPr>
            <w:tcW w:type="dxa" w:w="2880"/>
          </w:tcPr>
          <w:p>
            <w:r>
              <w:t>Individual Fairness</w:t>
            </w:r>
          </w:p>
        </w:tc>
        <w:tc>
          <w:tcPr>
            <w:tcW w:type="dxa" w:w="2880"/>
          </w:tcPr>
          <w:p>
            <w:r>
              <w:t>Framework for treating similar individuals similarly</w:t>
            </w:r>
          </w:p>
        </w:tc>
      </w:tr>
      <w:tr>
        <w:tc>
          <w:tcPr>
            <w:tcW w:type="dxa" w:w="2880"/>
          </w:tcPr>
          <w:p>
            <w:r>
              <w:t>EEOC, 1978</w:t>
            </w:r>
          </w:p>
        </w:tc>
        <w:tc>
          <w:tcPr>
            <w:tcW w:type="dxa" w:w="2880"/>
          </w:tcPr>
          <w:p>
            <w:r>
              <w:t>Four-Fifths Rule (Disparate Impact)</w:t>
            </w:r>
          </w:p>
        </w:tc>
        <w:tc>
          <w:tcPr>
            <w:tcW w:type="dxa" w:w="2880"/>
          </w:tcPr>
          <w:p>
            <w:r>
              <w:t>Threshold for disparate impact ratio (0.80)</w:t>
            </w:r>
          </w:p>
        </w:tc>
      </w:tr>
      <w:tr>
        <w:tc>
          <w:tcPr>
            <w:tcW w:type="dxa" w:w="2880"/>
          </w:tcPr>
          <w:p>
            <w:r>
              <w:t>Hardt et al., 2016</w:t>
            </w:r>
          </w:p>
        </w:tc>
        <w:tc>
          <w:tcPr>
            <w:tcW w:type="dxa" w:w="2880"/>
          </w:tcPr>
          <w:p>
            <w:r>
              <w:t>Equalized Odds</w:t>
            </w:r>
          </w:p>
        </w:tc>
        <w:tc>
          <w:tcPr>
            <w:tcW w:type="dxa" w:w="2880"/>
          </w:tcPr>
          <w:p>
            <w:r>
              <w:t>Equal true positive and false positive rates across groups</w:t>
            </w:r>
          </w:p>
        </w:tc>
      </w:tr>
      <w:tr>
        <w:tc>
          <w:tcPr>
            <w:tcW w:type="dxa" w:w="2880"/>
          </w:tcPr>
          <w:p>
            <w:r>
              <w:t>Datta et al., 2015</w:t>
            </w:r>
          </w:p>
        </w:tc>
        <w:tc>
          <w:tcPr>
            <w:tcW w:type="dxa" w:w="2880"/>
          </w:tcPr>
          <w:p>
            <w:r>
              <w:t>Proxy Discrimination</w:t>
            </w:r>
          </w:p>
        </w:tc>
        <w:tc>
          <w:tcPr>
            <w:tcW w:type="dxa" w:w="2880"/>
          </w:tcPr>
          <w:p>
            <w:r>
              <w:t>Detecting indirect discrimination through correlated variables</w:t>
            </w:r>
          </w:p>
        </w:tc>
      </w:tr>
      <w:tr>
        <w:tc>
          <w:tcPr>
            <w:tcW w:type="dxa" w:w="2880"/>
          </w:tcPr>
          <w:p>
            <w:r>
              <w:t>Chouldechova, 2017</w:t>
            </w:r>
          </w:p>
        </w:tc>
        <w:tc>
          <w:tcPr>
            <w:tcW w:type="dxa" w:w="2880"/>
          </w:tcPr>
          <w:p>
            <w:r>
              <w:t>Fairness Metric Incompatibility</w:t>
            </w:r>
          </w:p>
        </w:tc>
        <w:tc>
          <w:tcPr>
            <w:tcW w:type="dxa" w:w="2880"/>
          </w:tcPr>
          <w:p>
            <w:r>
              <w:t>Why multiple metrics cannot be satisfied simultaneously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