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MatadorAudit -- Team Reference Guide</w:t>
      </w:r>
    </w:p>
    <w:p>
      <w:pPr>
        <w:jc w:val="center"/>
      </w:pPr>
      <w:r>
        <w:rPr>
          <w:b/>
        </w:rPr>
        <w:t>Ido Cohen &amp; Zach Bar | CSUN AI Jam 2026 | AI and Ethics Track</w:t>
      </w:r>
    </w:p>
    <w:p/>
    <w:p>
      <w:pPr>
        <w:pStyle w:val="Heading1"/>
      </w:pPr>
      <w:r>
        <w:rPr>
          <w:color w:val="CF0A2C"/>
        </w:rPr>
        <w:t>Section 1: Data Rules</w:t>
      </w:r>
    </w:p>
    <w:p>
      <w:r>
        <w:t>All data used in MatadorAudit is synthetic. No real CSUN student data was accessed, uploaded, or shared with any AI platform.</w:t>
      </w:r>
    </w:p>
    <w:p/>
    <w:p>
      <w:pPr>
        <w:pStyle w:val="Heading2"/>
      </w:pPr>
      <w:r>
        <w:t>Data Sources</w:t>
      </w:r>
    </w:p>
    <w:p>
      <w:pPr>
        <w:pStyle w:val="ListBullet"/>
      </w:pPr>
      <w:r>
        <w:t>CSUN Institutional Research (csun.edu/counts/demographic.php)</w:t>
      </w:r>
    </w:p>
    <w:p>
      <w:pPr>
        <w:pStyle w:val="ListBullet"/>
      </w:pPr>
      <w:r>
        <w:t>CSUN Fact Sheet (csun.edu/about/facts)</w:t>
      </w:r>
    </w:p>
    <w:p>
      <w:pPr>
        <w:pStyle w:val="ListBullet"/>
      </w:pPr>
      <w:r>
        <w:t>IPEDS / NCES (nces.ed.gov/ipeds/)</w:t>
      </w:r>
    </w:p>
    <w:p>
      <w:pPr>
        <w:pStyle w:val="ListBullet"/>
      </w:pPr>
      <w:r>
        <w:t>US Department of Education College Scorecard (collegescorecard.ed.gov)</w:t>
      </w:r>
    </w:p>
    <w:p>
      <w:pPr>
        <w:pStyle w:val="Heading2"/>
      </w:pPr>
      <w:r>
        <w:t>CSUN Demographics (used in synthetic data)</w:t>
      </w:r>
    </w:p>
    <w:p>
      <w:pPr>
        <w:pStyle w:val="ListBullet"/>
      </w:pPr>
      <w:r>
        <w:t>56.2% Hispanic/Latino</w:t>
      </w:r>
    </w:p>
    <w:p>
      <w:pPr>
        <w:pStyle w:val="ListBullet"/>
      </w:pPr>
      <w:r>
        <w:t>58% Pell Grant-eligible</w:t>
      </w:r>
    </w:p>
    <w:p>
      <w:pPr>
        <w:pStyle w:val="ListBullet"/>
      </w:pPr>
      <w:r>
        <w:t>47% first-generation college students</w:t>
      </w:r>
    </w:p>
    <w:p>
      <w:pPr>
        <w:pStyle w:val="ListBullet"/>
      </w:pPr>
      <w:r>
        <w:t>~38,000 enrolled students</w:t>
      </w:r>
    </w:p>
    <w:p/>
    <w:p>
      <w:pPr>
        <w:pStyle w:val="Heading1"/>
      </w:pPr>
      <w:r>
        <w:rPr>
          <w:color w:val="CF0A2C"/>
        </w:rPr>
        <w:t>Section 2: Demo Datasets</w:t>
      </w:r>
    </w:p>
    <w:p>
      <w:r>
        <w:t>MatadorAudit includes three pre-built demo datasets for demonstration and testing:</w:t>
      </w:r>
    </w:p>
    <w:p/>
    <w:p>
      <w:pPr>
        <w:pStyle w:val="Heading2"/>
      </w:pPr>
      <w:r>
        <w:t>1. CSUN Standard Demo</w:t>
      </w:r>
    </w:p>
    <w:p>
      <w:r>
        <w:t>5,000 synthetic student records modeled on real CSUN demographics. Reflects typical institutional patterns with moderate disparities across financial aid, admissions, and course recommendations.</w:t>
      </w:r>
    </w:p>
    <w:p>
      <w:pPr>
        <w:pStyle w:val="Heading2"/>
      </w:pPr>
      <w:r>
        <w:t>2. High Bias Demo</w:t>
      </w:r>
    </w:p>
    <w:p>
      <w:r>
        <w:t>5,000 records with exaggerated demographic disparities. Designed to clearly demonstrate how MatadorAudit detects and visualizes significant fairness gaps. Useful for training and presentations.</w:t>
      </w:r>
    </w:p>
    <w:p>
      <w:pPr>
        <w:pStyle w:val="Heading2"/>
      </w:pPr>
      <w:r>
        <w:t>3. Fair Demo</w:t>
      </w:r>
    </w:p>
    <w:p>
      <w:r>
        <w:t>5,000 records with minimal demographic disparities. Shows what equitable outcomes look like across all audit scenarios. Useful as a baseline comparison.</w:t>
      </w:r>
    </w:p>
    <w:p/>
    <w:p>
      <w:r>
        <w:t>Users can also upload their own CSV files for custom analysis.</w:t>
      </w:r>
    </w:p>
    <w:p/>
    <w:p>
      <w:pPr>
        <w:pStyle w:val="Heading1"/>
      </w:pPr>
      <w:r>
        <w:rPr>
          <w:color w:val="CF0A2C"/>
        </w:rPr>
        <w:t>Section 3: AI &amp; API Components</w:t>
      </w:r>
    </w:p>
    <w:p>
      <w:pPr>
        <w:pStyle w:val="Heading2"/>
      </w:pPr>
      <w:r>
        <w:t>Fairness Metrics Engine</w:t>
      </w:r>
    </w:p>
    <w:p>
      <w:r>
        <w:t>Own Python implementation. Computes demographic parity, equalized odds, and disparate impact ratio. No external dependencies -- no scipy, no Fairlearn, no AIF360 imports.</w:t>
      </w:r>
    </w:p>
    <w:p>
      <w:pPr>
        <w:pStyle w:val="Heading2"/>
      </w:pPr>
      <w:r>
        <w:t>AI Q&amp;A Assistant (Default: OpenRouter -- Free)</w:t>
      </w:r>
    </w:p>
    <w:p>
      <w:r>
        <w:t>OpenRouter is the default AI Q&amp;A provider. Completely free with a built-in API key -- no user setup required. Uses Nvidia Nemotron, GPT-OSS, Gemma, and Liquid models.</w:t>
      </w:r>
    </w:p>
    <w:p>
      <w:pPr>
        <w:pStyle w:val="Heading2"/>
      </w:pPr>
      <w:r>
        <w:t>AI Report Generation (Optional: Claude API)</w:t>
      </w:r>
    </w:p>
    <w:p>
      <w:r>
        <w:t>Users can optionally connect their own Anthropic Claude API key to generate detailed plain-English fairness reports. This is not required -- the tool works fully without it.</w:t>
      </w:r>
    </w:p>
    <w:p>
      <w:pPr>
        <w:pStyle w:val="Heading2"/>
      </w:pPr>
      <w:r>
        <w:t>Alternative AI Q&amp;A Providers</w:t>
      </w:r>
    </w:p>
    <w:p>
      <w:pPr>
        <w:pStyle w:val="ListBullet"/>
      </w:pPr>
      <w:r>
        <w:t>ChatGPT (user provides OpenAI key)</w:t>
      </w:r>
    </w:p>
    <w:p>
      <w:pPr>
        <w:pStyle w:val="ListBullet"/>
      </w:pPr>
      <w:r>
        <w:t>Gemini (user provides Google key)</w:t>
      </w:r>
    </w:p>
    <w:p>
      <w:pPr>
        <w:pStyle w:val="ListBullet"/>
      </w:pPr>
      <w:r>
        <w:t>Copilot (accessible via CSUN Microsoft 365)</w:t>
      </w:r>
    </w:p>
    <w:p>
      <w:pPr>
        <w:pStyle w:val="Heading2"/>
      </w:pPr>
      <w:r>
        <w:t>Dashboard</w:t>
      </w:r>
    </w:p>
    <w:p>
      <w:r>
        <w:t>Streamlit + Plotly. Native Streamlit components for the Fairness Report Card. Plotly for interactive charts in the Multi-Audit Dashboard and What-If Simulator.</w:t>
      </w:r>
    </w:p>
    <w:p>
      <w:pPr>
        <w:pStyle w:val="Heading2"/>
      </w:pPr>
      <w:r>
        <w:t>What We Do NOT Use</w:t>
      </w:r>
    </w:p>
    <w:p>
      <w:pPr>
        <w:pStyle w:val="ListBullet"/>
      </w:pPr>
      <w:r>
        <w:t>No Ollama (removed)</w:t>
      </w:r>
    </w:p>
    <w:p>
      <w:pPr>
        <w:pStyle w:val="ListBullet"/>
      </w:pPr>
      <w:r>
        <w:t>No Groq (removed)</w:t>
      </w:r>
    </w:p>
    <w:p>
      <w:pPr>
        <w:pStyle w:val="ListBullet"/>
      </w:pPr>
      <w:r>
        <w:t>No Fairlearn imports (own implementation)</w:t>
      </w:r>
    </w:p>
    <w:p>
      <w:pPr>
        <w:pStyle w:val="ListBullet"/>
      </w:pPr>
      <w:r>
        <w:t>No AIF360 imports (own implementation)</w:t>
      </w:r>
    </w:p>
    <w:p>
      <w:pPr>
        <w:pStyle w:val="ListBullet"/>
      </w:pPr>
      <w:r>
        <w:t>No scipy imports</w:t>
      </w:r>
    </w:p>
    <w:p/>
    <w:p>
      <w:pPr>
        <w:pStyle w:val="Heading2"/>
      </w:pPr>
      <w:r>
        <w:t>Academic Sources for Fairness Metrics</w:t>
      </w:r>
    </w:p>
    <w:p>
      <w:pPr>
        <w:pStyle w:val="ListBullet"/>
      </w:pPr>
      <w:r>
        <w:t>Dwork, C. et al. (2012). Fairness through awareness.</w:t>
      </w:r>
    </w:p>
    <w:p>
      <w:pPr>
        <w:pStyle w:val="ListBullet"/>
      </w:pPr>
      <w:r>
        <w:t>EEOC (1978). Uniform Guidelines on Employee Selection Procedures (four-fifths rule).</w:t>
      </w:r>
    </w:p>
    <w:p>
      <w:pPr>
        <w:pStyle w:val="ListBullet"/>
      </w:pPr>
      <w:r>
        <w:t>Hardt, M. et al. (2016). Equality of opportunity in supervised learning.</w:t>
      </w:r>
    </w:p>
    <w:p>
      <w:pPr>
        <w:pStyle w:val="ListBullet"/>
      </w:pPr>
      <w:r>
        <w:t>Datta, A. et al. (2015). Automated experiments on ad privacy settings.</w:t>
      </w:r>
    </w:p>
    <w:p>
      <w:pPr>
        <w:pStyle w:val="ListBullet"/>
      </w:pPr>
      <w:r>
        <w:t>Chouldechova, A. (2017). Fair prediction with disparate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