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nasual allergy?</w:t>
            </w:r>
          </w:p>
        </w:tc>
      </w:tr>
      <w:tr>
        <w:tc>
          <w:tcPr>
            <w:tcW w:type="dxa" w:w="4320"/>
          </w:tcPr>
          <w:p>
            <w:r>
              <w:rPr>
                <w:b/>
                <w:color w:val="1F3864"/>
              </w:rPr>
              <w:t>Date</w:t>
            </w:r>
          </w:p>
        </w:tc>
        <w:tc>
          <w:tcPr>
            <w:tcW w:type="dxa" w:w="4320"/>
          </w:tcPr>
          <w:p>
            <w:r>
              <w:t>April 01,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nasual allergy?</w:t>
      </w:r>
    </w:p>
    <w:p/>
    <w:p>
      <w:pPr>
        <w:pStyle w:val="Heading2"/>
      </w:pPr>
      <w:r>
        <w:rPr>
          <w:color w:val="2E75B6"/>
        </w:rPr>
        <w:t>Executive Summary</w:t>
      </w:r>
    </w:p>
    <w:p>
      <w:r>
        <w:t>Nasal allergy, clinically known as **allergic rhinitis**, is an IgE‑mediated inflammation of the nasal mucosa triggered by otherwise harmless airborne allergens (pollen, dust‑mite proteins, animal dander, molds).  Patients experience intermittent or persistent nasal and ocular symptoms that often coexist with asthma, chronic sinusitis, or otitis media.  Recent literature (2024‑2026) highlights three emerging themes:</w:t>
      </w:r>
    </w:p>
    <w:p/>
    <w:p>
      <w:r>
        <w:t>1. **Climate‑driven extension of pollen seasons** intensifying symptom burden.</w:t>
      </w:r>
    </w:p>
    <w:p>
      <w:r>
        <w:t>2. **Earlier incorporation of allergen immunotherapy (AIT)** and exploration of biologic IgE‑targeted agents for refractory disease.</w:t>
      </w:r>
    </w:p>
    <w:p>
      <w:r>
        <w:t>3. **“Dosing‑flexibility”**—temporary up‑titration of intranasal steroids or antihistamine‑decongestant combos during peak exposure—to bridge gaps in control.</w:t>
      </w:r>
    </w:p>
    <w:p/>
    <w:p>
      <w:r>
        <w:t>Standard management still centers on allergen avoidance, intranasal corticosteroids, and patient education on daily adherence throughout the season.  The integrated evidence supports a tiered, patient‑centred algorithm that blends environmental controls, pharmacologic options (including cromolyn sodium for steroid‑intolerant patients), and immunotherapy when symptoms persist.</w:t>
      </w:r>
    </w:p>
    <w:p/>
    <w:p/>
    <w:p>
      <w:pPr>
        <w:pStyle w:val="Heading2"/>
      </w:pPr>
      <w:r>
        <w:rPr>
          <w:color w:val="2E75B6"/>
        </w:rPr>
        <w:t>Key Findings</w:t>
      </w:r>
    </w:p>
    <w:p>
      <w:r>
        <w:t>1. **Symptom profile:** watery rhinorrhea, sinus/facial pain, ocular itching/tearing; seasonal episodes last 6‑8 weeks and often begin between ages 2‑5.</w:t>
      </w:r>
    </w:p>
    <w:p>
      <w:r>
        <w:t>2. **Differential diagnosis:** viral URI, non‑allergic rhinitis, structural obstruction must be excluded when presentation is atypical or refractory.</w:t>
      </w:r>
    </w:p>
    <w:p>
      <w:r>
        <w:t>3. **Environmental control:** HEPA filtration and **Certified Asthma &amp; Allergy Friendly®** vacuum cleaners markedly reduce indoor allergen load; bedding encasements and humidity control (&lt; 50 %) remain essential.</w:t>
      </w:r>
    </w:p>
    <w:p>
      <w:r>
        <w:t>4. **Pharmacologic hierarchy:**</w:t>
      </w:r>
    </w:p>
    <w:p>
      <w:pPr>
        <w:pStyle w:val="ListBullet"/>
      </w:pPr>
      <w:r>
        <w:t>First‑line: intranasal corticosteroids (fluticasone, mometasone).</w:t>
      </w:r>
    </w:p>
    <w:p>
      <w:pPr>
        <w:pStyle w:val="ListBullet"/>
      </w:pPr>
      <w:r>
        <w:t>Mild disease / steroid intolerance: intranasal antihistamines (azelastine) or cromolyn sodium nasal spray.</w:t>
      </w:r>
    </w:p>
    <w:p>
      <w:pPr>
        <w:pStyle w:val="ListBullet"/>
      </w:pPr>
      <w:r>
        <w:t>Rapid congestion relief: oral antihistamine + decongestant combos (e.g., diphenhydramine‑pseudoephedrine).</w:t>
      </w:r>
    </w:p>
    <w:p>
      <w:pPr>
        <w:pStyle w:val="ListBullet"/>
      </w:pPr>
      <w:r>
        <w:t>Adjuncts: leukotriene receptor antagonists (montelukast) for comorbid asthma.</w:t>
      </w:r>
    </w:p>
    <w:p>
      <w:r>
        <w:t>5. **Immunotherapy:** Subcutaneous or sublingual AIT is increasingly recommended early for patients with persistent symptoms despite optimal pharmacotherapy.</w:t>
      </w:r>
    </w:p>
    <w:p>
      <w:r>
        <w:t>6. **Emerging biologics:** IgE‑targeted monoclonal antibodies (e.g., omalizumab) are under investigation for severe allergic rhinitis; off‑label use is being reported.</w:t>
      </w:r>
    </w:p>
    <w:p>
      <w:r>
        <w:t>7. **Adherence &amp; dosing flexibility:** Daily medication throughout the allergen season is crucial; temporary dose escalation during peak pollen days can restore control pending formal trial data.</w:t>
      </w:r>
    </w:p>
    <w:p>
      <w:r>
        <w:t>8. **Age‑specific considerations:** Pediatric education and weight‑based dosing are vital for children 2‑5 years, the typical onset window for seasonal disease.</w:t>
      </w:r>
    </w:p>
    <w:p/>
    <w:p/>
    <w:p>
      <w:pPr>
        <w:pStyle w:val="Heading2"/>
      </w:pPr>
      <w:r>
        <w:rPr>
          <w:color w:val="2E75B6"/>
        </w:rPr>
        <w:t>Detailed Analysis</w:t>
      </w:r>
    </w:p>
    <w:p/>
    <w:p>
      <w:r>
        <w:rPr>
          <w:b/>
        </w:rPr>
        <w:t>1. Pathophysiology</w:t>
      </w:r>
    </w:p>
    <w:p>
      <w:r>
        <w:t>Allergic rhinitis results from sensitization to airborne proteins, leading to IgE binding on mast cells and basophils. Upon re‑exposure, cross‑linking of IgE triggers release of histamine, leukotrienes, and cytokines, producing vasodilation, increased vascular permeability, and mucosal edema. Chronic exposure drives a Th2‑dominant inflammatory milieu, contributing to nasal hyper‑reactivity and comorbid lower‑airway disease.</w:t>
      </w:r>
    </w:p>
    <w:p/>
    <w:p>
      <w:r>
        <w:rPr>
          <w:b/>
        </w:rPr>
        <w:t>2. Clinical Presentation</w:t>
      </w:r>
    </w:p>
    <w:p>
      <w:pPr>
        <w:pStyle w:val="ListBullet"/>
      </w:pPr>
      <w:r>
        <w:t>**Nasal:** clear, watery discharge; sneezing; congestion; itching; facial pressure.</w:t>
      </w:r>
    </w:p>
    <w:p>
      <w:pPr>
        <w:pStyle w:val="ListBullet"/>
      </w:pPr>
      <w:r>
        <w:t>**Ocular:** itching, tearing, redness.</w:t>
      </w:r>
    </w:p>
    <w:p>
      <w:pPr>
        <w:pStyle w:val="ListBullet"/>
      </w:pPr>
      <w:r>
        <w:t>**Systemic:** fatigue, impaired sleep, reduced quality of life.</w:t>
      </w:r>
    </w:p>
    <w:p>
      <w:r>
        <w:t>Seasonal (pollens) and perennial (dust‑mite, animal dander, molds) phenotypes may overlap. The typical seasonal flare lasts 6‑8 weeks, aligning with local pollen calendars.</w:t>
      </w:r>
    </w:p>
    <w:p/>
    <w:p>
      <w:r>
        <w:rPr>
          <w:b/>
        </w:rPr>
        <w:t>3. Diagnosis &amp; Differential</w:t>
      </w:r>
    </w:p>
    <w:p>
      <w:r>
        <w:t>Diagnosis is clinical, supported by history of allergen exposure and symptom pattern. Confirmatory testing (skin‑prick or serum-specific IgE) aids in identifying triggers for targeted avoidance and immunotherapy. Conditions that mimic allergic rhinitis include:</w:t>
      </w:r>
    </w:p>
    <w:p/>
    <w:p>
      <w:pPr>
        <w:pStyle w:val="ListBullet"/>
      </w:pPr>
      <w:r>
        <w:t>Viral upper‑respiratory infection (often with fever, malaise).</w:t>
      </w:r>
    </w:p>
    <w:p>
      <w:pPr>
        <w:pStyle w:val="ListBullet"/>
      </w:pPr>
      <w:r>
        <w:t>Non‑allergic rhinitis (e.g., vasomotor, gustatory).</w:t>
      </w:r>
    </w:p>
    <w:p>
      <w:pPr>
        <w:pStyle w:val="ListBullet"/>
      </w:pPr>
      <w:r>
        <w:t>Anatomical obstruction (septal deviation, polyps).</w:t>
      </w:r>
    </w:p>
    <w:p/>
    <w:p>
      <w:r>
        <w:t>When symptoms are refractory or atypical, further evaluation (nasal endoscopy, imaging) is warranted.</w:t>
      </w:r>
    </w:p>
    <w:p/>
    <w:p>
      <w:r>
        <w:rPr>
          <w:b/>
        </w:rPr>
        <w:t>4. Management Algorithm</w:t>
      </w:r>
    </w:p>
    <w:p/>
    <w:p>
      <w:r>
        <w:t>| Step | Intervention | Rationale |</w:t>
      </w:r>
    </w:p>
    <w:p>
      <w:r>
        <w:t>|------|--------------|-----------|</w:t>
      </w:r>
    </w:p>
    <w:p>
      <w:r>
        <w:t>| **1** | Allergen avoidance (HEPA, Certified Asthma &amp; Allergy Friendly® vacuums, encasements, humidity &lt; 50 %) | Reduces allergen burden, improves pharmacologic response. |</w:t>
      </w:r>
    </w:p>
    <w:p>
      <w:r>
        <w:t>| **2** | Intranasal corticosteroid (daily) | Addresses underlying inflammation; most effective for moderate‑to‑severe disease. |</w:t>
      </w:r>
    </w:p>
    <w:p>
      <w:r>
        <w:t>| **3** | Intranasal antihistamine ± corticosteroid combo (if congestion dominates) | Provides rapid symptom relief while maintaining anti‑inflammatory effect. |</w:t>
      </w:r>
    </w:p>
    <w:p>
      <w:r>
        <w:t>| **4** | Cromolyn sodium nasal spray (if steroid intolerance) | Mast‑cell stabilization; less potent but steroid‑free. |</w:t>
      </w:r>
    </w:p>
    <w:p>
      <w:r>
        <w:t>| **5** | Oral antihistamine + decongestant (as needed for breakthrough congestion) | Symptomatic control; does not treat inflammation. |</w:t>
      </w:r>
    </w:p>
    <w:p>
      <w:r>
        <w:t>| **6** | Leukotriene receptor antagonist (if asthma comorbidity) | Addresses shared leukotriene pathway. |</w:t>
      </w:r>
    </w:p>
    <w:p>
      <w:r>
        <w:t>| **7** | Allergen immunotherapy (subcutaneous or sublingual) | Disease‑modifying; recommended when step 2‑5 fail. |</w:t>
      </w:r>
    </w:p>
    <w:p>
      <w:r>
        <w:t>| **8** | Biologic IgE‑targeted therapy (investigational/off‑label) | Consider for severe, refractory cases. |</w:t>
      </w:r>
    </w:p>
    <w:p/>
    <w:p>
      <w:r>
        <w:t>**Dosing flexibility**: During high‑pollen days, clinicians may advise a short‑term increase in intranasal steroid dose (e.g., two sprays per nostril) or add an oral antihistamine‑decongestant combo. This strategy is supported by emerging commentary (Self Magazine, 2026) but awaits randomized trial confirmation.</w:t>
      </w:r>
    </w:p>
    <w:p/>
    <w:p>
      <w:r>
        <w:rPr>
          <w:b/>
        </w:rPr>
        <w:t>5. Recent Developments (2024‑2026)</w:t>
      </w:r>
    </w:p>
    <w:p/>
    <w:p>
      <w:pPr>
        <w:pStyle w:val="ListBullet"/>
      </w:pPr>
      <w:r>
        <w:t>**Climate impact:** Warmer temperatures and elevated pollutants have lengthened pollen seasons and increased allergen potency, leading to more severe and prolonged symptomatology (NYU Langone, 2026).</w:t>
      </w:r>
    </w:p>
    <w:p>
      <w:pPr>
        <w:pStyle w:val="ListBullet"/>
      </w:pPr>
      <w:r>
        <w:t>**Immunotherapy positioning:** Growing evidence supports earlier AIT initiation to curb the escalating allergen load and reduce long‑term medication dependence.</w:t>
      </w:r>
    </w:p>
    <w:p>
      <w:pPr>
        <w:pStyle w:val="ListBullet"/>
      </w:pPr>
      <w:r>
        <w:t>**Biologic pipeline:** Novartis’ acquisition of Excellergy (2024) signals a strategic push toward next‑generation anti‑IgE agents for allergic rhinitis, though FDA approval for this indication is pending.</w:t>
      </w:r>
    </w:p>
    <w:p/>
    <w:p>
      <w:r>
        <w:t>These trends suggest a shift from purely symptomatic management toward disease‑modifying and personalized therapeutic approaches.</w:t>
      </w:r>
    </w:p>
    <w:p/>
    <w:p/>
    <w:p>
      <w:pPr>
        <w:pStyle w:val="Heading2"/>
      </w:pPr>
      <w:r>
        <w:rPr>
          <w:color w:val="2E75B6"/>
        </w:rPr>
        <w:t>Fact‑Check Summary (Confidence: **85/100**)</w:t>
      </w:r>
    </w:p>
    <w:p/>
    <w:p>
      <w:pPr>
        <w:pStyle w:val="ListBullet"/>
      </w:pPr>
      <w:r>
        <w:t>**High confidence (≥90)** for core definitions, pathophysiology, and first‑line intranasal corticosteroid recommendation (multiple reputable sources, e.g., Mayo Clinic, AAFAI).</w:t>
      </w:r>
    </w:p>
    <w:p>
      <w:pPr>
        <w:pStyle w:val="ListBullet"/>
      </w:pPr>
      <w:r>
        <w:t>**Moderate confidence (70‑85)** for newer concepts such as “dosing flexibility” and early immunotherapy adoption; these are derived from recent commentary and industry news but lack large‑scale trial data.</w:t>
      </w:r>
    </w:p>
    <w:p>
      <w:pPr>
        <w:pStyle w:val="ListBullet"/>
      </w:pPr>
      <w:r>
        <w:t>**Low confidence (&lt;70)** for the specific claim that antihistamine‑decongestant combos are “the most effective medicine type” across all patients; this conflicts with guideline‑based emphasis on intranasal steroids for anti‑inflammatory control.</w:t>
      </w:r>
    </w:p>
    <w:p/>
    <w:p>
      <w:r>
        <w:t>Overall, the integrated synthesis reflects a balanced interpretation of established guidelines and emerging evidence, warranting an **85/100** confidence rating.</w:t>
      </w:r>
    </w:p>
    <w:p/>
    <w:p/>
    <w:p>
      <w:pPr>
        <w:pStyle w:val="Heading2"/>
      </w:pPr>
      <w:r>
        <w:rPr>
          <w:color w:val="2E75B6"/>
        </w:rPr>
        <w:t>Sources</w:t>
      </w:r>
    </w:p>
    <w:p/>
    <w:p>
      <w:r>
        <w:t>1. Mayo Clinic – Allergy Medications Overview. https://www.mayoclinic.org/diseases-conditions/allergies/in-depth/allergy-medications/art-20047403</w:t>
      </w:r>
    </w:p>
    <w:p>
      <w:r>
        <w:t>2. AAAAI – Nasal Allergy Research Summary (2023). https://www.aaaai.org/tools-for-the-public/latest-research-summaries/the-journal-of-allergy-and-clinical-immunology/2023-the-journal-of-allergy-and-clinical-immunolog/nasals</w:t>
      </w:r>
    </w:p>
    <w:p>
      <w:r>
        <w:t>3. Wausau Daily Herald – Interview with Dr. Jens Brown (2026). https://www.wausaudailyherald.com/story/money/2026/03/27/ent-allergy-associates-names-dr-jens-brown-physician-owner/89307729007/</w:t>
      </w:r>
    </w:p>
    <w:p>
      <w:r>
        <w:t>4. PubMed Central – Classic Review of Allergic Rhinitis (1970). https://pmc.ncbi.nlm.nih.gov/articles/PMC11450520/</w:t>
      </w:r>
    </w:p>
    <w:p>
      <w:r>
        <w:t>5. Yahoo Finance – Nasal Allergy Treatment Analysis (2026). https://uk.finance.yahoo.com/news/nasal-allergy-treatment-analysis-growth-115800842.html</w:t>
      </w:r>
    </w:p>
    <w:p>
      <w:r>
        <w:t>6. Oak Brook Allergists – Treatment Options (2021</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