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Hypertension?</w:t>
            </w:r>
          </w:p>
        </w:tc>
      </w:tr>
      <w:tr>
        <w:tc>
          <w:tcPr>
            <w:tcW w:type="dxa" w:w="4320"/>
          </w:tcPr>
          <w:p>
            <w:r>
              <w:rPr>
                <w:b/>
                <w:color w:val="1F3864"/>
              </w:rPr>
              <w:t>Date</w:t>
            </w:r>
          </w:p>
        </w:tc>
        <w:tc>
          <w:tcPr>
            <w:tcW w:type="dxa" w:w="4320"/>
          </w:tcPr>
          <w:p>
            <w:r>
              <w:t>April 01,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Hypertension?</w:t>
      </w:r>
    </w:p>
    <w:p/>
    <w:p>
      <w:pPr>
        <w:pStyle w:val="Heading2"/>
      </w:pPr>
      <w:r>
        <w:rPr>
          <w:color w:val="2E75B6"/>
        </w:rPr>
        <w:t>Executive Summary</w:t>
      </w:r>
    </w:p>
    <w:p>
      <w:r>
        <w:t>Hypertension (high blood pressure) is a chronic, non‑communicable condition defined by persistently elevated arterial pressures (≥130 mm Hg systolic or ≥80 mm Hg diastolic per the 2023‑2024 ACC/AHA guideline). Most individuals are asymptomatic, yet uncontrolled hypertension drives cardiovascular, cerebrovascular, and renal disease worldwide. Recent literature (2023‑2026) refines sub‑type classifications, highlights health‑equity gaps, and introduces novel therapeutic avenues such as precision‑medicine agents and dietary salt substitutes. Integrated management now blends lifestyle modification, individualized pharmacotherapy, home/ambulatory monitoring, and patient education.</w:t>
      </w:r>
    </w:p>
    <w:p/>
    <w:p/>
    <w:p>
      <w:pPr>
        <w:pStyle w:val="Heading2"/>
      </w:pPr>
      <w:r>
        <w:rPr>
          <w:color w:val="2E75B6"/>
        </w:rPr>
        <w:t>Key Findings</w:t>
      </w:r>
    </w:p>
    <w:p>
      <w:r>
        <w:t>1. **Prevalence &amp; Burden** – Approximately 48 % of U.S. adults meet the current hypertension threshold; globally, one‑in‑three adults are affected.</w:t>
      </w:r>
    </w:p>
    <w:p>
      <w:r>
        <w:t>2. **Clinical Presentation** – The condition is largely silent; severe elevations may cause headache, epistaxis, or visual changes.</w:t>
      </w:r>
    </w:p>
    <w:p>
      <w:r>
        <w:t>3. **Sub‑types** – Isolated systolic, isolated diastolic, and combined hypertension have distinct age‑related risk patterns.</w:t>
      </w:r>
    </w:p>
    <w:p>
      <w:r>
        <w:t>4. **Risk‑Factor Disparities** – Black Americans develop hypertension earlier and at higher rates than other ethnic groups, necessitating targeted outreach.</w:t>
      </w:r>
    </w:p>
    <w:p>
      <w:r>
        <w:t>5. **Secondary Causes** – Renal artery stenosis, primary aldosteronism, pheochromocytoma, obstructive sleep apnea, and certain drugs (e.g., NSAIDs) are identifiable contributors.</w:t>
      </w:r>
    </w:p>
    <w:p>
      <w:r>
        <w:t>6. **Diagnostic Best Practices** – Confirmed by ≥2 office visits or out‑of‑office measurements (HBPM or ABPM) to avoid white‑coat bias.</w:t>
      </w:r>
    </w:p>
    <w:p>
      <w:r>
        <w:t>7. **First‑Line Lifestyle Interventions** – DASH diet, sodium ≤1,500 mg/day, ≥150 min/week moderate aerobic activity, weight loss ≥5 % for BMI &gt; 30 kg/m², alcohol moderation, and smoking cessation.</w:t>
      </w:r>
    </w:p>
    <w:p>
      <w:r>
        <w:t>8. **Pharmacologic Options** – Thiazide‑type diuretics, ACE inhibitors, ARBs, calcium‑channel blockers, and β‑blockers; drug choice is tailored to comorbidities (e.g., ACE‑I/ARB for diabetic kidney disease).</w:t>
      </w:r>
    </w:p>
    <w:p>
      <w:r>
        <w:t>9. **Emerging Therapeutics** – Phase 2 data for Tonlamarsen (Kardigan) show a mean SBP reduction of 12 mm Hg in treatment‑resistant hypertension.</w:t>
      </w:r>
    </w:p>
    <w:p>
      <w:r>
        <w:t>10. **Novel Pathophysiology** – The “heart‑brain axis” links sustained hypertension to neurovascular injury and cognitive decline; ALDOB‑K87 lactylation is implicated in pulmonary hypertension and may inform systemic disease mechanisms.</w:t>
      </w:r>
    </w:p>
    <w:p>
      <w:r>
        <w:t>11. **Implementation Gaps** – Potassium‑based salt substitutes lower SBP by ~4–5 mm Hg but are used by &lt;10 % of eligible patients.</w:t>
      </w:r>
    </w:p>
    <w:p/>
    <w:p/>
    <w:p>
      <w:pPr>
        <w:pStyle w:val="Heading2"/>
      </w:pPr>
      <w:r>
        <w:rPr>
          <w:color w:val="2E75B6"/>
        </w:rPr>
        <w:t>Detailed Analysis</w:t>
      </w:r>
    </w:p>
    <w:p/>
    <w:p>
      <w:r>
        <w:rPr>
          <w:b/>
        </w:rPr>
        <w:t>1. Definition &amp; Epidemiology</w:t>
      </w:r>
    </w:p>
    <w:p>
      <w:r>
        <w:t>The ACC/AHA 2023‑2024 update lowered the diagnostic threshold to ≥130/80 mm Hg, expanding the at‑risk population. WHO data (2024) estimate &gt;1.2 billion adults worldwide live with hypertension, reinforcing its status as a leading modifiable risk factor for mortality.</w:t>
      </w:r>
    </w:p>
    <w:p/>
    <w:p>
      <w:r>
        <w:rPr>
          <w:b/>
        </w:rPr>
        <w:t>2. Clinical Spectrum</w:t>
      </w:r>
    </w:p>
    <w:p>
      <w:r>
        <w:t>Most patients are asymptomatic, which contributes to under‑diagnosis. When symptoms appear, they are non‑specific (headache, epistaxis, blurred vision) and usually signal severe or malignant hypertension. The prevalence of isolated systolic hypertension rises sharply after age 60 due to arterial stiffening, whereas isolated diastolic hypertension is more common in younger adults.</w:t>
      </w:r>
    </w:p>
    <w:p/>
    <w:p>
      <w:r>
        <w:rPr>
          <w:b/>
        </w:rPr>
        <w:t>3. Disparities &amp; Social Determinants</w:t>
      </w:r>
    </w:p>
    <w:p>
      <w:r>
        <w:t>Yale Medicine and CDC analyses demonstrate that Black Americans experience hypertension 5–10 years earlier and have a prevalence &gt;60 % in some urban cohorts. Contributing factors include higher sodium intake, lower access to fresh foods, and systemic stressors. Community‑based interventions (e.g., barbershop blood‑pressure programs) have shown measurable BP reductions.</w:t>
      </w:r>
    </w:p>
    <w:p/>
    <w:p>
      <w:r>
        <w:rPr>
          <w:b/>
        </w:rPr>
        <w:t>4. Secondary Hypertension</w:t>
      </w:r>
    </w:p>
    <w:p>
      <w:r>
        <w:t>Identifying secondary causes is crucial in resistant cases. Renal artery stenosis, primary aldosteronism, and obstructive sleep apnea account for &gt;10 % of resistant hypertension. Medication‑induced hypertension (e.g., NSAIDs, oral contraceptives) should be reviewed at each visit.</w:t>
      </w:r>
    </w:p>
    <w:p/>
    <w:p>
      <w:r>
        <w:rPr>
          <w:b/>
        </w:rPr>
        <w:t>5. Diagnostic Strategy</w:t>
      </w:r>
    </w:p>
    <w:p>
      <w:r>
        <w:t>Guidelines recommend:</w:t>
      </w:r>
    </w:p>
    <w:p>
      <w:pPr>
        <w:pStyle w:val="ListBullet"/>
      </w:pPr>
      <w:r>
        <w:t>**Office BP:** ≥2 visits, 2–3 readings per visit, proper cuff size, seated rest 5 min.</w:t>
      </w:r>
    </w:p>
    <w:p>
      <w:pPr>
        <w:pStyle w:val="ListBullet"/>
      </w:pPr>
      <w:r>
        <w:t>**Out‑of‑Office:** Home BP monitoring (HBPM) or 24‑hour ambulatory BP monitoring (ABPM) to detect white‑coat or masked hypertension. ABPM is the gold standard for diagnosing nocturnal hypertension.</w:t>
      </w:r>
    </w:p>
    <w:p/>
    <w:p>
      <w:r>
        <w:rPr>
          <w:b/>
        </w:rPr>
        <w:t>6. Management Framework</w:t>
      </w:r>
    </w:p>
    <w:p>
      <w:r>
        <w:t>#### Lifestyle</w:t>
      </w:r>
    </w:p>
    <w:p>
      <w:pPr>
        <w:pStyle w:val="ListBullet"/>
      </w:pPr>
      <w:r>
        <w:t>**Diet:** DASH (rich in fruits, vegetables, low‑fat dairy) plus sodium &lt;1,500 mg/day.</w:t>
      </w:r>
    </w:p>
    <w:p>
      <w:pPr>
        <w:pStyle w:val="ListBullet"/>
      </w:pPr>
      <w:r>
        <w:t>**Physical Activity:** ≥150 min/week moderate‑intensity aerobic exercise.</w:t>
      </w:r>
    </w:p>
    <w:p>
      <w:pPr>
        <w:pStyle w:val="ListBullet"/>
      </w:pPr>
      <w:r>
        <w:t>**Weight:** Target BMI &lt;25 kg/m²; even modest weight loss yields ~1 mm Hg SBP reduction per kg lost.</w:t>
      </w:r>
    </w:p>
    <w:p>
      <w:pPr>
        <w:pStyle w:val="ListBullet"/>
      </w:pPr>
      <w:r>
        <w:t>**Alcohol &amp; Smoking:** ≤2 drinks/day for men, ≤1 for women; complete cessation of tobacco.</w:t>
      </w:r>
    </w:p>
    <w:p/>
    <w:p>
      <w:r>
        <w:t>#### Pharmacotherapy</w:t>
      </w:r>
    </w:p>
    <w:p>
      <w:pPr>
        <w:pStyle w:val="ListBullet"/>
      </w:pPr>
      <w:r>
        <w:t>**Initial Therapy:** Single‑pill combination (e.g., ACE‑I + thiazide) often preferred for adherence.</w:t>
      </w:r>
    </w:p>
    <w:p>
      <w:pPr>
        <w:pStyle w:val="ListBullet"/>
      </w:pPr>
      <w:r>
        <w:t>**Escalation:** Add a second agent if SBP ≥20 mm Hg or DBP ≥10 mm Hg above target.</w:t>
      </w:r>
    </w:p>
    <w:p>
      <w:pPr>
        <w:pStyle w:val="ListBullet"/>
      </w:pPr>
      <w:r>
        <w:t>**Comorbidity‑Driven Choice:** CCBs for isolated systolic hypertension; ACE‑I/ARB for CKD or diabetes; β‑blockers when concomitant ischemic heart disease or arrhythmia exists.</w:t>
      </w:r>
    </w:p>
    <w:p/>
    <w:p>
      <w:r>
        <w:t>#### Monitoring &amp; Adherence</w:t>
      </w:r>
    </w:p>
    <w:p>
      <w:r>
        <w:t>HBPM and ABPM are integral for titrating therapy and confirming control. Digital health tools (e.g., validated smartwatch BP monitors) are emerging but require validation against cuff‑based standards.</w:t>
      </w:r>
    </w:p>
    <w:p/>
    <w:p>
      <w:r>
        <w:rPr>
          <w:b/>
        </w:rPr>
        <w:t>7. Emerging Research (2024‑2026)</w:t>
      </w:r>
    </w:p>
    <w:p>
      <w:pPr>
        <w:pStyle w:val="ListBullet"/>
      </w:pPr>
      <w:r>
        <w:t>**Heart‑Brain Axis:** New Scientist (Mar 2026) links chronic hypertension to microvascular brain injury, suggesting early BP control may preserve cognition.</w:t>
      </w:r>
    </w:p>
    <w:p>
      <w:pPr>
        <w:pStyle w:val="ListBullet"/>
      </w:pPr>
      <w:r>
        <w:t>**Salt Substitutes:** ScienceDaily (Mar 2026) reports potassium‑based substitutes reduce SBP modestly; barriers include taste preference and cost.</w:t>
      </w:r>
    </w:p>
    <w:p>
      <w:pPr>
        <w:pStyle w:val="ListBullet"/>
      </w:pPr>
      <w:r>
        <w:t>**Precision Therapeutics:** Tonlamarsen (Kardigan) targets vascular remodeling pathways, achieving substantial SBP drops in phase‑2 trials (ACC 26, Mar 2026).</w:t>
      </w:r>
    </w:p>
    <w:p>
      <w:pPr>
        <w:pStyle w:val="ListBullet"/>
      </w:pPr>
      <w:r>
        <w:t>**Molecular Targets:** Nature (Mar 2026) identifies ALDOB‑K87 lactylation as a driver of mitochondrial fission in pulmonary hypertension, opening translational avenues for systemic hypertension.</w:t>
      </w:r>
    </w:p>
    <w:p/>
    <w:p>
      <w:r>
        <w:rPr>
          <w:b/>
        </w:rPr>
        <w:t>8. Controversies &amp; Clarifications</w:t>
      </w:r>
    </w:p>
    <w:p>
      <w:r>
        <w:t>| Issue | Divergent Views | Current Consensus |</w:t>
      </w:r>
    </w:p>
    <w:p>
      <w:r>
        <w:t>|-------|----------------|-------------------|</w:t>
      </w:r>
    </w:p>
    <w:p>
      <w:r>
        <w:t>| **Sodium Target** | StatPearls: &lt;2,300 mg/day; Cleveland Clinic: ≤1,500 mg/day | ACC/AHA endorses ≤1,500 mg/day for most patients; higher limit acceptable if adherence is a concern. |</w:t>
      </w:r>
    </w:p>
    <w:p>
      <w:r>
        <w:t>| **β‑Blocker Position** | Some sources list as first‑line; others reserve for specific indications | β‑Blockers are not first‑line for uncomplicated hypertension but are essential when co‑existing cardiac disease exists. |</w:t>
      </w:r>
    </w:p>
    <w:p>
      <w:r>
        <w:t>| **Prevalence Estimates** | 48 % U.S. adults vs. “one‑in‑three” globally | Both accurate; reflect differing populations and diagnostic thresholds. |</w:t>
      </w:r>
    </w:p>
    <w:p/>
    <w:p/>
    <w:p>
      <w:pPr>
        <w:pStyle w:val="Heading2"/>
      </w:pPr>
      <w:r>
        <w:rPr>
          <w:color w:val="2E75B6"/>
        </w:rPr>
        <w:t>Fact‑Check Summary (Confidence: **78/100**)</w:t>
      </w:r>
    </w:p>
    <w:p/>
    <w:p>
      <w:pPr>
        <w:pStyle w:val="ListBullet"/>
      </w:pPr>
      <w:r>
        <w:t>**High‑confidence sources** (Cleveland Clinic, Yale Medicine, ACC/AHA, WHO) are peer‑reviewed or professional‑society publications, supporting the core epidemiology, diagnostic criteria, and treatment recommendations.</w:t>
      </w:r>
    </w:p>
    <w:p>
      <w:pPr>
        <w:pStyle w:val="ListBullet"/>
      </w:pPr>
      <w:r>
        <w:t>**Emerging data** (New Scientist, ScienceDaily, Kardigan press release) are reputable news outlets reporting on peer‑reviewed studies or conference abstracts; however, full trial data are not yet publicly peer‑reviewed, lowering confidence slightly.</w:t>
      </w:r>
    </w:p>
    <w:p>
      <w:pPr>
        <w:pStyle w:val="ListBullet"/>
      </w:pPr>
      <w:r>
        <w:t>**Unverified parsing** of one fact‑check entry (StatPearls) limits verification for that specific citation, contributing to a modest reduction in overall confidence.</w:t>
      </w:r>
    </w:p>
    <w:p>
      <w:pPr>
        <w:pStyle w:val="ListBullet"/>
      </w:pPr>
      <w:r>
        <w:t>Overall, the synthesized report aligns with current clinical guidelines and major peer‑reviewed literature, justifying a confidence score of **78 / 100**.</w:t>
      </w:r>
    </w:p>
    <w:p/>
    <w:p/>
    <w:p>
      <w:pPr>
        <w:pStyle w:val="Heading2"/>
      </w:pPr>
      <w:r>
        <w:rPr>
          <w:color w:val="2E75B6"/>
        </w:rPr>
        <w:t>Sources</w:t>
      </w:r>
    </w:p>
    <w:p>
      <w:r>
        <w:t>1. **Cleveland Clinic** – Hypertension overview. https://my.clevelandclinic.org/health/diseases/4314-hypertension-high-blood-pressure</w:t>
      </w:r>
    </w:p>
    <w:p>
      <w:r>
        <w:t>2. **Yale Medicine** – Causes of high blood pressure. https://www.yalemedicine.org/news/what-causes-high-blood-pressure</w:t>
      </w:r>
    </w:p>
    <w:p>
      <w:r>
        <w:t>3. **ACC/AHA 2023‑2024 Hypertension Guideline Update**. https://www.acc.org/latest-in-cardiology/articles/2024/02/05/11/43/2023-esh-hypertension-guid</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