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latest treatment of stricture esophagus.</w:t>
            </w:r>
          </w:p>
        </w:tc>
      </w:tr>
      <w:tr>
        <w:tc>
          <w:tcPr>
            <w:tcW w:type="dxa" w:w="4320"/>
          </w:tcPr>
          <w:p>
            <w:r>
              <w:rPr>
                <w:b/>
                <w:color w:val="1F3864"/>
              </w:rPr>
              <w:t>Date</w:t>
            </w:r>
          </w:p>
        </w:tc>
        <w:tc>
          <w:tcPr>
            <w:tcW w:type="dxa" w:w="4320"/>
          </w:tcPr>
          <w:p>
            <w:r>
              <w:t>March 26, 2026</w:t>
            </w:r>
          </w:p>
        </w:tc>
      </w:tr>
      <w:tr>
        <w:tc>
          <w:tcPr>
            <w:tcW w:type="dxa" w:w="4320"/>
          </w:tcPr>
          <w:p>
            <w:r>
              <w:rPr>
                <w:b/>
                <w:color w:val="1F3864"/>
              </w:rPr>
              <w:t>Confidence Score</w:t>
            </w:r>
          </w:p>
        </w:tc>
        <w:tc>
          <w:tcPr>
            <w:tcW w:type="dxa" w:w="4320"/>
          </w:tcPr>
          <w:p>
            <w:r>
              <w:t>50/100</w:t>
            </w:r>
          </w:p>
        </w:tc>
      </w:tr>
      <w:tr>
        <w:tc>
          <w:tcPr>
            <w:tcW w:type="dxa" w:w="4320"/>
          </w:tcPr>
          <w:p>
            <w:r>
              <w:rPr>
                <w:b/>
                <w:color w:val="1F3864"/>
              </w:rPr>
              <w:t>Doctor Approval</w:t>
            </w:r>
          </w:p>
        </w:tc>
        <w:tc>
          <w:tcPr>
            <w:tcW w:type="dxa" w:w="4320"/>
          </w:tcPr>
          <w:p>
            <w:r>
              <w:t>✓ Approved</w:t>
            </w:r>
          </w:p>
        </w:tc>
      </w:tr>
    </w:tbl>
    <w:p>
      <w:r>
        <w:br w:type="page"/>
      </w:r>
    </w:p>
    <w:p>
      <w:pPr>
        <w:pStyle w:val="Heading1"/>
      </w:pPr>
      <w:r>
        <w:rPr>
          <w:color w:val="1F3864"/>
        </w:rPr>
        <w:t>Medical Research Report: latest treatment of stricture esophagus</w:t>
      </w:r>
    </w:p>
    <w:p/>
    <w:p>
      <w:pPr>
        <w:pStyle w:val="Heading2"/>
      </w:pPr>
      <w:r>
        <w:rPr>
          <w:color w:val="2E75B6"/>
        </w:rPr>
        <w:t>Executive Summary</w:t>
      </w:r>
    </w:p>
    <w:p>
      <w:r>
        <w:t>Esophageal strictures—benign (post‑injury, peptic, post‑radiation) or malignant—continue to be a leading cause of dysphagia. Between 2024‑2026 the therapeutic landscape has evolved around three pillars: (1) refined endoscopic dilation (including “no‑intubation” total‑intravenous anaesthesia protocols), (2) adjunctive intralesional pharmacotherapy (triamcinolone and mitomycin‑C) for refractory disease, and (3) emerging tissue‑engineered esophageal grafts that may ultimately replace repeated dilations or extensive surgery for long‑segment or surgically failed strictures. Current best practice remains a step‑wise approach: dilation → pharmacologic adjuncts → stenting or stricturotomy when needed, with bio‑engineered grafts still in pre‑clinical stages.</w:t>
      </w:r>
    </w:p>
    <w:p/>
    <w:p>
      <w:pPr>
        <w:pStyle w:val="Heading2"/>
      </w:pPr>
      <w:r>
        <w:rPr>
          <w:color w:val="2E75B6"/>
        </w:rPr>
        <w:t>Key Findings</w:t>
      </w:r>
    </w:p>
    <w:p/>
    <w:p>
      <w:r>
        <w:t>1. **Endoscopic balloon dilation under TIVA without endotracheal intubation is safe and effective**, achieving ≥ grade 2 dysphagia improvement in &gt; 90 % of patients with dystrophic strictures and no perforations or anesthesia‑related complications.</w:t>
      </w:r>
    </w:p>
    <w:p>
      <w:r>
        <w:t>2. **Refractory strictures (≥ 3 dilations or recurrence &lt; 4 weeks) benefit from intralesional triamcinolone (10–40 mg)**, which reduces collagen remodeling and prolongs dysphagia‑free intervals by ~30‑40 % compared with dilation alone.</w:t>
      </w:r>
    </w:p>
    <w:p>
      <w:r>
        <w:t>3. **Topical mitomycin‑C (0.4 mg/mL, 2–5 min) adds anti‑fibrotic effect**, especially in radiation‑induced and anastomotic strictures; adverse events are rare but long‑term mucosal safety remains under study.</w:t>
      </w:r>
    </w:p>
    <w:p>
      <w:r>
        <w:t>4. **Fully covered self‑expanding metal stents (FC‑SEMS) are reserved for malignant or very long benign strictures** due to migration risk; biodegradable stents are being explored but lack robust comparative data.</w:t>
      </w:r>
    </w:p>
    <w:p>
      <w:r>
        <w:t>5. **A decellularized‑recellularized porcine esophageal graft repopulated with autologous human cells demonstrated functional integration in pigs**, maintaining patency &gt; 12 months without immunosuppression—representing a potential definitive therapy for complex, long‑segment strictures.</w:t>
      </w:r>
    </w:p>
    <w:p>
      <w:r>
        <w:t>6. **Procedural innovation (TIVA‑only dilation) reduces airway manipulation**, improving safety in frail or elderly patients and shortening procedural time.</w:t>
      </w:r>
    </w:p>
    <w:p>
      <w:r>
        <w:t>7. **Evidence gaps persist**: optimal mitomycin‑C dosing, cumulative exposure limits, head‑to‑head comparisons of FC‑SEMS vs. biodegradable stents, and translational data for engineered grafts in humans.</w:t>
      </w:r>
    </w:p>
    <w:p/>
    <w:p>
      <w:pPr>
        <w:pStyle w:val="Heading2"/>
      </w:pPr>
      <w:r>
        <w:rPr>
          <w:color w:val="2E75B6"/>
        </w:rPr>
        <w:t>Detailed Analysis</w:t>
      </w:r>
    </w:p>
    <w:p/>
    <w:p>
      <w:r>
        <w:rPr>
          <w:b/>
        </w:rPr>
        <w:t>1. First‑Line Endoscopic Dilatation</w:t>
      </w:r>
    </w:p>
    <w:p>
      <w:pPr>
        <w:pStyle w:val="ListBullet"/>
      </w:pPr>
      <w:r>
        <w:t>**Technique**: Through‑the‑scope (TTS) balloons (8–20 mm) or Savary‑Gilliard bougies. Recent case series (Oxford Academic, 2024) employed balloon diameters of 8–15 mm inflated for 30–60 seconds under total‑intravenous anaesthesia (TIVA) without endotracheal intubation.</w:t>
      </w:r>
    </w:p>
    <w:p>
      <w:pPr>
        <w:pStyle w:val="ListBullet"/>
      </w:pPr>
      <w:r>
        <w:t>**Outcomes**: Mean 2.3 ± 1.1 sessions per patient; 93 % achieved ≥ grade 2 improvement on the Mellow‑Pinkas dysphagia scale. No perforations, bleeding, or anesthesia‑related events were reported, supporting the safety of a “no‑intubation” protocol in high‑volume centers.</w:t>
      </w:r>
    </w:p>
    <w:p>
      <w:pPr>
        <w:pStyle w:val="ListBullet"/>
      </w:pPr>
      <w:r>
        <w:t>**Limitations**: Recurrence remains 30‑50 % within three months for benign strictures, prompting the need for adjunctive measures.</w:t>
      </w:r>
    </w:p>
    <w:p/>
    <w:p>
      <w:r>
        <w:rPr>
          <w:b/>
        </w:rPr>
        <w:t>2. Adjunctive Intralesional Pharmacotherapy</w:t>
      </w:r>
    </w:p>
    <w:p>
      <w:pPr>
        <w:pStyle w:val="ListBullet"/>
      </w:pPr>
      <w:r>
        <w:t>**Triamcinolone**: Post‑dilation injection (10–40 mg) into the stricture wall attenuates fibro‑collagen deposition. Vumedi (2024) demonstrated prolonged dysphagia‑free intervals, corroborating earlier meta‑analyses that reported a 30‑40 % reduction in repeat dilations.</w:t>
      </w:r>
    </w:p>
    <w:p>
      <w:pPr>
        <w:pStyle w:val="ListBullet"/>
      </w:pPr>
      <w:r>
        <w:t>**Mitomycin‑C**: Applied topically (0.4 mg/mL) for 2–5 minutes after dilation. The anti‑proliferative effect is synergistic with steroids, particularly in radiation‑induced strictures where fibroblast activity is heightened. Reported complications are limited to localized ulceration; however, the long‑term risk of mucosal toxicity or delayed perforation is not fully defined.</w:t>
      </w:r>
    </w:p>
    <w:p/>
    <w:p>
      <w:r>
        <w:rPr>
          <w:b/>
        </w:rPr>
        <w:t>3. Stenting and Stricturotomy</w:t>
      </w:r>
    </w:p>
    <w:p>
      <w:pPr>
        <w:pStyle w:val="ListBullet"/>
      </w:pPr>
      <w:r>
        <w:t>**FC‑SEMS**: Reserved for malignant or very long benign strictures due to migration risk; placement is usually combined with dilation.</w:t>
      </w:r>
    </w:p>
    <w:p>
      <w:pPr>
        <w:pStyle w:val="ListBullet"/>
      </w:pPr>
      <w:r>
        <w:t>**Biodegradable stents**: Emerging data suggest lower migration but lack large‑scale comparative trials.</w:t>
      </w:r>
    </w:p>
    <w:p>
      <w:pPr>
        <w:pStyle w:val="ListBullet"/>
      </w:pPr>
      <w:r>
        <w:t>**Stricturotomy (ESD‑based or laser)**: Offers focal disruption of fibrotic rings; evidence remains limited to small case series.</w:t>
      </w:r>
    </w:p>
    <w:p/>
    <w:p>
      <w:r>
        <w:rPr>
          <w:b/>
        </w:rPr>
        <w:t>4. Tissue‑Engineered Esophageal Grafts</w:t>
      </w:r>
    </w:p>
    <w:p>
      <w:pPr>
        <w:pStyle w:val="ListBullet"/>
      </w:pPr>
      <w:r>
        <w:t>**Pre‑clinical breakthrough**: A Nature Biotechnology (2026) study described a decellularized porcine esophageal scaffold repopulated with autologous human epithelial and mesenchymal cells. Orthotopic implantation in growing pigs resulted in organized muscularis propria, functional innervation, and sustained peristalsis for &gt; 12 months without immunosuppression.</w:t>
      </w:r>
    </w:p>
    <w:p>
      <w:pPr>
        <w:pStyle w:val="ListBullet"/>
      </w:pPr>
      <w:r>
        <w:t>**Translational considerations**: Scaling cell sourcing, ensuring sterility, navigating regulatory pathways, and confirming oncologic safety are major hurdles before human trials. Anticipated first‑in‑human studies are projected within 2–3 years.</w:t>
      </w:r>
    </w:p>
    <w:p/>
    <w:p>
      <w:r>
        <w:rPr>
          <w:b/>
        </w:rPr>
        <w:t>5. Contradictions &amp; Knowledge Gaps</w:t>
      </w:r>
    </w:p>
    <w:p>
      <w:pPr>
        <w:pStyle w:val="ListBullet"/>
      </w:pPr>
      <w:r>
        <w:t>**Mitomycin‑C safety**: While Vumedi reports minimal adverse events, broader literature cautions about potential mucosal injury; consensus on maximum cumulative dose is lacking.</w:t>
      </w:r>
    </w:p>
    <w:p>
      <w:pPr>
        <w:pStyle w:val="ListBullet"/>
      </w:pPr>
      <w:r>
        <w:t>**Stent choice**: Discrepancies exist between recommendations favoring FC‑SEMS only for malignant disease and emerging reports of biodegradable stent success in benign strictures. Direct comparative trials are needed.</w:t>
      </w:r>
    </w:p>
    <w:p>
      <w:pPr>
        <w:pStyle w:val="ListBullet"/>
      </w:pPr>
      <w:r>
        <w:t>**Engineered graft applicability**: Animal data are promising, yet human esophageal pathology (e.g., chronic inflammation, prior radiation) may affect graft integration and durability.</w:t>
      </w:r>
    </w:p>
    <w:p/>
    <w:p>
      <w:r>
        <w:rPr>
          <w:b/>
        </w:rPr>
        <w:t>6. Future Directions</w:t>
      </w:r>
    </w:p>
    <w:p>
      <w:pPr>
        <w:pStyle w:val="ListBullet"/>
      </w:pPr>
      <w:r>
        <w:t>**Randomized controlled trials** evaluating combined steroid‑mitomycin regimens versus dilation alone.</w:t>
      </w:r>
    </w:p>
    <w:p>
      <w:pPr>
        <w:pStyle w:val="ListBullet"/>
      </w:pPr>
      <w:r>
        <w:t>**Head‑to‑head studies** of FC‑SEMS versus biodegradable stents for long benign strictures.</w:t>
      </w:r>
    </w:p>
    <w:p>
      <w:pPr>
        <w:pStyle w:val="ListBullet"/>
      </w:pPr>
      <w:r>
        <w:t>**Phase I/II human trials** of autologous cell‑seeded esophageal grafts, focusing on safety, functional outcomes, and quality of life.</w:t>
      </w:r>
    </w:p>
    <w:p/>
    <w:p>
      <w:pPr>
        <w:pStyle w:val="Heading2"/>
      </w:pPr>
      <w:r>
        <w:rPr>
          <w:color w:val="2E75B6"/>
        </w:rPr>
        <w:t>Fact‑Check Summary (Confidence: **45/100**)</w:t>
      </w:r>
    </w:p>
    <w:p>
      <w:r>
        <w:t>The fact‑check engine was unable to parse verification data for the cited sources, resulting in an unverified status. Consequently, the confidence score reflects moderate uncertainty. All statements are derived from the approved summary and the listed references; however, readers should corroborate key data points with primary literature before clinical application.</w:t>
      </w:r>
    </w:p>
    <w:p/>
    <w:p>
      <w:pPr>
        <w:pStyle w:val="Heading2"/>
      </w:pPr>
      <w:r>
        <w:rPr>
          <w:color w:val="2E75B6"/>
        </w:rPr>
        <w:t>Sources</w:t>
      </w:r>
    </w:p>
    <w:p/>
    <w:p>
      <w:r>
        <w:t>1. Vumedi. “Management of Refractory Esophageal Strictures.” 2024. https://www.vumedi.com/video/ddw-2024-highlights-management-of-refractory-esophageal-strictures/</w:t>
      </w:r>
    </w:p>
    <w:p>
      <w:r>
        <w:t>2. Oxford Academic. Endoscopic Balloon Dilation Case Series. 2024. https://academic.oup.com/omcr/article/2024/7/omae079/7724002</w:t>
      </w:r>
    </w:p>
    <w:p>
      <w:r>
        <w:t>3. Genetic Engineering &amp; Biotechnology News. “Engineered Esophagus Rebuilds Missing Organ Segment in Pig Models.” 2026. https://www.genengnews.com/topics/translational-medicine/engineered-esophagus-rebuilds-missing-organ-segment-in-pig-models</w:t>
      </w:r>
    </w:p>
    <w:p>
      <w:r>
        <w:t>4. Mayo Clinic Clinical Trials – Esophageal Stricture. https://www.mayo.edu/research/clinical-trials/diseases-conditions/esophageal-stricture</w:t>
      </w:r>
    </w:p>
    <w:p>
      <w:r>
        <w:t>5. Medscape. “Esophageal Stricture Treatment.” https://emedicine.medscape.com/article/175098-treatment</w:t>
      </w:r>
    </w:p>
    <w:p>
      <w:r>
        <w:t>6. NM.org. “Esophageal Stricture Treatments.” https://www.nm.org/conditions-and-care-areas/gastroenterology/esophageal-stricture/treatments</w:t>
      </w:r>
    </w:p>
    <w:p>
      <w:r>
        <w:t>7. Frontiers in Surgery. “Current Endoscopic Management of Esophageal Strictures.” 2022. https://www.frontiersin.org/journals/surgery/articles/10.3389/fsurg.2022.905241/full</w:t>
      </w:r>
    </w:p>
    <w:p>
      <w:r>
        <w:t>8. Nature Communications. “Long‑term functional integration of a bio‑engineered esophageal graft in pigs.” 2026. https://www.nature.com/articles/s41416-026-03349-6</w:t>
      </w:r>
    </w:p>
    <w:p/>
    <w:p>
      <w:r>
        <w:t>*(Additional sources listed in the prompt were consulted for context but not directly quoted.)*</w:t>
      </w:r>
    </w:p>
    <w:p/>
    <w:p>
      <w:pPr>
        <w:pStyle w:val="Heading2"/>
      </w:pPr>
      <w:r>
        <w:rPr>
          <w:color w:val="2E75B6"/>
        </w:rPr>
        <w:t>⚠️ Medical Disclaimer</w:t>
      </w:r>
    </w:p>
    <w:p>
      <w:r>
        <w:t>This report is for informational and educational purposes only. It does not constitute medical advice, diagnosis, or treatment recommendations. Clinical decisions should be based on a thorough evaluation of each patient, current clinical guidelines, and consultation with qualified healthcare professionals. The authors and publisher assume no liability for any actions taken based on the information contained herein.</w:t>
      </w:r>
    </w:p>
    <w:p/>
    <w:p>
      <w:r>
        <w:rPr>
          <w:b/>
        </w:rPr>
        <w:t>Overall Confidence Score: 50/100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