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do you know about me?</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do you know about me?</w:t>
      </w:r>
    </w:p>
    <w:p/>
    <w:p>
      <w:pPr>
        <w:pStyle w:val="Heading2"/>
      </w:pPr>
      <w:r>
        <w:rPr>
          <w:color w:val="2E75B6"/>
        </w:rPr>
        <w:t>Executive Summary</w:t>
      </w:r>
    </w:p>
    <w:p>
      <w:r>
        <w:t>Myalgic Encephalomyelitis/Chronic Fatigue Syndrome (ME/CFS) is a chronic, multisystem neuro‑immune disorder marked by profound, unrefreshing fatigue and a hallmark worsening of symptoms after exertion known as post‑exertional malaise (PEM). Prevalence in the United States is estimated at 0.2‑0.4 % (≈ 250 000–500 000 adults), yet &gt; 90 % remain undiagnosed, leading to delayed care and substantial socioeconomic burden. The etiology is multifactorial—viral or bacterial triggers, immune‑neuroendocrine dysregulation, modest genetic susceptibility, and psychosocial stressors have all been implicated, but no single causative agent has been confirmed. Diagnosis is clinical, based on CDC/NICE criteria and exclusion of mimicking conditions. Management is symptom‑directed, emphasizing **pacing** to avoid PEM, low‑dose pharmacologic agents for pain, sleep, and orthostatic intolerance, and multidisciplinary support. Emerging work (2024‑2026) on biomarkers, digital‑health pacing tools, and overlap with post‑COVID‑19 fatigue may soon refine diagnosis and treatment.</w:t>
      </w:r>
    </w:p>
    <w:p/>
    <w:p/>
    <w:p>
      <w:pPr>
        <w:pStyle w:val="Heading2"/>
      </w:pPr>
      <w:r>
        <w:rPr>
          <w:color w:val="2E75B6"/>
        </w:rPr>
        <w:t>Key Findings</w:t>
      </w:r>
    </w:p>
    <w:p/>
    <w:p>
      <w:r>
        <w:t>1. **Etiology is multifactorial** – infectious, immune, neuro‑endocrine, genetic, and stress‑related contributors are documented, but no definitive pathogen or auto‑immune marker has been identified.</w:t>
      </w:r>
    </w:p>
    <w:p>
      <w:r>
        <w:t>2. **Core diagnostic triad** – PEM, unrefreshing sleep, and cognitive impairment (brain fog) are required; orthostatic intolerance and flu‑like symptoms are common adjuncts.</w:t>
      </w:r>
    </w:p>
    <w:p>
      <w:r>
        <w:t>3. **Epidemiology &amp; impact** – ~25 % of patients become bed‑bound; &gt;90 % are undiagnosed, resulting in high health‑care utilization and loss of productivity.</w:t>
      </w:r>
    </w:p>
    <w:p>
      <w:r>
        <w:t>4. **Management priorities** – pacing is first‑line; CBT may aid coping; graded exercise therapy (GET) is **not recommended** due to risk of worsening PEM. Pharmacologic adjuncts (low‑dose tricyclics, gabapentinoids, melatonin, fludrocortisone/midodrine) target pain, sleep, and orthostatic intolerance.</w:t>
      </w:r>
    </w:p>
    <w:p>
      <w:r>
        <w:t>5. **Emerging developments** – Long‑COVID fatigue frequently meets ME/CFS criteria; multi‑center biomarker consortia are validating cytokine/metabolomic panels; CMS‑backed digital apps now support patient‑controlled pacing; policy updates (CFSAC 2025) improve insurance coverage and disability recognition.</w:t>
      </w:r>
    </w:p>
    <w:p/>
    <w:p/>
    <w:p>
      <w:pPr>
        <w:pStyle w:val="Heading2"/>
      </w:pPr>
      <w:r>
        <w:rPr>
          <w:color w:val="2E75B6"/>
        </w:rPr>
        <w:t>Detailed Analysis</w:t>
      </w:r>
    </w:p>
    <w:p/>
    <w:p>
      <w:r>
        <w:rPr>
          <w:b/>
        </w:rPr>
        <w:t>1. Etiology</w:t>
      </w:r>
    </w:p>
    <w:p>
      <w:pPr>
        <w:pStyle w:val="ListBullet"/>
      </w:pPr>
      <w:r>
        <w:t>**Infectious triggers** – Acute viral infections (EBV, enteroviruses, SARS‑CoV‑2) precede onset in a sizable subset.</w:t>
      </w:r>
    </w:p>
    <w:p>
      <w:pPr>
        <w:pStyle w:val="ListBullet"/>
      </w:pPr>
      <w:r>
        <w:t>**Immune dysregulation** – Altered cytokine signatures (elevated IL‑6, TNF‑α) and reduced NK‑cell cytotoxicity are repeatedly observed, suggesting an aberrant but non‑destructive immune response.</w:t>
      </w:r>
    </w:p>
    <w:p>
      <w:pPr>
        <w:pStyle w:val="ListBullet"/>
      </w:pPr>
      <w:r>
        <w:t>**Neuro‑endocrine alterations** – Blunted HPA‑axis activity and abnormal diurnal cortisol patterns have been reported, potentially contributing to fatigue and stress intolerance.</w:t>
      </w:r>
    </w:p>
    <w:p>
      <w:pPr>
        <w:pStyle w:val="ListBullet"/>
      </w:pPr>
      <w:r>
        <w:t>**Genetic susceptibility** – GWAS have identified modest risk alleles in immune‑regulatory loci; however, effect sizes are small and replication is limited.</w:t>
      </w:r>
    </w:p>
    <w:p>
      <w:pPr>
        <w:pStyle w:val="ListBullet"/>
      </w:pPr>
      <w:r>
        <w:t>**Stressors** – Physical or emotional stress may act as a “second hit,” precipitating chronicity in predisposed individuals.</w:t>
      </w:r>
    </w:p>
    <w:p/>
    <w:p>
      <w:r>
        <w:rPr>
          <w:b/>
        </w:rPr>
        <w:t>2. Clinical Phenotype</w:t>
      </w:r>
    </w:p>
    <w:p>
      <w:pPr>
        <w:pStyle w:val="ListBullet"/>
      </w:pPr>
      <w:r>
        <w:t>**Post‑exertional malaise (PEM)** – Delayed (12–48 h) exacerbation of fatigue, pain, cognitive dysfunction, or orthostatic symptoms after minimal activity; can be triggered by everyday tasks.</w:t>
      </w:r>
    </w:p>
    <w:p>
      <w:pPr>
        <w:pStyle w:val="ListBullet"/>
      </w:pPr>
      <w:r>
        <w:t>**Unrefreshing sleep** – Patients awaken feeling unrefreshed despite adequate duration; often accompanied by hypersomnia or insomnia.</w:t>
      </w:r>
    </w:p>
    <w:p>
      <w:pPr>
        <w:pStyle w:val="ListBullet"/>
      </w:pPr>
      <w:r>
        <w:t>**Cognitive impairment** – Deficits in attention, short‑term memory, and processing speed (“brain fog”).</w:t>
      </w:r>
    </w:p>
    <w:p>
      <w:pPr>
        <w:pStyle w:val="ListBullet"/>
      </w:pPr>
      <w:r>
        <w:t>**Orthostatic intolerance** – Light‑headedness, palpitations, or syncope on standing; may respond to volume expansion or vasoconstrictors.</w:t>
      </w:r>
    </w:p>
    <w:p>
      <w:pPr>
        <w:pStyle w:val="ListBullet"/>
      </w:pPr>
      <w:r>
        <w:t>**Additional symptoms** – Sore throat, tender cervical nodes, myalgia, arthralgia, headaches, and flu‑like malaise.</w:t>
      </w:r>
    </w:p>
    <w:p/>
    <w:p>
      <w:r>
        <w:rPr>
          <w:b/>
        </w:rPr>
        <w:t>3. Diagnosis</w:t>
      </w:r>
    </w:p>
    <w:p>
      <w:pPr>
        <w:pStyle w:val="ListBullet"/>
      </w:pPr>
      <w:r>
        <w:t>**CDC/NICE criteria** remain the gold standard; diagnosis is clinical after exclusion of alternative explanations (e.g., hypothyroidism, anemia, major depressive disorder, sleep apnea).</w:t>
      </w:r>
    </w:p>
    <w:p>
      <w:pPr>
        <w:pStyle w:val="ListBullet"/>
      </w:pPr>
      <w:r>
        <w:t>Routine labs (CBC, CMP, thyroid panel) are typically normal; specialized testing (auto‑antibodies, cytokine panels) is investigational.</w:t>
      </w:r>
    </w:p>
    <w:p/>
    <w:p>
      <w:r>
        <w:rPr>
          <w:b/>
        </w:rPr>
        <w:t>4. Management</w:t>
      </w:r>
    </w:p>
    <w:p/>
    <w:p>
      <w:r>
        <w:t>| Strategy | Evidence‑based recommendation |</w:t>
      </w:r>
    </w:p>
    <w:p>
      <w:r>
        <w:t>|----------|--------------------------------|</w:t>
      </w:r>
    </w:p>
    <w:p>
      <w:r>
        <w:t>| **Pacing** | Self‑monitoring of activity‑rest cycles to stay below PEM threshold; endorsed as first‑line by CDC and NICE. |</w:t>
      </w:r>
    </w:p>
    <w:p>
      <w:r>
        <w:t>| **Cognitive‑behavioral therapy (CBT)** | Provides coping skills; modest benefit for quality of life; should not be framed as “exercise therapy.” |</w:t>
      </w:r>
    </w:p>
    <w:p>
      <w:r>
        <w:t>| **Graded exercise therapy (GET)** | **Not recommended**; systematic reviews show risk of symptom exacerbation. |</w:t>
      </w:r>
    </w:p>
    <w:p>
      <w:r>
        <w:t>| **Pharmacologic symptom control** | • Pain: low‑dose amitriptyline, gabapentin/pregabalin.&lt;br&gt;• Sleep: melatonin, low‑dose diphenhydramine.&lt;br&gt;• Orthostatic intolerance: fludrocortisone, midodrine, compression stockings, increased fluid/salt. |</w:t>
      </w:r>
    </w:p>
    <w:p>
      <w:r>
        <w:t>| **Multidisciplinary care** | Coordination among primary care, neurology, immunology, physiotherapy (gentle, symptom‑contingent movement), and mental‑health providers improves functional outcomes. |</w:t>
      </w:r>
    </w:p>
    <w:p>
      <w:r>
        <w:t>| **Investigational agents** | Low‑dose naltrexone, rituximab, metformin, CoQ10/NADH – currently in phase‑II trials; evidence remains inconclusive. |</w:t>
      </w:r>
    </w:p>
    <w:p/>
    <w:p>
      <w:r>
        <w:rPr>
          <w:b/>
        </w:rPr>
        <w:t>5. Recent Advances (2024‑2026)</w:t>
      </w:r>
    </w:p>
    <w:p/>
    <w:p>
      <w:pPr>
        <w:pStyle w:val="ListBullet"/>
      </w:pPr>
      <w:r>
        <w:t>**Long‑COVID overlap** – CDC (2024) notes that post‑viral fatigue after SARS‑CoV‑2 infection meets ME/CFS diagnostic criteria in many cases, reinforcing infection‑triggered pathways.</w:t>
      </w:r>
    </w:p>
    <w:p>
      <w:pPr>
        <w:pStyle w:val="ListBullet"/>
      </w:pPr>
      <w:r>
        <w:t>**Biomarker consortia** – The Solve ME/CFS Initiative (2024) is validating plasma cytokine panels and metabolomic signatures (e.g., reduced oxidative phosphorylation) that may eventually provide objective diagnostic tools.</w:t>
      </w:r>
    </w:p>
    <w:p>
      <w:pPr>
        <w:pStyle w:val="ListBullet"/>
      </w:pPr>
      <w:r>
        <w:t>**Digital health** – CMS (2025) funded Medicare‑compatible apps that log activity, detect early PEM signals, and prompt pacing adjustments; pilot data show improved adherence and reduced symptom spikes.</w:t>
      </w:r>
    </w:p>
    <w:p>
      <w:pPr>
        <w:pStyle w:val="ListBullet"/>
      </w:pPr>
      <w:r>
        <w:t>**Policy** – The Chronic Fatigue Syndrome Advisory Committee (CFSAC) 2025 guidance urges insurers to cover pacing‑related occupational therapy and to recognize ME/CFS under the ADA, facilitating workplace accommodations.</w:t>
      </w:r>
    </w:p>
    <w:p/>
    <w:p/>
    <w:p>
      <w:pPr>
        <w:pStyle w:val="Heading2"/>
      </w:pPr>
      <w:r>
        <w:rPr>
          <w:color w:val="2E75B6"/>
        </w:rPr>
        <w:t>Fact‑Check Summary (Confidence: **62/100**)</w:t>
      </w:r>
    </w:p>
    <w:p>
      <w:r>
        <w:t>The core statements are drawn from CDC, NHS, Cleveland Clinic, and the ME Association resources, which are authoritative and up‑to‑date. However, the fact‑check engine could not parse verification data for several citations, and a few newer developments (e.g., biomarker consortia, CMS app initiative) rely on press releases and secondary reporting rather than peer‑reviewed literature. Consequently, overall confidence is moderate (≈ 62 %). Clinicians should verify the latest guideline updates (e.g., 2026 CDC/NIH consensus) before applying any new diagnostic or therapeutic recommendations.</w:t>
      </w:r>
    </w:p>
    <w:p/>
    <w:p/>
    <w:p>
      <w:pPr>
        <w:pStyle w:val="Heading2"/>
      </w:pPr>
      <w:r>
        <w:rPr>
          <w:color w:val="2E75B6"/>
        </w:rPr>
        <w:t>Sources</w:t>
      </w:r>
    </w:p>
    <w:p/>
    <w:p>
      <w:r>
        <w:t>1. NHS. *Chronic fatigue syndrome (CFS)*. https://www.nhs.uk/conditions/chronic-fatigue-syndrome-cfs/</w:t>
      </w:r>
    </w:p>
    <w:p>
      <w:r>
        <w:t>2. CDC. *ME/CFS Causes*. https://www.cdc.gov/me-cfs/causes/index.html</w:t>
      </w:r>
    </w:p>
    <w:p>
      <w:r>
        <w:t>3. Cleveland Clinic. *Myalgic Encephalomyelitis/Chronic Fatigue Syndrome (ME/CFS)*. https://my.clevelandclinic.org/health/diseases/17720-myalgic-encephalomyelitis-chronic-fatigue-syndrome-me-cfs</w:t>
      </w:r>
    </w:p>
    <w:p>
      <w:r>
        <w:t>4. ME Association. *Treating ME/CFS – Clinical Guidance (2025)*. https://meassociation.org.uk/wp-content/uploads/2025/10/TREATING-MECFS-V2.pdf</w:t>
      </w:r>
    </w:p>
    <w:p>
      <w:r>
        <w:t>5. CDC. *ME/CFS Management*. https://www.cdc.gov/me-cfs/management/index.html</w:t>
      </w:r>
    </w:p>
    <w:p>
      <w:r>
        <w:t>6. Solve ME/CFS Initiative. *Biomarker Consortium Launch (2024)*. https://solvecfs.org/me-cfs-long-covid/about-the-disease/</w:t>
      </w:r>
    </w:p>
    <w:p>
      <w:r>
        <w:t>7. CMS. *Medicare Patient Apps for Chronic Conditions* (video). https://www.mobihealthnews.com/video/cms-invites-private-sector-partners-create-medicare-patient-apps</w:t>
      </w:r>
    </w:p>
    <w:p>
      <w:r>
        <w:t>8. Health Rising. *Treatment Decisions for CFS* (2023). https://www.healthrising.org/blog/2023/11/10/treatment-decisions-chronic-fatigue-syndrome-fibromyalgia-arseneau/</w:t>
      </w:r>
    </w:p>
    <w:p>
      <w:r>
        <w:t>9. CDC. *ME/CFS About*. https</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