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is hypertension?</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is hypertension?</w:t>
      </w:r>
    </w:p>
    <w:p/>
    <w:p>
      <w:pPr>
        <w:pStyle w:val="Heading2"/>
      </w:pPr>
      <w:r>
        <w:rPr>
          <w:color w:val="2E75B6"/>
        </w:rPr>
        <w:t>Executive Summary</w:t>
      </w:r>
    </w:p>
    <w:p>
      <w:r>
        <w:t>Hypertension, commonly called high blood pressure, is a chronic, non‑communicable condition characterized by persistently elevated arterial pressures. Modern guidelines (AHA/ACC 2023‑2024) define hypertension as a **systolic ≥ 130 mm Hg or diastolic ≥ 80 mm Hg**. The disease is often asymptomatic, earning the moniker “silent killer,” yet it markedly increases the risk of stroke, myocardial infarction, heart failure, chronic kidney disease, and vascular dementia. Prevalence rises with age, affecting roughly **half of U.S. adults**. Genetics, age‑related vascular stiffening, and modifiable lifestyle factors (diet, sodium intake, physical inactivity, obesity, alcohol, smoking, stress) drive its development. Early detection, risk‑stratified treatment, and lifestyle modification are essential to curb its public‑health impact.</w:t>
      </w:r>
    </w:p>
    <w:p/>
    <w:p>
      <w:pPr>
        <w:pStyle w:val="Heading2"/>
      </w:pPr>
      <w:r>
        <w:rPr>
          <w:color w:val="2E75B6"/>
        </w:rPr>
        <w:t>Key Findings</w:t>
      </w:r>
    </w:p>
    <w:p/>
    <w:p>
      <w:r>
        <w:t>1. **Diagnostic Thresholds Updated** – 2023 AHA/ACC guidelines lower the hypertension cut‑off to ≥130/≥80 mm Hg, expanding the at‑risk population.</w:t>
      </w:r>
    </w:p>
    <w:p>
      <w:r>
        <w:t>2. **Epidemiology** – Approximately 48 % of U.S. adults have hypertension; prevalence escalates with advancing age.</w:t>
      </w:r>
    </w:p>
    <w:p>
      <w:r>
        <w:t>3. **Pathophysiology** – Chronic pressure overload damages endothelium, promotes atherogenesis, and induces left‑ventricular hypertrophy; primary (essential) hypertension is genetically mediated, while secondary forms have identifiable causes (renal, endocrine, medications).</w:t>
      </w:r>
    </w:p>
    <w:p>
      <w:r>
        <w:t>4. **Risk Factors** – Non‑modifiable: age, family history, genetics. Modifiable: excess sodium, obesity, sedentary lifestyle, alcohol, smoking, poor sleep, chronic stress.</w:t>
      </w:r>
    </w:p>
    <w:p>
      <w:r>
        <w:t>5. **Clinical Consequences** – Stroke, myocardial infarction, heart failure, chronic kidney disease, peripheral arterial disease, vascular dementia, and left‑ventricular hypertrophy.</w:t>
      </w:r>
    </w:p>
    <w:p>
      <w:r>
        <w:t>6. **Management Paradigm** – Lifestyle modification first line; pharmacologic therapy (thiazide‑type diuretics, ACE‑I/ARBs, calcium‑channel blockers, β‑blockers when indicated) added based on stage and cardiovascular risk.</w:t>
      </w:r>
    </w:p>
    <w:p>
      <w:r>
        <w:t>7. **Recent Advances (2023‑2026)** –</w:t>
      </w:r>
    </w:p>
    <w:p>
      <w:pPr>
        <w:pStyle w:val="ListBullet"/>
      </w:pPr>
      <w:r>
        <w:t>*Environmental modifiers*: Residential greenness linked to lower hypertension prevalence.</w:t>
      </w:r>
    </w:p>
    <w:p>
      <w:pPr>
        <w:pStyle w:val="ListBullet"/>
      </w:pPr>
      <w:r>
        <w:t>*Post‑exercise hypotension*: Acute aerobic activity yields transient BP reductions lasting hours, supporting exercise as a therapeutic “dose.”</w:t>
      </w:r>
    </w:p>
    <w:p>
      <w:pPr>
        <w:pStyle w:val="ListBullet"/>
      </w:pPr>
      <w:r>
        <w:t>*Secondary hypertension in youth*: Higher prevalence of identifiable secondary causes among adults &lt;40 y, prompting systematic screening.</w:t>
      </w:r>
    </w:p>
    <w:p/>
    <w:p>
      <w:pPr>
        <w:pStyle w:val="Heading2"/>
      </w:pPr>
      <w:r>
        <w:rPr>
          <w:color w:val="2E75B6"/>
        </w:rPr>
        <w:t>Detailed Analysis</w:t>
      </w:r>
    </w:p>
    <w:p/>
    <w:p>
      <w:r>
        <w:rPr>
          <w:b/>
        </w:rPr>
        <w:t>1. Definition &amp; Diagnostic Criteria</w:t>
      </w:r>
    </w:p>
    <w:p>
      <w:r>
        <w:t>Current consensus (AHA/ACC 2023‑2024) classifies BP readings as:</w:t>
      </w:r>
    </w:p>
    <w:p>
      <w:pPr>
        <w:pStyle w:val="ListBullet"/>
      </w:pPr>
      <w:r>
        <w:t>**Normal**: &lt;120/80 mm Hg</w:t>
      </w:r>
    </w:p>
    <w:p>
      <w:pPr>
        <w:pStyle w:val="ListBullet"/>
      </w:pPr>
      <w:r>
        <w:t>**Elevated**: 120‑129/&lt;80 mm Hg</w:t>
      </w:r>
    </w:p>
    <w:p>
      <w:pPr>
        <w:pStyle w:val="ListBullet"/>
      </w:pPr>
      <w:r>
        <w:t>**Stage 1 Hypertension**: 130‑139/80‑89 mm Hg</w:t>
      </w:r>
    </w:p>
    <w:p>
      <w:pPr>
        <w:pStyle w:val="ListBullet"/>
      </w:pPr>
      <w:r>
        <w:t>**Stage 2 Hypertension**: ≥140/≥90 mm Hg</w:t>
      </w:r>
    </w:p>
    <w:p/>
    <w:p>
      <w:r>
        <w:t>Diagnosis requires **≥2 separate measurements** (clinic, home, or ambulatory) to exclude white‑coat or masked hypertension.</w:t>
      </w:r>
    </w:p>
    <w:p/>
    <w:p>
      <w:r>
        <w:rPr>
          <w:b/>
        </w:rPr>
        <w:t>2. Epidemiology</w:t>
      </w:r>
    </w:p>
    <w:p>
      <w:pPr>
        <w:pStyle w:val="ListBullet"/>
      </w:pPr>
      <w:r>
        <w:t>**Prevalence**: ~48 % of U.S. adults (Yale Medicine).</w:t>
      </w:r>
    </w:p>
    <w:p>
      <w:pPr>
        <w:pStyle w:val="ListBullet"/>
      </w:pPr>
      <w:r>
        <w:t>**Age Gradient**: &gt;70 % of individuals &gt;65 y are hypertensive.</w:t>
      </w:r>
    </w:p>
    <w:p>
      <w:pPr>
        <w:pStyle w:val="ListBullet"/>
      </w:pPr>
      <w:r>
        <w:t>**Global Burden**: WHO estimates 1.13 billion people worldwide live with hypertension.</w:t>
      </w:r>
    </w:p>
    <w:p/>
    <w:p>
      <w:r>
        <w:rPr>
          <w:b/>
        </w:rPr>
        <w:t>3. Pathophysiology</w:t>
      </w:r>
    </w:p>
    <w:p>
      <w:pPr>
        <w:pStyle w:val="ListBullet"/>
      </w:pPr>
      <w:r>
        <w:t>**Primary (essential) hypertension**: Multifactorial—genetic predisposition, sympathetic overactivity, renin‑angiotensin‑aldosterone system (RAAS) dysregulation, and arterial stiffness.</w:t>
      </w:r>
    </w:p>
    <w:p>
      <w:pPr>
        <w:pStyle w:val="ListBullet"/>
      </w:pPr>
      <w:r>
        <w:t>**Secondary hypertension**: Renal parenchymal disease, renal artery stenosis, primary aldosteronism, pheochromocytoma, endocrine disorders, certain drugs (e.g., NSAIDs, oral contraceptives), and substances (cocaine, nicotine).</w:t>
      </w:r>
    </w:p>
    <w:p>
      <w:pPr>
        <w:pStyle w:val="ListBullet"/>
      </w:pPr>
      <w:r>
        <w:t>**Hemodynamic impact**: Elevated systolic pressure increases shear stress on arterial walls, leading to endothelial injury, oxidative stress, and atheroma formation; chronic diastolic elevation impairs coronary perfusion.</w:t>
      </w:r>
    </w:p>
    <w:p/>
    <w:p>
      <w:r>
        <w:rPr>
          <w:b/>
        </w:rPr>
        <w:t>4. Risk Factors</w:t>
      </w:r>
    </w:p>
    <w:p>
      <w:r>
        <w:t>| Category | Examples |</w:t>
      </w:r>
    </w:p>
    <w:p>
      <w:r>
        <w:t>|----------|----------|</w:t>
      </w:r>
    </w:p>
    <w:p>
      <w:r>
        <w:t>| **Non‑modifiable** | Age, male sex, African ancestry, family history, genetics |</w:t>
      </w:r>
    </w:p>
    <w:p>
      <w:r>
        <w:t>| **Modifiable** | High sodium intake, low potassium, obesity, sedentary lifestyle, excessive alcohol, smoking, chronic stress, poor sleep quality, ultra‑processed food consumption |</w:t>
      </w:r>
    </w:p>
    <w:p/>
    <w:p>
      <w:r>
        <w:rPr>
          <w:b/>
        </w:rPr>
        <w:t>5. Clinical Consequences (Target‑Organ Damage)</w:t>
      </w:r>
    </w:p>
    <w:p>
      <w:pPr>
        <w:pStyle w:val="ListBullet"/>
      </w:pPr>
      <w:r>
        <w:t>**Cardiovascular**: Stroke, myocardial infarction, heart failure, left‑ventricular hypertrophy, atrial fibrillation.</w:t>
      </w:r>
    </w:p>
    <w:p>
      <w:pPr>
        <w:pStyle w:val="ListBullet"/>
      </w:pPr>
      <w:r>
        <w:t>**Renal**: Progressive chronic kidney disease, end‑stage renal disease.</w:t>
      </w:r>
    </w:p>
    <w:p>
      <w:pPr>
        <w:pStyle w:val="ListBullet"/>
      </w:pPr>
      <w:r>
        <w:t>**Cerebrovascular**: Vascular dementia, cognitive decline.</w:t>
      </w:r>
    </w:p>
    <w:p>
      <w:pPr>
        <w:pStyle w:val="ListBullet"/>
      </w:pPr>
      <w:r>
        <w:t>**Peripheral**: Peripheral arterial disease, retinal microvascular changes.</w:t>
      </w:r>
    </w:p>
    <w:p/>
    <w:p>
      <w:r>
        <w:rPr>
          <w:b/>
        </w:rPr>
        <w:t>6. Treatment &amp; Management</w:t>
      </w:r>
    </w:p>
    <w:p/>
    <w:p>
      <w:r>
        <w:t>| Component | Evidence‑Based Recommendations |</w:t>
      </w:r>
    </w:p>
    <w:p>
      <w:r>
        <w:t>|-----------|--------------------------------|</w:t>
      </w:r>
    </w:p>
    <w:p>
      <w:r>
        <w:t>| **Lifestyle** | - Sodium &lt;1,500 mg/d (DASH diet). &lt;br&gt; - Weight loss (5‑10 % of body weight). &lt;br&gt; - Aerobic activity ≥150 min/week (moderate) or 75 min/week (vigorous). &lt;br&gt; - Limit alcohol (≤2 drinks/d men, ≤1 drink/d women). &lt;br&gt; - Smoking cessation, stress‑reduction (mindfulness, yoga). |</w:t>
      </w:r>
    </w:p>
    <w:p>
      <w:r>
        <w:t>| **Pharmacology** | First‑line: thiazide‑type diuretics, ACE inhibitors, ARBs, calcium‑channel blockers. &lt;br&gt; β‑blockers for post‑MI, heart failure, or tachyarrhythmia. &lt;br&gt; Combination therapy (e.g., ACE‑I + CCB) for Stage 2 or high‑risk Stage 1. |</w:t>
      </w:r>
    </w:p>
    <w:p>
      <w:r>
        <w:t>| **Secondary Hypertension** | Identify and treat underlying cause (e.g., surgical correction of renal artery stenosis, aldosterone antagonists for primary hyperaldosteronism). |</w:t>
      </w:r>
    </w:p>
    <w:p>
      <w:r>
        <w:t>| **Monitoring** | Home BP monitoring; ambulatory BP monitoring for diagnostic confirmation and treatment titration. |</w:t>
      </w:r>
    </w:p>
    <w:p/>
    <w:p>
      <w:r>
        <w:rPr>
          <w:b/>
        </w:rPr>
        <w:t>7. Recent Developments (2023‑2026)</w:t>
      </w:r>
    </w:p>
    <w:p/>
    <w:p>
      <w:r>
        <w:t>1. **Guideline Shift** – Adoption of ≥130/≥80 mm Hg definition (AHA/ACC 2023) promotes earlier intervention.</w:t>
      </w:r>
    </w:p>
    <w:p>
      <w:r>
        <w:t>2. **Environmental Health** – Studies (Nature 2026) demonstrate that greater residential greenness correlates with lower hypertension prevalence, suggesting urban planning as a preventive strategy.</w:t>
      </w:r>
    </w:p>
    <w:p>
      <w:r>
        <w:t>3. **Exercise Physiology** – Bibliometric review (Nature 2026) underscores post‑exercise hypotension (PEH) as a reproducible, dose‑dependent BP‑lowering effect, reinforcing exercise prescriptions comparable to medication dosing.</w:t>
      </w:r>
    </w:p>
    <w:p>
      <w:r>
        <w:t>4. **Youth Screening** – Multicenter data (Nature 2026) reveal that up to 15 % of hypertensive patients under 40 have secondary etiologies, advocating for routine secondary work‑up in this demographic.</w:t>
      </w:r>
    </w:p>
    <w:p/>
    <w:p>
      <w:r>
        <w:rPr>
          <w:b/>
        </w:rPr>
        <w:t>8. Practical Take‑Home Points for Clinicians</w:t>
      </w:r>
    </w:p>
    <w:p/>
    <w:p>
      <w:pPr>
        <w:pStyle w:val="ListBullet"/>
      </w:pPr>
      <w:r>
        <w:t>**Screen using the ≥130/≥80 mm Hg criteria** and confirm with repeated measurements.</w:t>
      </w:r>
    </w:p>
    <w:p>
      <w:pPr>
        <w:pStyle w:val="ListBullet"/>
      </w:pPr>
      <w:r>
        <w:t>**Stratify etiology**: prioritize secondary cause evaluation in patients &lt;40 y, resistant hypertension, or abrupt onset.</w:t>
      </w:r>
    </w:p>
    <w:p>
      <w:pPr>
        <w:pStyle w:val="ListBullet"/>
      </w:pPr>
      <w:r>
        <w:t>**Begin with comprehensive lifestyle counseling**; initiate pharmacotherapy promptly for Stage 2 or high‑risk Stage 1 patients.</w:t>
      </w:r>
    </w:p>
    <w:p>
      <w:pPr>
        <w:pStyle w:val="ListBullet"/>
      </w:pPr>
      <w:r>
        <w:t>**Select first‑line agents** based on comorbidities (e.g., ACE‑I/ARB for diabetes, CCB for African ancestry).</w:t>
      </w:r>
    </w:p>
    <w:p>
      <w:pPr>
        <w:pStyle w:val="ListBullet"/>
      </w:pPr>
      <w:r>
        <w:t>**Leverage exercise**: prescribe aerobic activity to exploit PEH and improve overall cardiovascular health.</w:t>
      </w:r>
    </w:p>
    <w:p>
      <w:pPr>
        <w:pStyle w:val="ListBullet"/>
      </w:pPr>
      <w:r>
        <w:t>**Consider non‑traditional interventions** such as promoting green space exposure when feasible.</w:t>
      </w:r>
    </w:p>
    <w:p/>
    <w:p>
      <w:pPr>
        <w:pStyle w:val="Heading2"/>
      </w:pPr>
      <w:r>
        <w:rPr>
          <w:color w:val="2E75B6"/>
        </w:rPr>
        <w:t>Fact‑Check Summary (Confidence: 62/100)</w:t>
      </w:r>
    </w:p>
    <w:p>
      <w:r>
        <w:t>Automated fact‑checking was unable to parse verification data for the cited sources, resulting in an **unverified** status. The report relies on peer‑reviewed literature, professional‑society guidelines, and reputable clinical resources (e.g., AHA, Cleveland Clinic, Yale Medicine). Given the consistency across multiple high‑quality sources, the overall confidence is moderate (≈62 / 100). Readers should cross‑reference key statements with the original sources, especially the latest guideline thresholds.</w:t>
      </w:r>
    </w:p>
    <w:p/>
    <w:p>
      <w:pPr>
        <w:pStyle w:val="Heading2"/>
      </w:pPr>
      <w:r>
        <w:rPr>
          <w:color w:val="2E75B6"/>
        </w:rPr>
        <w:t>Sources</w:t>
      </w:r>
    </w:p>
    <w:p/>
    <w:p>
      <w:r>
        <w:t>1. Yale Medicine – “What Causes High Blood Pressure.” https://www.yalemedicine.org/news/what-causes-high-blood-pressure</w:t>
      </w:r>
    </w:p>
    <w:p>
      <w:r>
        <w:t>2. Cleveland Clinic – “Hypertension (High Blood Pressure).” https://www.clevelandclinic.org/health/diseases/4314-hypertension-high-blood-pressure</w:t>
      </w:r>
    </w:p>
    <w:p>
      <w:r>
        <w:t>3. American Heart Association – “The Facts About High Blood Pressure.” https://www.heart.org/en/health-top</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