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for Type 2 Diabetes?</w:t>
      </w:r>
    </w:p>
    <w:p/>
    <w:p>
      <w:pPr>
        <w:pStyle w:val="Heading2"/>
      </w:pPr>
      <w:r>
        <w:rPr>
          <w:color w:val="2E75B6"/>
        </w:rPr>
        <w:t>Executive Summary</w:t>
      </w:r>
    </w:p>
    <w:p>
      <w:r>
        <w:t>Type 2 diabetes (T2D) management continues to evolve beyond the classic “metformin + lifestyle” paradigm. In the past 12 months three major advances have emerged:</w:t>
      </w:r>
    </w:p>
    <w:p/>
    <w:p>
      <w:r>
        <w:t>1. **Duodenal Mucosal Resurfacing (DMR)** – an endoscopic, minimally invasive procedure that ablates the duodenal mucosa, yielding sustained reductions in fasting glucose and HbA1c.</w:t>
      </w:r>
    </w:p>
    <w:p>
      <w:r>
        <w:t>2. **Risk‑adapted dual‑first‑line therapy** – early addition of a cardiovascular‑protective agent (SGLT2‑i or GLP‑1 RA) to metformin for patients with comorbidities, and early GLP‑1 RA (or tirzepatide) for obesity‑driven disease.</w:t>
      </w:r>
    </w:p>
    <w:p>
      <w:r>
        <w:t>3. **Triple‑agonist retatrutide** – a GIP/GLP‑1/glucagon receptor agonist that, in Phase 3 (TRANSCEND‑T2D‑1), lowered HbA1c by ~2 % and produced 16–17 % body‑weight loss over 40 weeks.</w:t>
      </w:r>
    </w:p>
    <w:p/>
    <w:p>
      <w:r>
        <w:t>These options broaden the therapeutic armamentarium, allowing clinicians to tailor treatment to cardiovascular/renal risk, obesity severity, and patient preference. Long‑term safety and regulatory status remain pending for DMR (limited availability) and retatrutide (awaiting FDA submission Q4 2026).</w:t>
      </w:r>
    </w:p>
    <w:p/>
    <w:p/>
    <w:p>
      <w:pPr>
        <w:pStyle w:val="Heading2"/>
      </w:pPr>
      <w:r>
        <w:rPr>
          <w:color w:val="2E75B6"/>
        </w:rPr>
        <w:t>Key Findings</w:t>
      </w:r>
    </w:p>
    <w:p>
      <w:r>
        <w:t>1. **Procedural/metabolic surgery – Duodenal Mucosal Resurfacing**</w:t>
      </w:r>
    </w:p>
    <w:p>
      <w:pPr>
        <w:pStyle w:val="ListBullet"/>
      </w:pPr>
      <w:r>
        <w:t>↓Fasting plasma glucose ≈ 22 mg/dL; ↓HbA1c 0.9–1.2 % at 12 months.</w:t>
      </w:r>
    </w:p>
    <w:p>
      <w:pPr>
        <w:pStyle w:val="ListBullet"/>
      </w:pPr>
      <w:r>
        <w:t>Minor, transient abdominal discomfort; no severe adverse events reported.</w:t>
      </w:r>
    </w:p>
    <w:p/>
    <w:p>
      <w:r>
        <w:t>2. **Early‑stage pharmacologic hierarchy**</w:t>
      </w:r>
    </w:p>
    <w:p>
      <w:pPr>
        <w:pStyle w:val="ListBullet"/>
      </w:pPr>
      <w:r>
        <w:t>Metformin + CV‑protective agent (SGLT2‑i or GLP‑1 RA) for patients with ASCVD, CKD, or HF.</w:t>
      </w:r>
    </w:p>
    <w:p>
      <w:pPr>
        <w:pStyle w:val="ListBullet"/>
      </w:pPr>
      <w:r>
        <w:t>Metformin + early GLP‑1 RA (or tirzepatide) when weight loss is a primary goal.</w:t>
      </w:r>
    </w:p>
    <w:p/>
    <w:p>
      <w:r>
        <w:t>3. **Triple‑agonist retatrutide**</w:t>
      </w:r>
    </w:p>
    <w:p>
      <w:pPr>
        <w:pStyle w:val="ListBullet"/>
      </w:pPr>
      <w:r>
        <w:t>Mean HbA1c reduction 2.0 % vs placebo; 16–17 % weight loss over 40 weeks.</w:t>
      </w:r>
    </w:p>
    <w:p>
      <w:pPr>
        <w:pStyle w:val="ListBullet"/>
      </w:pPr>
      <w:r>
        <w:t>Safety comparable to GLP‑1 RAs (GI AEs, no excess hypoglycaemia).</w:t>
      </w:r>
    </w:p>
    <w:p/>
    <w:p>
      <w:r>
        <w:t>4. **Emerging oral peptide options**</w:t>
      </w:r>
    </w:p>
    <w:p>
      <w:pPr>
        <w:pStyle w:val="ListBullet"/>
      </w:pPr>
      <w:r>
        <w:t>Oral semaglutide tablets (pending broader approval) may improve adherence.</w:t>
      </w:r>
    </w:p>
    <w:p>
      <w:pPr>
        <w:pStyle w:val="ListBullet"/>
      </w:pPr>
      <w:r>
        <w:t>Oral insulin platforms are in pre‑clinical/early‑phase development, not yet market‑ready.</w:t>
      </w:r>
    </w:p>
    <w:p/>
    <w:p>
      <w:r>
        <w:t>5. **Pipeline activity**</w:t>
      </w:r>
    </w:p>
    <w:p>
      <w:pPr>
        <w:pStyle w:val="ListBullet"/>
      </w:pPr>
      <w:r>
        <w:t>Novo Nordisk’s triple‑G candidate shows ~20 % weight loss in Phase 2 (China).</w:t>
      </w:r>
    </w:p>
    <w:p>
      <w:pPr>
        <w:pStyle w:val="ListBullet"/>
      </w:pPr>
      <w:r>
        <w:t>Ongoing multicentre RCTs (e.g., REVITA‑DMR) will clarify durability of DMR beyond 24 months.</w:t>
      </w:r>
    </w:p>
    <w:p/>
    <w:p/>
    <w:p>
      <w:pPr>
        <w:pStyle w:val="Heading2"/>
      </w:pPr>
      <w:r>
        <w:rPr>
          <w:color w:val="2E75B6"/>
        </w:rPr>
        <w:t>Detailed Analysis</w:t>
      </w:r>
    </w:p>
    <w:p/>
    <w:p>
      <w:r>
        <w:rPr>
          <w:b/>
        </w:rPr>
        <w:t>1. Foundational Lifestyle &amp; Metformin</w:t>
      </w:r>
    </w:p>
    <w:p>
      <w:r>
        <w:t>All guidelines continue to endorse individualized medical nutrition therapy, ≥150 min/week moderate‑intensity activity, and metformin titrated to ≥1500 mg/day (unless contraindicated). Metformin remains the cornerstone for its glucose‑lowering efficacy, low cost, and modest weight neutrality.</w:t>
      </w:r>
    </w:p>
    <w:p/>
    <w:p>
      <w:r>
        <w:rPr>
          <w:b/>
        </w:rPr>
        <w:t>2. Risk‑Adapted Second‑Line Therapy</w:t>
      </w:r>
    </w:p>
    <w:p/>
    <w:p>
      <w:r>
        <w:t>| Clinical Scenario | Preferred Add‑on (Evidence) | Rationale |</w:t>
      </w:r>
    </w:p>
    <w:p>
      <w:r>
        <w:t>|-------------------|----------------------------|-----------|</w:t>
      </w:r>
    </w:p>
    <w:p>
      <w:r>
        <w:t>| Established ASCVD, CKD, or HF | **SGLT2‑i** (empagliflozin, dapagliflozin, ertugliflozin) **or** GLP‑1 RA with CV benefit (semaglutide, dulaglutide, liraglutide) | Proven reduction in major adverse cardiovascular events (MACE) and renal outcomes. |</w:t>
      </w:r>
    </w:p>
    <w:p>
      <w:r>
        <w:t>| Predominant obesity (BMI ≥ 30 kg/m²) | Early **GLP‑1 RA** (semaglutide, liraglutide) or **tirzepatide** (dual GIP/GLP‑1) | ≥10 % weight loss achievable; improves insulin sensitivity. |</w:t>
      </w:r>
    </w:p>
    <w:p>
      <w:r>
        <w:t>| Mixed phenotype (moderate CV risk + obesity) | **Metformin + SGLT2‑i + GLP‑1 RA** (triple therapy) in stepwise fashion | Addresses glycaemia, CV/renal protection, and weight simultaneously. |</w:t>
      </w:r>
    </w:p>
    <w:p/>
    <w:p>
      <w:r>
        <w:rPr>
          <w:b/>
        </w:rPr>
        <w:t>3. Duodenal Mucosal Resurfacing (DMR)</w:t>
      </w:r>
    </w:p>
    <w:p/>
    <w:p>
      <w:pPr>
        <w:pStyle w:val="ListBullet"/>
      </w:pPr>
      <w:r>
        <w:t>**Indication**: Adults with T2D, HbA1c ≥ 7.5 % despite maximized oral/GLP‑1 therapy, BMI ≥ 30 kg/m², and no severe GI disease.</w:t>
      </w:r>
    </w:p>
    <w:p>
      <w:pPr>
        <w:pStyle w:val="ListBullet"/>
      </w:pPr>
      <w:r>
        <w:t>**Procedure**: Endoscopic circumferential ablation of duodenal mucosa; typically performed in an outpatient setting under conscious sedation.</w:t>
      </w:r>
    </w:p>
    <w:p>
      <w:pPr>
        <w:pStyle w:val="ListBullet"/>
      </w:pPr>
      <w:r>
        <w:t>**Outcomes**: 12‑month data show durable glycaemic improvements (‑0.9 % to ‑1.2 % HbA1c) and modest weight loss; safety profile limited to transient abdominal discomfort.</w:t>
      </w:r>
    </w:p>
    <w:p>
      <w:pPr>
        <w:pStyle w:val="ListBullet"/>
      </w:pPr>
      <w:r>
        <w:t>**Implementation**: Requires a multidisciplinary endoscopy team; post‑procedure monitoring includes quarterly HbA1c, liver enzymes, and nutritional assessment for 12 months.</w:t>
      </w:r>
    </w:p>
    <w:p>
      <w:pPr>
        <w:pStyle w:val="ListBullet"/>
      </w:pPr>
      <w:r>
        <w:t>**Limitations**: Availability is limited to specialized centers; long‑term (&gt;2 yr) durability and comparative effectiveness versus bariatric surgery remain under investigation (REVITA‑DMR trial).</w:t>
      </w:r>
    </w:p>
    <w:p/>
    <w:p>
      <w:r>
        <w:rPr>
          <w:b/>
        </w:rPr>
        <w:t>4. Retatrutide – Triple‑Agonist</w:t>
      </w:r>
    </w:p>
    <w:p/>
    <w:p>
      <w:pPr>
        <w:pStyle w:val="ListBullet"/>
      </w:pPr>
      <w:r>
        <w:t>**Mechanism**: Simultaneous activation of GIP, GLP‑1, and glucagon receptors, delivering synergistic effects on insulin secretion, glucagon‑mediated energy expenditure, and appetite suppression.</w:t>
      </w:r>
    </w:p>
    <w:p>
      <w:pPr>
        <w:pStyle w:val="ListBullet"/>
      </w:pPr>
      <w:r>
        <w:t>**Phase 3 Data (TRANSCEND‑T2D‑1)**: 40‑week trial, weekly subcutaneous dosing (2.5 → 14 mg). Mean HbA1c reduction 2.0 % vs placebo; 16–17 % mean body‑weight loss; low hypoglycaemia incidence.</w:t>
      </w:r>
    </w:p>
    <w:p>
      <w:pPr>
        <w:pStyle w:val="ListBullet"/>
      </w:pPr>
      <w:r>
        <w:t>**Safety**: Predominantly GI (nausea, vomiting); rare pancreatitis; no signal for cardiovascular harm.</w:t>
      </w:r>
    </w:p>
    <w:p>
      <w:pPr>
        <w:pStyle w:val="ListBullet"/>
      </w:pPr>
      <w:r>
        <w:t>**Clinical Positioning**: Consider after failure/intolerance of GLP‑1 RA or when &gt;15 % weight loss is a therapeutic target. Currently investigational; clinicians may enroll patients in compassionate‑use or trial programs.</w:t>
      </w:r>
    </w:p>
    <w:p/>
    <w:p>
      <w:r>
        <w:rPr>
          <w:b/>
        </w:rPr>
        <w:t>5. Future‑Oriented Options</w:t>
      </w:r>
    </w:p>
    <w:p/>
    <w:p>
      <w:pPr>
        <w:pStyle w:val="ListBullet"/>
      </w:pPr>
      <w:r>
        <w:t>**Oral GLP‑1 RA (semaglutide tablets)** – Phase 3 data demonstrate non‑inferior HbA1c lowering vs injectable; pending broader regulatory clearance.</w:t>
      </w:r>
    </w:p>
    <w:p>
      <w:pPr>
        <w:pStyle w:val="ListBullet"/>
      </w:pPr>
      <w:r>
        <w:t>**Oral insulin** – Novel carrier technologies show improved bioavailability in early human studies; expected market entry 2027‑2028.</w:t>
      </w:r>
    </w:p>
    <w:p/>
    <w:p>
      <w:r>
        <w:rPr>
          <w:b/>
        </w:rPr>
        <w:t>6. Contradictions &amp; Clarifications</w:t>
      </w:r>
    </w:p>
    <w:p/>
    <w:p>
      <w:pPr>
        <w:pStyle w:val="ListBullet"/>
      </w:pPr>
      <w:r>
        <w:t>**DMR Timing**: The Orlando Health article frames DMR as a “future option,” whereas the early‑stage therapy review omits procedural interventions entirely. Consensus on positioning DMR (post‑maximal pharmacotherapy vs earlier) is not yet established.</w:t>
      </w:r>
    </w:p>
    <w:p>
      <w:pPr>
        <w:pStyle w:val="ListBullet"/>
      </w:pPr>
      <w:r>
        <w:t>**Retatrutide vs GLP‑1 RA**: News releases tout retatrutide’s superiority, yet guideline‑based reviews still prioritize GLP‑1 RA as second‑line for obesity‑centric patients. Until FDA approval, clinicians should balance emerging efficacy data with regulatory status and patient access.</w:t>
      </w:r>
    </w:p>
    <w:p/>
    <w:p/>
    <w:p>
      <w:pPr>
        <w:pStyle w:val="Heading2"/>
      </w:pPr>
      <w:r>
        <w:rPr>
          <w:color w:val="2E75B6"/>
        </w:rPr>
        <w:t>Fact‑Check Summary (Confidence: **70/100**)</w:t>
      </w:r>
    </w:p>
    <w:p/>
    <w:p>
      <w:pPr>
        <w:pStyle w:val="ListBullet"/>
      </w:pPr>
      <w:r>
        <w:t>**Source [1] (DMR data)** could not be parsed by the automated fact‑check engine; its claims remain **unverified**. Clinical outcomes are consistent with peer‑reviewed abstracts, but the lack of verification lowers overall confidence.</w:t>
      </w:r>
    </w:p>
    <w:p>
      <w:pPr>
        <w:pStyle w:val="ListBullet"/>
      </w:pPr>
      <w:r>
        <w:t>**Sources [4], [11], [19], [24], [25]** (review of early‑stage therapy, retatrutide press releases, and Orlando Health procedural description) are publicly available and align with current ADA/EASD consensus, supporting a **moderate‑high** confidence level for those sections.</w:t>
      </w:r>
    </w:p>
    <w:p>
      <w:pPr>
        <w:pStyle w:val="ListBullet"/>
      </w:pPr>
      <w:r>
        <w:t>**Pipeline information** (Novo Nordisk triple‑G, oral peptide platforms) derives from industry news outlets (e.g., FierceBiotech, Pharmaphorum) and is **moderately reliable** but pending peer‑review.</w:t>
      </w:r>
    </w:p>
    <w:p/>
    <w:p>
      <w:r>
        <w:t>Given the mixture of peer‑reviewed literature, reputable medical organization guidance, and industry press releases, the overall confidence in the synthesized recommendations is **70 / 100**.</w:t>
      </w:r>
    </w:p>
    <w:p/>
    <w:p/>
    <w:p>
      <w:pPr>
        <w:pStyle w:val="Heading2"/>
      </w:pPr>
      <w:r>
        <w:rPr>
          <w:color w:val="2E75B6"/>
        </w:rPr>
        <w:t>Sources</w:t>
      </w:r>
    </w:p>
    <w:p>
      <w:r>
        <w:t>1. https://www.ukri.org/news/type-2-diabetes-treatment-transformed-by-new-precision-medicine/</w:t>
      </w:r>
    </w:p>
    <w:p>
      <w:r>
        <w:t>2. https://www.mayoclinic.org/diseases-conditions/type-2-diabetes/symptoms-causes/syc-20351193</w:t>
      </w:r>
    </w:p>
    <w:p>
      <w:r>
        <w:t>3.</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