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MediResearch AI</w:t>
      </w:r>
    </w:p>
    <w:p>
      <w:pPr>
        <w:pStyle w:val="Heading2"/>
        <w:jc w:val="center"/>
      </w:pPr>
      <w:r>
        <w:rPr>
          <w:color w:val="2E75B6"/>
        </w:rPr>
        <w:t>Medical Research Report</w:t>
      </w:r>
    </w:p>
    <w:tbl>
      <w:tblPr>
        <w:tblStyle w:val="TableGrid"/>
        <w:tblW w:type="auto" w:w="0"/>
        <w:tblLook w:firstColumn="1" w:firstRow="1" w:lastColumn="0" w:lastRow="0" w:noHBand="0" w:noVBand="1" w:val="04A0"/>
      </w:tblPr>
      <w:tblGrid>
        <w:gridCol w:w="4320"/>
        <w:gridCol w:w="4320"/>
      </w:tblGrid>
      <w:tr>
        <w:tc>
          <w:tcPr>
            <w:tcW w:type="dxa" w:w="4320"/>
          </w:tcPr>
          <w:p>
            <w:r>
              <w:rPr>
                <w:b/>
                <w:color w:val="1F3864"/>
              </w:rPr>
              <w:t>Query</w:t>
            </w:r>
          </w:p>
        </w:tc>
        <w:tc>
          <w:tcPr>
            <w:tcW w:type="dxa" w:w="4320"/>
          </w:tcPr>
          <w:p>
            <w:r>
              <w:t>What are the latest treatment options for Type 2 Diabetes?</w:t>
            </w:r>
          </w:p>
        </w:tc>
      </w:tr>
      <w:tr>
        <w:tc>
          <w:tcPr>
            <w:tcW w:type="dxa" w:w="4320"/>
          </w:tcPr>
          <w:p>
            <w:r>
              <w:rPr>
                <w:b/>
                <w:color w:val="1F3864"/>
              </w:rPr>
              <w:t>Date</w:t>
            </w:r>
          </w:p>
        </w:tc>
        <w:tc>
          <w:tcPr>
            <w:tcW w:type="dxa" w:w="4320"/>
          </w:tcPr>
          <w:p>
            <w:r>
              <w:t>March 26, 2026</w:t>
            </w:r>
          </w:p>
        </w:tc>
      </w:tr>
      <w:tr>
        <w:tc>
          <w:tcPr>
            <w:tcW w:type="dxa" w:w="4320"/>
          </w:tcPr>
          <w:p>
            <w:r>
              <w:rPr>
                <w:b/>
                <w:color w:val="1F3864"/>
              </w:rPr>
              <w:t>Confidence Score</w:t>
            </w:r>
          </w:p>
        </w:tc>
        <w:tc>
          <w:tcPr>
            <w:tcW w:type="dxa" w:w="4320"/>
          </w:tcPr>
          <w:p>
            <w:r>
              <w:t>50/100</w:t>
            </w:r>
          </w:p>
        </w:tc>
      </w:tr>
      <w:tr>
        <w:tc>
          <w:tcPr>
            <w:tcW w:type="dxa" w:w="4320"/>
          </w:tcPr>
          <w:p>
            <w:r>
              <w:rPr>
                <w:b/>
                <w:color w:val="1F3864"/>
              </w:rPr>
              <w:t>Doctor Approval</w:t>
            </w:r>
          </w:p>
        </w:tc>
        <w:tc>
          <w:tcPr>
            <w:tcW w:type="dxa" w:w="4320"/>
          </w:tcPr>
          <w:p>
            <w:r>
              <w:t>✓ Approved</w:t>
            </w:r>
          </w:p>
        </w:tc>
      </w:tr>
    </w:tbl>
    <w:p>
      <w:r>
        <w:br w:type="page"/>
      </w:r>
    </w:p>
    <w:p>
      <w:pPr>
        <w:pStyle w:val="Heading1"/>
      </w:pPr>
      <w:r>
        <w:rPr>
          <w:color w:val="1F3864"/>
        </w:rPr>
        <w:t>Medical Research Report: What are the latest treatment options for Type 2 Diabetes?</w:t>
      </w:r>
    </w:p>
    <w:p/>
    <w:p>
      <w:pPr>
        <w:pStyle w:val="Heading2"/>
      </w:pPr>
      <w:r>
        <w:rPr>
          <w:color w:val="2E75B6"/>
        </w:rPr>
        <w:t>Executive Summary</w:t>
      </w:r>
    </w:p>
    <w:p>
      <w:r>
        <w:t>Type 2 diabetes (T2D) remains a progressive disease driven by hyperglycaemia, insulin resistance, and β‑cell failure, with amplified cardiovascular (CV) and renal risk. While lifestyle modification and metformin continue to form the cornerstone of therapy, the therapeutic landscape from 2024‑2026 has broadened dramatically. Key advances include:</w:t>
      </w:r>
    </w:p>
    <w:p/>
    <w:p>
      <w:pPr>
        <w:pStyle w:val="ListBullet"/>
      </w:pPr>
      <w:r>
        <w:t>**Procedural gut‑remodeling** – duodenal mucosal resurfacing (DMR) improves insulin sensitivity and lowers HbA1c by ~0.8‑1.0 %.</w:t>
      </w:r>
    </w:p>
    <w:p>
      <w:pPr>
        <w:pStyle w:val="ListBullet"/>
      </w:pPr>
      <w:r>
        <w:t>**Dual‑agonist peptides** – tirzepatide (GLP‑1/GIP) is FDA‑approved and delivers superior glycaemic and weight outcomes versus GLP‑1‑RA alone.</w:t>
      </w:r>
    </w:p>
    <w:p>
      <w:pPr>
        <w:pStyle w:val="ListBullet"/>
      </w:pPr>
      <w:r>
        <w:t>**Triple‑agonist peptides** – retatrutide (GLP‑1/GIP/glucagon) and Novo Nordisk’s “triple‑G” candidate have shown ≥2 % HbA1c reductions and 15‑20 % weight loss in Phase 2/3 trials, positioning them as potential next‑generation standards.</w:t>
      </w:r>
    </w:p>
    <w:p>
      <w:pPr>
        <w:pStyle w:val="ListBullet"/>
      </w:pPr>
      <w:r>
        <w:t>**Oral insulin** – early‑phase encapsulation technologies demonstrate clinically meaningful fasting glucose reductions without injections.</w:t>
      </w:r>
    </w:p>
    <w:p>
      <w:pPr>
        <w:pStyle w:val="ListBullet"/>
      </w:pPr>
      <w:r>
        <w:t>**Integrated risk‑factor control** – SGLT2‑inhibitors, statins, and ACE‑I/ARBs remain essential for CV/renal protection.</w:t>
      </w:r>
    </w:p>
    <w:p/>
    <w:p>
      <w:r>
        <w:t>Clinicians should continue metformin‑based lifestyle regimens, add agents with proven organ protection, consider DMR for selected obese patients, and anticipate the arrival of triple‑agonist peptides and oral insulin pending regulatory approval.</w:t>
      </w:r>
    </w:p>
    <w:p/>
    <w:p/>
    <w:p>
      <w:pPr>
        <w:pStyle w:val="Heading2"/>
      </w:pPr>
      <w:r>
        <w:rPr>
          <w:color w:val="2E75B6"/>
        </w:rPr>
        <w:t>Key Findings</w:t>
      </w:r>
    </w:p>
    <w:p>
      <w:r>
        <w:t>1. **Foundational therapy** – Diet, exercise, weight loss, and metformin remain the first‑line, cost‑effective backbone for all patients.</w:t>
      </w:r>
    </w:p>
    <w:p>
      <w:r>
        <w:t>2. **Cardiovascular/renal risk management** – Statins, ACE‑I/ARBs, and SGLT2‑inhibitors are mandatory adjuncts for patients with ASCVD, heart failure, or CKD.</w:t>
      </w:r>
    </w:p>
    <w:p>
      <w:r>
        <w:t>3. **Procedural innovation (DMR)** – Endoscopic duodenal mucosal resurfacing yields a durable HbA1c drop (~0.9 %) and modest weight loss, suitable for BMI ≥ 30 kg/m² patients uncontrolled on oral therapy.</w:t>
      </w:r>
    </w:p>
    <w:p>
      <w:r>
        <w:t>4. **Dual‑agonist therapy** – Tirzepatide (GLP‑1/GIP) is FDA‑approved; it outperforms GLP‑1‑RA alone in HbA1c (‑2.2 % vs ‑1.5 %) and weight loss (‑12 % vs ‑6 %).</w:t>
      </w:r>
    </w:p>
    <w:p>
      <w:r>
        <w:t>5. **Triple‑agonist breakthroughs** – Retatrutide (Phase 3) and Novo’s triple‑G candidate (Phase 2) achieve ≥2 % HbA1c reduction and 16‑20 % weight loss, with safety profiles comparable to existing GLP‑1‑RA.</w:t>
      </w:r>
    </w:p>
    <w:p>
      <w:r>
        <w:t>6. **Oral insulin emergence** – Novel enteric‑coated, protease‑resistant formulations have produced a 0.6 % HbA1c reduction in 12‑week trials, with minimal hypoglycaemia.</w:t>
      </w:r>
    </w:p>
    <w:p>
      <w:r>
        <w:t>7. **Mechanistic insight** – Metformin’s central Rap1 pathway opens avenues for CNS‑targeted adjuncts, potentially enhancing glucose‑lowering efficacy.</w:t>
      </w:r>
    </w:p>
    <w:p/>
    <w:p/>
    <w:p>
      <w:pPr>
        <w:pStyle w:val="Heading2"/>
      </w:pPr>
      <w:r>
        <w:rPr>
          <w:color w:val="2E75B6"/>
        </w:rPr>
        <w:t>Detailed Analysis</w:t>
      </w:r>
    </w:p>
    <w:p/>
    <w:p>
      <w:r>
        <w:rPr>
          <w:b/>
        </w:rPr>
        <w:t>1. Lifestyle &amp; Metformin</w:t>
      </w:r>
    </w:p>
    <w:p>
      <w:r>
        <w:t>All major guidelines (Yale Medicine, Mayo Clinic, NHS, NICE) emphasize calorie‑controlled, high‑fiber diets, ≥150 min/week moderate‑intensity activity, and weight‑loss targets (5‑10 % of body weight). Metformin is initiated at 500 mg BID, titrated to 2000 mg/day as tolerated, and remains the most cost‑effective glucose‑lowering agent.</w:t>
      </w:r>
    </w:p>
    <w:p/>
    <w:p>
      <w:r>
        <w:rPr>
          <w:b/>
        </w:rPr>
        <w:t>2. Cardiovascular &amp; Renal Risk Modulation</w:t>
      </w:r>
    </w:p>
    <w:p>
      <w:pPr>
        <w:pStyle w:val="ListBullet"/>
      </w:pPr>
      <w:r>
        <w:t>**Statins** – Moderate‑ to high‑intensity therapy per ACC/AHA ASCVD risk calculators.</w:t>
      </w:r>
    </w:p>
    <w:p>
      <w:pPr>
        <w:pStyle w:val="ListBullet"/>
      </w:pPr>
      <w:r>
        <w:t>**ACE‑I/ARB** – First‑line for hypertension or albuminuria, reducing progression to end‑stage renal disease.</w:t>
      </w:r>
    </w:p>
    <w:p>
      <w:pPr>
        <w:pStyle w:val="ListBullet"/>
      </w:pPr>
      <w:r>
        <w:t>**SGLT2‑inhibitors** – Empagliflozin, dapagliflozin, and canagliflozin confer CV mortality reduction, heart‑failure hospitalization decline, and CKD progression slowing; recommended for patients with established CV disease, HF, or eGFR ≥ 30 mL/min/1.73 m².</w:t>
      </w:r>
    </w:p>
    <w:p/>
    <w:p>
      <w:r>
        <w:rPr>
          <w:b/>
        </w:rPr>
        <w:t>3. Glucose‑Lowering Escalation</w:t>
      </w:r>
    </w:p>
    <w:p/>
    <w:p>
      <w:r>
        <w:t>| Class | Representative agents | Primary benefit | Typical place in therapy |</w:t>
      </w:r>
    </w:p>
    <w:p>
      <w:r>
        <w:t>|-------|-----------------------|----------------|--------------------------|</w:t>
      </w:r>
    </w:p>
    <w:p>
      <w:r>
        <w:t>| **GLP‑1‑RA** | Semaglutide, dulaglutide | Weight loss, CV benefit | After metformin if weight/CV risk high |</w:t>
      </w:r>
    </w:p>
    <w:p>
      <w:r>
        <w:t>| **Dual‑agonist (GLP‑1/GIP)** | Tirzepatide | Superior HbA1c &amp; weight loss | Preferred when aggressive metabolic control needed |</w:t>
      </w:r>
    </w:p>
    <w:p>
      <w:r>
        <w:t>| **SGLT2‑i** | Empagliflozin, dapagliflozin | CV/renal protection | Mandatory in ASCVD/HF/CKD regardless of HbA1c |</w:t>
      </w:r>
    </w:p>
    <w:p>
      <w:r>
        <w:t>| **Triple‑agonist (GLP‑1/GIP/glucagon)** | Retatrutide (Phase 3), Novo “triple‑G” (Phase 2) | Deep glycaemic control + profound weight loss | Anticipated as next‑line for obesity‑driven T2D once approved |</w:t>
      </w:r>
    </w:p>
    <w:p>
      <w:r>
        <w:t>| **Oral insulin** | Experimental enteric‑coated formulations | Injection‑free basal insulin effect | Future option for injection‑averse patients |</w:t>
      </w:r>
    </w:p>
    <w:p/>
    <w:p>
      <w:r>
        <w:rPr>
          <w:b/>
        </w:rPr>
        <w:t>4. Duodenal Mucosal Resurfacing (DMR)</w:t>
      </w:r>
    </w:p>
    <w:p>
      <w:r>
        <w:t>DMR involves endoscopic ablation of the duodenal mucosa, resetting entero‑endocrine signaling. In pilot studies, HbA1c fell 0.8‑1.0 % and fasting glucose improved, with effects persisting up to 12 months. Ideal candidates: BMI ≥ 30 kg/m², HbA1c ≥ 7.5 % despite maximally tolerated oral agents, and no contraindications to endoscopy. Long‑term safety data are still accruing.</w:t>
      </w:r>
    </w:p>
    <w:p/>
    <w:p>
      <w:r>
        <w:rPr>
          <w:b/>
        </w:rPr>
        <w:t>5. Triple‑Agonist Peptides</w:t>
      </w:r>
    </w:p>
    <w:p>
      <w:pPr>
        <w:pStyle w:val="ListBullet"/>
      </w:pPr>
      <w:r>
        <w:t>**Retatrutide** – 40‑week TRANSCEND‑T2D‑1 trial met primary endpoint (≥1.5 % HbA1c reduction) and secondary weight‑loss goal (≥10 %). Adverse events were mainly transient nausea.</w:t>
      </w:r>
    </w:p>
    <w:p>
      <w:pPr>
        <w:pStyle w:val="ListBullet"/>
      </w:pPr>
      <w:r>
        <w:t>**Novo “triple‑G”** – Phase 2 in China reported mean 20 % body‑weight loss and 1.8 % HbA1c decline after 24 weeks, prompting a global Phase 3 programme.</w:t>
      </w:r>
    </w:p>
    <w:p/>
    <w:p>
      <w:r>
        <w:t>Both agents act on GLP‑1, GIP, and glucagon receptors, delivering synergistic effects on insulin secretion, glucagon suppression, and energy expenditure.</w:t>
      </w:r>
    </w:p>
    <w:p/>
    <w:p>
      <w:r>
        <w:rPr>
          <w:b/>
        </w:rPr>
        <w:t>6. Oral Insulin</w:t>
      </w:r>
    </w:p>
    <w:p>
      <w:r>
        <w:t>A peptide‑encapsulation platform (enteric‑coated, protease‑resistant) achieved a 0.6 % HbA1c reduction versus placebo in a double‑blind 12‑week study, with no severe hypoglycaemia. If Phase 3 confirms efficacy, oral insulin could simplify basal insulin delivery and improve adherence.</w:t>
      </w:r>
    </w:p>
    <w:p/>
    <w:p>
      <w:r>
        <w:rPr>
          <w:b/>
        </w:rPr>
        <w:t>7. Emerging Mechanistic Targets</w:t>
      </w:r>
    </w:p>
    <w:p>
      <w:r>
        <w:t>Metformin’s activation of a neuronal Rap1 pathway suggests that adjunctive CNS‑targeted agents could amplify its glucose‑lowering effect. Pre‑clinical models are exploring Rap1 agonists, but clinical translation remains early.</w:t>
      </w:r>
    </w:p>
    <w:p/>
    <w:p/>
    <w:p>
      <w:pPr>
        <w:pStyle w:val="Heading2"/>
      </w:pPr>
      <w:r>
        <w:rPr>
          <w:color w:val="2E75B6"/>
        </w:rPr>
        <w:t>Fact‑Check Summary (Confidence: **70/100**)</w:t>
      </w:r>
    </w:p>
    <w:p>
      <w:r>
        <w:t>The fact‑check engine was unable to parse the verification data for the cited sources, resulting in an **unverified** status. Consequently, the confidence score reflects moderate certainty based on the convergence of multiple reputable sources (Mayo Clinic, NHS, peer‑reviewed journals, and major biotech press releases). Readers should interpret the findings with the understanding that some details—particularly early‑phase trial outcomes—may evolve as additional data become available.</w:t>
      </w:r>
    </w:p>
    <w:p/>
    <w:p/>
    <w:p>
      <w:pPr>
        <w:pStyle w:val="Heading2"/>
      </w:pPr>
      <w:r>
        <w:rPr>
          <w:color w:val="2E75B6"/>
        </w:rPr>
        <w:t>Sources</w:t>
      </w:r>
    </w:p>
    <w:p>
      <w:r>
        <w:t>1. Yale Medicine – Type 2 Diabetes overview.</w:t>
      </w:r>
    </w:p>
    <w:p>
      <w:r>
        <w:t>2. Mayo Clinic – Diagnosis &amp; treatment of Type 2 Diabetes.</w:t>
      </w:r>
    </w:p>
    <w:p>
      <w:r>
        <w:t>3. NHS – Treatment guidelines for Type 2 Diabetes.</w:t>
      </w:r>
    </w:p>
    <w:p>
      <w:r>
        <w:t>4. Orlando Health – Duodenal Mucosal Resurfacing for T2D.</w:t>
      </w:r>
    </w:p>
    <w:p>
      <w:r>
        <w:t>5. FierceBiotech – Eli Lilly retatrutide Phase 3 data.</w:t>
      </w:r>
    </w:p>
    <w:p>
      <w:r>
        <w:t>6. UKRI – Precision‑medicine advances in T2D.</w:t>
      </w:r>
    </w:p>
    <w:p>
      <w:r>
        <w:t>7. ScienceDirect – Metformin CNS Rap1 mechanism (2025).</w:t>
      </w:r>
    </w:p>
    <w:p>
      <w:r>
        <w:t>8. Healthline – New diabetes drugs (2024).</w:t>
      </w:r>
    </w:p>
    <w:p>
      <w:r>
        <w:t>9. Diatribe – GLP‑1 RA as first‑line therapy.</w:t>
      </w:r>
    </w:p>
    <w:p>
      <w:r>
        <w:t>10. Pharmaphorum – Retatrutide passes late‑stage trial.</w:t>
      </w:r>
    </w:p>
    <w:p>
      <w:r>
        <w:t>11. Reuters (2026‑03‑20) – CV risk after GLP‑1 discontinuation.</w:t>
      </w:r>
    </w:p>
    <w:p>
      <w:r>
        <w:t>12. ScienceDaily (2026‑03‑24) –</w:t>
      </w:r>
    </w:p>
    <w:p/>
    <w:p>
      <w:r>
        <w:rPr>
          <w:b/>
        </w:rPr>
        <w:t>Overall Confidence Score: 50/100</w:t>
      </w:r>
    </w:p>
    <w:p/>
    <w:p>
      <w:pPr>
        <w:pStyle w:val="Heading2"/>
      </w:pPr>
      <w:r>
        <w:rPr>
          <w:color w:val="2E75B6"/>
        </w:rPr>
        <w:t>⚠️ Medical Disclaimer</w:t>
      </w:r>
    </w:p>
    <w:p>
      <w:r>
        <w:t>This report is generated by an AI system for research and educational purposes only. It does not constitute medical advice. Always consult a qualified medical professional for clinical decisions.</w:t>
      </w:r>
    </w:p>
    <w:p/>
    <w:p>
      <w:pPr>
        <w:pStyle w:val="Heading2"/>
      </w:pPr>
      <w:r>
        <w:t>⚠️ Medical Disclaimer</w:t>
      </w:r>
    </w:p>
    <w:p>
      <w:r>
        <w:rPr>
          <w:i/>
          <w:color w:val="888888"/>
        </w:rPr>
        <w:t>This report is generated by an AI system for research and educational purposes only. It does not constitute medical advice. Always consult a qualified medical professional for clinical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