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ae5fe4d69d69661a5054d7f71934f23be0612d2"/>
    <w:p>
      <w:pPr>
        <w:pStyle w:val="Heading1"/>
      </w:pPr>
      <w:r>
        <w:t xml:space="preserve">HNX26EPS03: Technical Report and 24-Hour Implementation Plan</w:t>
      </w:r>
    </w:p>
    <w:bookmarkStart w:id="20" w:name="executive-summary"/>
    <w:p>
      <w:pPr>
        <w:pStyle w:val="Heading2"/>
      </w:pPr>
      <w:r>
        <w:t xml:space="preserve">Executive summary</w:t>
      </w:r>
    </w:p>
    <w:p>
      <w:pPr>
        <w:pStyle w:val="FirstParagraph"/>
      </w:pPr>
      <w:r>
        <w:t xml:space="preserve">The strongest 24-hour strategy is a</w:t>
      </w:r>
      <w:r>
        <w:t xml:space="preserve"> </w:t>
      </w:r>
      <w:r>
        <w:rPr>
          <w:b/>
          <w:bCs/>
        </w:rPr>
        <w:t xml:space="preserve">caption-first, modular streaming interpreter</w:t>
      </w:r>
      <w:r>
        <w:t xml:space="preserve">, not a bespoke end-to-end speech model. Use a streaming speech-recognition service or model for provisional and finalized source text; translate a rolling, sentence-aware text prefix with a strong Indic-capable MT model; and present early translations as provisional, committing only stable spans. This isolates failures, allows the team to optimize the latency/quality trade-off, and fits the brief's judging emphasis on orchestration. Cascaded systems do incur error propagation and latency accumulation, so the measurable contribution should be the prefix scheduler, stability policy, correction handling, and pair-specific evaluation—not simply connecting APIs.</w:t>
      </w:r>
      <w:r>
        <w:t xml:space="preserve">[1]</w:t>
      </w:r>
    </w:p>
    <w:p>
      <w:pPr>
        <w:pStyle w:val="BodyText"/>
      </w:pPr>
      <w:r>
        <w:t xml:space="preserve">For the minimum bar, implement English↔Hindi, English↔Tamil, and English↔Telugu (or substitute Kannada/Malayalam if the chosen speech stack performs better), with captions only. Add support for the remaining language pairs only after the core directions beat the baseline on the same held-out audio. A six-language live-translation API is now documented in preview and includes all five Indic languages in this challenge, making it a useful and timely baseline candidate; however, availability, version, supported directions, and measured behavior must be verified at test time, and its preview status makes it unsuitable as the sole dependency.</w:t>
      </w:r>
      <w:r>
        <w:t xml:space="preserve">[2]</w:t>
      </w:r>
    </w:p>
    <w:bookmarkEnd w:id="20"/>
    <w:bookmarkStart w:id="21" w:name="decision-and-evidence"/>
    <w:p>
      <w:pPr>
        <w:pStyle w:val="Heading2"/>
      </w:pPr>
      <w:r>
        <w:t xml:space="preserve">Decision and evidence</w:t>
      </w:r>
    </w:p>
    <w:p>
      <w:pPr>
        <w:pStyle w:val="FirstParagraph"/>
      </w:pPr>
      <w:r>
        <w:t xml:space="preserve">The task is simultaneous interpretation, not an interactive agent. The engineering objective is to produce useful target-language text while source speech is still arriving, then finalize an accurate translation with few disruptive revisions. Streaming systems must jointly manage quality, latency, and stability; low latency alone can be counterproductive if displayed text repeatedly changes.</w:t>
      </w:r>
      <w:r>
        <w:t xml:space="preserve">[3]</w:t>
      </w:r>
    </w:p>
    <w:p>
      <w:pPr>
        <w:pStyle w:val="BodyText"/>
      </w:pPr>
      <w:r>
        <w:t xml:space="preserve">Indic language pairs make an aggressively eager translation policy risky: a prefix can be incomplete precisely where later source material resolves meaning and word order. Research on simultaneous speech translation supports adaptive read/write decisions and training or adapting translation behavior for partial inputs; a hybrid adaptive policy with a maximum-latency safeguard outperformed fixed policies on MuST-C, though those results are from English–European directions and should not be assumed to transfer quantitatively to Indic pairs.</w:t>
      </w:r>
      <w:r>
        <w:t xml:space="preserve">[1]</w:t>
      </w:r>
    </w:p>
    <w:p>
      <w:pPr>
        <w:pStyle w:val="BodyText"/>
      </w:pPr>
      <w:r>
        <w:t xml:space="preserve">The evidence base supports both cascaded and direct speech-translation architectures, but does not establish a universal winner for this challenge. Cascades are modular and practical when speech-to-speech parallel data are scarce; the costs are accumulated latency and errors passed from recognition into translation.</w:t>
      </w:r>
      <w:r>
        <w:t xml:space="preserve">[1]</w:t>
      </w:r>
      <w:r>
        <w:t xml:space="preserve"> </w:t>
      </w:r>
      <w:r>
        <w:t xml:space="preserve"> </w:t>
      </w:r>
      <w:r>
        <w:t xml:space="preserve">A recent deployed Indic system used ASR, disfluency correction, MT, and TTS in a cascade, while reporting the same core trade-off: multiple components increase compute and latency, and upstream errors propagate.</w:t>
      </w:r>
      <w:r>
        <w:t xml:space="preserve">[4]</w:t>
      </w:r>
      <w:r>
        <w:t xml:space="preserve"> </w:t>
      </w:r>
      <w:r>
        <w:t xml:space="preserve"> </w:t>
      </w:r>
      <w:r>
        <w:t xml:space="preserve">IWSLT Indic-track work provides evidence that existing ASR-plus-MT components can form viable language-specific systems, but its reported results are not a streaming benchmark for this pitch.</w:t>
      </w:r>
      <w:r>
        <w:t xml:space="preserve">[5]</w:t>
      </w:r>
    </w:p>
    <w:p>
      <w:pPr>
        <w:pStyle w:val="BodyText"/>
      </w:pPr>
      <w:r>
        <w:t xml:space="preserve">Code-mixing, names, and numbers deserve explicit first-class handling. Indic multilingual ASR research documents a shortage of large code-switched corpora and shows that multilingual modeling can help some languages but can also degrade others; a multilingual model is therefore a candidate to test, not an automatic improvement.</w:t>
      </w:r>
      <w:r>
        <w:t xml:space="preserve">[6]</w:t>
      </w:r>
      <w:r>
        <w:t xml:space="preserve"> </w:t>
      </w:r>
      <w:r>
        <w:t xml:space="preserve"> </w:t>
      </w:r>
      <w:r>
        <w:t xml:space="preserve">IndicSUPERB demonstrates the value of testing unfamiliar speakers and noisy audio rather than relying only on clean, known-speaker speech.</w:t>
      </w:r>
      <w:r>
        <w:t xml:space="preserve">[7]</w:t>
      </w:r>
    </w:p>
    <w:bookmarkEnd w:id="21"/>
    <w:bookmarkStart w:id="24" w:name="recommended-system"/>
    <w:p>
      <w:pPr>
        <w:pStyle w:val="Heading2"/>
      </w:pPr>
      <w:r>
        <w:t xml:space="preserve">Recommended system</w:t>
      </w:r>
    </w:p>
    <w:bookmarkStart w:id="22" w:name="live-caption-path"/>
    <w:p>
      <w:pPr>
        <w:pStyle w:val="Heading3"/>
      </w:pPr>
      <w:r>
        <w:t xml:space="preserve">Live caption path</w:t>
      </w:r>
    </w:p>
    <w:p>
      <w:pPr>
        <w:pStyle w:val="Compact"/>
        <w:numPr>
          <w:ilvl w:val="0"/>
          <w:numId w:val="1001"/>
        </w:numPr>
      </w:pPr>
      <w:r>
        <w:rPr>
          <w:b/>
          <w:bCs/>
        </w:rPr>
        <w:t xml:space="preserve">Audio capture and transport.</w:t>
      </w:r>
      <w:r>
        <w:t xml:space="preserve"> </w:t>
      </w:r>
      <w:r>
        <w:t xml:space="preserve">Capture mono microphone audio, normalize sample rate to the selected recognizer's required format, and maintain a timestamped ring buffer. Keep audio chunking small enough for rapid updates but large enough to avoid excessive request overhead. If using the current Google preview baseline, its documentation specifies 16-kHz mono PCM input and recommends 100-ms chunks; treat that as a starting point, not a universal optimum.</w:t>
      </w:r>
      <w:r>
        <w:t xml:space="preserve">[2]</w:t>
      </w:r>
    </w:p>
    <w:p>
      <w:pPr>
        <w:pStyle w:val="Compact"/>
        <w:numPr>
          <w:ilvl w:val="0"/>
          <w:numId w:val="1001"/>
        </w:numPr>
      </w:pPr>
      <w:r>
        <w:rPr>
          <w:b/>
          <w:bCs/>
        </w:rPr>
        <w:t xml:space="preserve">Streaming ASR and language identification.</w:t>
      </w:r>
      <w:r>
        <w:t xml:space="preserve"> </w:t>
      </w:r>
      <w:r>
        <w:t xml:space="preserve">Run incremental recognition with source-language detection when the source is not preselected. Preserve both partial and finalized transcripts. Do not translate every unstable token update: debounce rapid revisions and trigger translation when a stable prefix, pause, punctuation cue, or low-risk phrase boundary appears. For mixed utterances, retain language/script spans and avoid forcing English words into Indic script (or vice versa) without a consistent normalization rule. This is an engineering recommendation grounded in known code-switching and script-evaluation difficulties.</w:t>
      </w:r>
      <w:r>
        <w:t xml:space="preserve">[6]</w:t>
      </w:r>
    </w:p>
    <w:p>
      <w:pPr>
        <w:pStyle w:val="Compact"/>
        <w:numPr>
          <w:ilvl w:val="0"/>
          <w:numId w:val="1001"/>
        </w:numPr>
      </w:pPr>
      <w:r>
        <w:rPr>
          <w:b/>
          <w:bCs/>
        </w:rPr>
        <w:t xml:space="preserve">Streaming translation.</w:t>
      </w:r>
      <w:r>
        <w:t xml:space="preserve"> </w:t>
      </w:r>
      <w:r>
        <w:t xml:space="preserve">Maintain the current sentence plus a short preceding context window. Translate the evolving prefix; display only the longest common prefix across recent candidate translations as the committed caption, while rendering the newest suffix as provisional. On sentence-final recognition, run a final translation pass and replace the provisional suffix. Prefix re-translation is a practical route to low-latency captions with strong final quality, but it can flicker; prior work explicitly evaluates the quality, lag, and erasure trade-off and reports that stability can be substantially improved with revision-aware decoding.</w:t>
      </w:r>
      <w:r>
        <w:t xml:space="preserve">[3]</w:t>
      </w:r>
    </w:p>
    <w:p>
      <w:pPr>
        <w:pStyle w:val="Compact"/>
        <w:numPr>
          <w:ilvl w:val="0"/>
          <w:numId w:val="1001"/>
        </w:numPr>
      </w:pPr>
      <w:r>
        <w:rPr>
          <w:b/>
          <w:bCs/>
        </w:rPr>
        <w:t xml:space="preserve">Boundary and backpressure controls.</w:t>
      </w:r>
      <w:r>
        <w:t xml:space="preserve"> </w:t>
      </w:r>
      <w:r>
        <w:t xml:space="preserve">Keep the latest ASR update and cancel or supersede stale MT jobs; do not queue every partial prefix behind a slow model. Use a punctuation/endpoint signal plus maximum waiting time so a long sentence cannot indefinitely delay output. Where the MT model supports streaming, test adaptive read/write decisions; otherwise emulate them with prefix scheduling and revision policies. Partial and final ASR hypotheses can be used differently: a recent streaming MT system used partial hypotheses for on-screen display and finalized hypotheses for spoken playback, with forced finalization to cap delay.</w:t>
      </w:r>
      <w:r>
        <w:t xml:space="preserve">[8]</w:t>
      </w:r>
    </w:p>
    <w:p>
      <w:pPr>
        <w:pStyle w:val="Compact"/>
        <w:numPr>
          <w:ilvl w:val="0"/>
          <w:numId w:val="1001"/>
        </w:numPr>
      </w:pPr>
      <w:r>
        <w:rPr>
          <w:b/>
          <w:bCs/>
        </w:rPr>
        <w:t xml:space="preserve">Text output first; speech second.</w:t>
      </w:r>
      <w:r>
        <w:t xml:space="preserve"> </w:t>
      </w:r>
      <w:r>
        <w:t xml:space="preserve">Deliver readable captions as the judged product. Add ordinary target-language TTS only if the core caption path is already reliable. Cross-lingual voice cloning is a separate, high-risk stretch goal: published work shows that voice identity can transfer across languages, but naturalness and pronunciation can degrade, and speaker identity may not be cleanly separated from accent.</w:t>
      </w:r>
      <w:r>
        <w:t xml:space="preserve">[9]</w:t>
      </w:r>
      <w:r>
        <w:t xml:space="preserve"> </w:t>
      </w:r>
      <w:r>
        <w:t xml:space="preserve"> </w:t>
      </w:r>
      <w:r>
        <w:t xml:space="preserve">Require explicit informed consent, clear synthetic-audio disclosure, and an easy opt-out; do not make voice cloning a dependency for the minimum bar.</w:t>
      </w:r>
    </w:p>
    <w:bookmarkEnd w:id="22"/>
    <w:bookmarkStart w:id="23" w:name="translation-coverage-and-routing"/>
    <w:p>
      <w:pPr>
        <w:pStyle w:val="Heading3"/>
      </w:pPr>
      <w:r>
        <w:t xml:space="preserve">Translation coverage and routing</w:t>
      </w:r>
    </w:p>
    <w:p>
      <w:pPr>
        <w:pStyle w:val="FirstParagraph"/>
      </w:pPr>
      <w:r>
        <w:t xml:space="preserve">Start with six directional English-pivot routes: English↔Hindi, English↔Tamil, and English↔Telugu. Select the actual three Indic languages after a short bake-off of ASR availability, MT quality, and end-to-end latency on representative utterances; published multilingual ASR results show performance can vary across languages, so the choice should be empirical.</w:t>
      </w:r>
      <w:r>
        <w:t xml:space="preserve">[6]</w:t>
      </w:r>
      <w:r>
        <w:t xml:space="preserve"> </w:t>
      </w:r>
      <w:r>
        <w:t xml:space="preserve"> </w:t>
      </w:r>
      <w:r>
        <w:t xml:space="preserve">Add Kannada and Malayalam directions after the minimum bar is achieved. Full any-pair coverage across the six languages means 30 directed non-identity pairs; implement direct pairwise MT only where quality supports it, and benchmark pivot translation separately because a two-hop route can add latency and propagate errors. This pair count is arithmetic from the six languages in the brief.</w:t>
      </w:r>
    </w:p>
    <w:p>
      <w:pPr>
        <w:pStyle w:val="BodyText"/>
      </w:pPr>
      <w:r>
        <w:t xml:space="preserve">Use a router that can choose among (a) a specialist real-time translation API, (b) streaming ASR followed by Indic-capable MT, or (c) an open speech-translation model. Compare each route on the same utterance set and hardware/network conditions. Indic speech-translation datasets and shared-task work offer promising starting points, but corpus coverage and domain match must be checked for Hindi, Tamil, Telugu, Kannada, and Malayalam rather than inferred from results on other Indic languages.</w:t>
      </w:r>
      <w:r>
        <w:t xml:space="preserve">[5]</w:t>
      </w:r>
    </w:p>
    <w:bookmarkEnd w:id="23"/>
    <w:bookmarkEnd w:id="24"/>
    <w:bookmarkStart w:id="27" w:name="baseline-and-held-out-evaluation"/>
    <w:p>
      <w:pPr>
        <w:pStyle w:val="Heading2"/>
      </w:pPr>
      <w:r>
        <w:t xml:space="preserve">Baseline and held-out evaluation</w:t>
      </w:r>
    </w:p>
    <w:bookmarkStart w:id="25" w:name="baseline-selection"/>
    <w:p>
      <w:pPr>
        <w:pStyle w:val="Heading3"/>
      </w:pPr>
      <w:r>
        <w:t xml:space="preserve">Baseline selection</w:t>
      </w:r>
    </w:p>
    <w:p>
      <w:pPr>
        <w:pStyle w:val="FirstParagraph"/>
      </w:pPr>
      <w:r>
        <w:t xml:space="preserve">Use the strongest candidate the team can actually access during the event, and freeze its version/configuration for the comparison. A current documented option is Google's Gemini 3.5 Live Translate preview, whose listed language set covers English, Hindi, Tamil, Telugu, Kannada, and Malayalam and whose documented interface streams audio and returns translated audio plus optional transcripts.</w:t>
      </w:r>
      <w:r>
        <w:t xml:space="preserve">[2]</w:t>
      </w:r>
      <w:r>
        <w:t xml:space="preserve"> </w:t>
      </w:r>
      <w:r>
        <w:t xml:space="preserve"> </w:t>
      </w:r>
      <w:r>
        <w:t xml:space="preserve">Include at least one strong modular baseline as well if feasible: streaming ASR plus a non-streaming Indic MT model, translating the same completed utterances. Report whether the primary baseline is a commercial live service, open stack, or both. Do not equate API feature claims with verified performance on this judging set.</w:t>
      </w:r>
    </w:p>
    <w:bookmarkEnd w:id="25"/>
    <w:bookmarkStart w:id="26" w:name="test-set-and-protocol"/>
    <w:p>
      <w:pPr>
        <w:pStyle w:val="Heading3"/>
      </w:pPr>
      <w:r>
        <w:t xml:space="preserve">Test set and protocol</w:t>
      </w:r>
    </w:p>
    <w:p>
      <w:pPr>
        <w:pStyle w:val="FirstParagraph"/>
      </w:pPr>
      <w:r>
        <w:t xml:space="preserve">Prepare a frozen development set for tuning, plus a separate held-out judging set never used to tune thresholds, prompts, glossaries, or decoding. For each supported direction, include spontaneous short and long utterances; code-mixed speech; names and places; numbers, dates, and amounts; multiple accents; mild noise; and self-corrections. Have fluent bilingual annotators create reference translations and adjudicate ambiguous alternatives. Split by speaker and prompt so near-duplicate utterances cannot leak across tuning and test. A balanced unknown-speaker/noise evaluation is motivated by Indic speech benchmark evidence that both conditions expose generalization gaps.</w:t>
      </w:r>
      <w:r>
        <w:t xml:space="preserve">[7]</w:t>
      </w:r>
    </w:p>
    <w:p>
      <w:pPr>
        <w:pStyle w:val="BodyText"/>
      </w:pPr>
      <w:r>
        <w:t xml:space="preserve">Run the system and baseline on identical recordings, with identical network conditions and no manual interventions. Report per-direction results, not only a pooled average. Measure:</w:t>
      </w:r>
    </w:p>
    <w:p>
      <w:pPr>
        <w:pStyle w:val="Compact"/>
        <w:numPr>
          <w:ilvl w:val="0"/>
          <w:numId w:val="1002"/>
        </w:numPr>
      </w:pPr>
      <w:r>
        <w:rPr>
          <w:b/>
          <w:bCs/>
        </w:rPr>
        <w:t xml:space="preserve">Time to first translated word:</w:t>
      </w:r>
      <w:r>
        <w:t xml:space="preserve"> </w:t>
      </w:r>
      <w:r>
        <w:t xml:space="preserve">from the acoustic onset of a source utterance to first visible translated token; report median and 90th percentile.</w:t>
      </w:r>
    </w:p>
    <w:p>
      <w:pPr>
        <w:pStyle w:val="Compact"/>
        <w:numPr>
          <w:ilvl w:val="0"/>
          <w:numId w:val="1002"/>
        </w:numPr>
      </w:pPr>
      <w:r>
        <w:rPr>
          <w:b/>
          <w:bCs/>
        </w:rPr>
        <w:t xml:space="preserve">End-of-speech finalization delay:</w:t>
      </w:r>
      <w:r>
        <w:t xml:space="preserve"> </w:t>
      </w:r>
      <w:r>
        <w:t xml:space="preserve">from detected source end to final target text; report median and 90th percentile.</w:t>
      </w:r>
    </w:p>
    <w:p>
      <w:pPr>
        <w:pStyle w:val="Compact"/>
        <w:numPr>
          <w:ilvl w:val="0"/>
          <w:numId w:val="1002"/>
        </w:numPr>
      </w:pPr>
      <w:r>
        <w:rPr>
          <w:b/>
          <w:bCs/>
        </w:rPr>
        <w:t xml:space="preserve">Translation quality:</w:t>
      </w:r>
      <w:r>
        <w:t xml:space="preserve"> </w:t>
      </w:r>
      <w:r>
        <w:t xml:space="preserve">chrF++ and BLEU on final output, with human adequacy judgments for meaning preservation, omissions, and critical entity/number accuracy. Compare quality against the baseline per pair.</w:t>
      </w:r>
    </w:p>
    <w:p>
      <w:pPr>
        <w:pStyle w:val="Compact"/>
        <w:numPr>
          <w:ilvl w:val="0"/>
          <w:numId w:val="1002"/>
        </w:numPr>
      </w:pPr>
      <w:r>
        <w:rPr>
          <w:b/>
          <w:bCs/>
        </w:rPr>
        <w:t xml:space="preserve">Caption stability:</w:t>
      </w:r>
      <w:r>
        <w:t xml:space="preserve"> </w:t>
      </w:r>
      <w:r>
        <w:t xml:space="preserve">count erased/replaced target tokens per final output token, plus the share of displayed tokens changed after first display. Also inspect sentence boundary errors.</w:t>
      </w:r>
    </w:p>
    <w:p>
      <w:pPr>
        <w:pStyle w:val="Compact"/>
        <w:numPr>
          <w:ilvl w:val="0"/>
          <w:numId w:val="1002"/>
        </w:numPr>
      </w:pPr>
      <w:r>
        <w:rPr>
          <w:b/>
          <w:bCs/>
        </w:rPr>
        <w:t xml:space="preserve">Robustness:</w:t>
      </w:r>
      <w:r>
        <w:t xml:space="preserve"> </w:t>
      </w:r>
      <w:r>
        <w:t xml:space="preserve">report language-ID accuracy and quality separately for clean, code-mixed, noisy, and entity/number subsets. Speaker-disjoint and noisy evaluation conditions are established ways to expose generalization failures in Indic speech systems.</w:t>
      </w:r>
      <w:r>
        <w:t xml:space="preserve">[7]</w:t>
      </w:r>
    </w:p>
    <w:p>
      <w:pPr>
        <w:pStyle w:val="FirstParagraph"/>
      </w:pPr>
      <w:r>
        <w:t xml:space="preserve">Latency should be measured as a stream, not just as independent completed sentences; stream-level evaluation can account for delay carried forward across turns, and re-segment output to align it with references where necessary.</w:t>
      </w:r>
      <w:r>
        <w:t xml:space="preserve">[10]</w:t>
      </w:r>
      <w:r>
        <w:t xml:space="preserve"> </w:t>
      </w:r>
      <w:r>
        <w:t xml:space="preserve"> </w:t>
      </w:r>
      <w:r>
        <w:t xml:space="preserve">A final BLEU score alone cannot characterize interim usability: translation quality, lag, and revision stability should be measured separately.</w:t>
      </w:r>
      <w:r>
        <w:t xml:space="preserve">[3]</w:t>
      </w:r>
    </w:p>
    <w:p>
      <w:pPr>
        <w:pStyle w:val="BodyText"/>
      </w:pPr>
      <w:r>
        <w:rPr>
          <w:b/>
          <w:bCs/>
        </w:rPr>
        <w:t xml:space="preserve">Pass/fail rule for the minimum bar:</w:t>
      </w:r>
      <w:r>
        <w:t xml:space="preserve"> </w:t>
      </w:r>
      <w:r>
        <w:t xml:space="preserve">on held-out utterances, the system must reduce both time-to-first-word and end-of-speech finalization delay relative to the chosen live baseline, while remaining non-inferior in translation quality within a predeclared tolerance and not materially worsening entity/number accuracy or caption stability. The brief gives no numerical quality tolerance or latency target, so set thresholds on development data before opening the held-out test. This multi-metric rule follows the established distinction among translation quality, lag, and revision stability.</w:t>
      </w:r>
      <w:r>
        <w:t xml:space="preserve">[3]</w:t>
      </w:r>
      <w:r>
        <w:t xml:space="preserve"> </w:t>
      </w:r>
      <w:r>
        <w:t xml:space="preserve"> </w:t>
      </w:r>
      <w:r>
        <w:t xml:space="preserve">Report confidence intervals or paired bootstrap comparisons where sample size permits; if the held-out set is small, label the result as a demo-scale comparison rather than a general performance claim.</w:t>
      </w:r>
    </w:p>
    <w:bookmarkEnd w:id="26"/>
    <w:bookmarkEnd w:id="27"/>
    <w:bookmarkStart w:id="28" w:name="X43a11c19421baddc6ff54c80b378788c5aee8f7"/>
    <w:p>
      <w:pPr>
        <w:pStyle w:val="Heading2"/>
      </w:pPr>
      <w:r>
        <w:t xml:space="preserve">24-hour build plan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Elapsed time</w:t>
            </w:r>
          </w:p>
        </w:tc>
        <w:tc>
          <w:tcPr/>
          <w:p>
            <w:pPr>
              <w:pStyle w:val="Compact"/>
            </w:pPr>
            <w:r>
              <w:t xml:space="preserve">Build and decision gate</w:t>
            </w:r>
          </w:p>
        </w:tc>
        <w:tc>
          <w:tcPr/>
          <w:p>
            <w:pPr>
              <w:pStyle w:val="Compact"/>
            </w:pPr>
            <w:r>
              <w:t xml:space="preserve">Concrete output</w:t>
            </w:r>
          </w:p>
        </w:tc>
      </w:tr>
      <w:tr>
        <w:tc>
          <w:tcPr/>
          <w:p>
            <w:pPr>
              <w:pStyle w:val="Compact"/>
            </w:pPr>
            <w:r>
              <w:t xml:space="preserve">0–2 h</w:t>
            </w:r>
          </w:p>
        </w:tc>
        <w:tc>
          <w:tcPr/>
          <w:p>
            <w:pPr>
              <w:pStyle w:val="Compact"/>
            </w:pPr>
            <w:r>
              <w:t xml:space="preserve">Lock three language directions, baseline candidate, and consent/data rules. Verify account/API access, supported language directions, streaming events, and quotas.</w:t>
            </w:r>
          </w:p>
        </w:tc>
        <w:tc>
          <w:tcPr/>
          <w:p>
            <w:pPr>
              <w:pStyle w:val="Compact"/>
            </w:pPr>
            <w:r>
              <w:t xml:space="preserve">One-page test protocol; verified baseline running on a microphone.</w:t>
            </w:r>
          </w:p>
        </w:tc>
      </w:tr>
      <w:tr>
        <w:tc>
          <w:tcPr/>
          <w:p>
            <w:pPr>
              <w:pStyle w:val="Compact"/>
            </w:pPr>
            <w:r>
              <w:t xml:space="preserve">2–5 h</w:t>
            </w:r>
          </w:p>
        </w:tc>
        <w:tc>
          <w:tcPr/>
          <w:p>
            <w:pPr>
              <w:pStyle w:val="Compact"/>
            </w:pPr>
            <w:r>
              <w:t xml:space="preserve">Implement audio capture, streaming transport, timestamps, partial/final ASR display, and a raw event log.</w:t>
            </w:r>
          </w:p>
        </w:tc>
        <w:tc>
          <w:tcPr/>
          <w:p>
            <w:pPr>
              <w:pStyle w:val="Compact"/>
            </w:pPr>
            <w:r>
              <w:t xml:space="preserve">Live source captions with timestamped events.</w:t>
            </w:r>
          </w:p>
        </w:tc>
      </w:tr>
      <w:tr>
        <w:tc>
          <w:tcPr/>
          <w:p>
            <w:pPr>
              <w:pStyle w:val="Compact"/>
            </w:pPr>
            <w:r>
              <w:t xml:space="preserve">5–9 h</w:t>
            </w:r>
          </w:p>
        </w:tc>
        <w:tc>
          <w:tcPr/>
          <w:p>
            <w:pPr>
              <w:pStyle w:val="Compact"/>
            </w:pPr>
            <w:r>
              <w:t xml:space="preserve">Add target MT on sentence-aware prefixes; add provisional/final caption states, common-prefix commit, cancellation of stale jobs, and forced finalization timeout.</w:t>
            </w:r>
          </w:p>
        </w:tc>
        <w:tc>
          <w:tcPr/>
          <w:p>
            <w:pPr>
              <w:pStyle w:val="Compact"/>
            </w:pPr>
            <w:r>
              <w:t xml:space="preserve">End-to-end live translated captions for one direction.</w:t>
            </w:r>
          </w:p>
        </w:tc>
      </w:tr>
      <w:tr>
        <w:tc>
          <w:tcPr/>
          <w:p>
            <w:pPr>
              <w:pStyle w:val="Compact"/>
            </w:pPr>
            <w:r>
              <w:t xml:space="preserve">9–13 h</w:t>
            </w:r>
          </w:p>
        </w:tc>
        <w:tc>
          <w:tcPr/>
          <w:p>
            <w:pPr>
              <w:pStyle w:val="Compact"/>
            </w:pPr>
            <w:r>
              <w:t xml:space="preserve">Add remaining two directions; implement source-language selection or LID and script-aware normalization for code-mixed words, names, and numbers.</w:t>
            </w:r>
          </w:p>
        </w:tc>
        <w:tc>
          <w:tcPr/>
          <w:p>
            <w:pPr>
              <w:pStyle w:val="Compact"/>
            </w:pPr>
            <w:r>
              <w:t xml:space="preserve">English↔three Indic directions; baseline and candidate operate on same recordings.</w:t>
            </w:r>
          </w:p>
        </w:tc>
      </w:tr>
      <w:tr>
        <w:tc>
          <w:tcPr/>
          <w:p>
            <w:pPr>
              <w:pStyle w:val="Compact"/>
            </w:pPr>
            <w:r>
              <w:t xml:space="preserve">13–17 h</w:t>
            </w:r>
          </w:p>
        </w:tc>
        <w:tc>
          <w:tcPr/>
          <w:p>
            <w:pPr>
              <w:pStyle w:val="Compact"/>
            </w:pPr>
            <w:r>
              <w:t xml:space="preserve">Run development bake-off; tune chunk interval, debounce, look-back context, commit rule, and finalization timeout. Keep baseline settings frozen.</w:t>
            </w:r>
          </w:p>
        </w:tc>
        <w:tc>
          <w:tcPr/>
          <w:p>
            <w:pPr>
              <w:pStyle w:val="Compact"/>
            </w:pPr>
            <w:r>
              <w:t xml:space="preserve">Selected per-direction policy and preliminary quality/latency/stability curves.</w:t>
            </w:r>
          </w:p>
        </w:tc>
      </w:tr>
      <w:tr>
        <w:tc>
          <w:tcPr/>
          <w:p>
            <w:pPr>
              <w:pStyle w:val="Compact"/>
            </w:pPr>
            <w:r>
              <w:t xml:space="preserve">17–20 h</w:t>
            </w:r>
          </w:p>
        </w:tc>
        <w:tc>
          <w:tcPr/>
          <w:p>
            <w:pPr>
              <w:pStyle w:val="Compact"/>
            </w:pPr>
            <w:r>
              <w:t xml:space="preserve">Run ablations: no debounce vs debounce; full-prefix retranslation vs stable-prefix commit; fixed vs adaptive wait; with/without glossary.</w:t>
            </w:r>
          </w:p>
        </w:tc>
        <w:tc>
          <w:tcPr/>
          <w:p>
            <w:pPr>
              <w:pStyle w:val="Compact"/>
            </w:pPr>
            <w:r>
              <w:t xml:space="preserve">Evidence for the orchestration contribution and why each component is retained.</w:t>
            </w:r>
          </w:p>
        </w:tc>
      </w:tr>
      <w:tr>
        <w:tc>
          <w:tcPr/>
          <w:p>
            <w:pPr>
              <w:pStyle w:val="Compact"/>
            </w:pPr>
            <w:r>
              <w:t xml:space="preserve">20–22 h</w:t>
            </w:r>
          </w:p>
        </w:tc>
        <w:tc>
          <w:tcPr/>
          <w:p>
            <w:pPr>
              <w:pStyle w:val="Compact"/>
            </w:pPr>
            <w:r>
              <w:t xml:space="preserve">Freeze the build; run held-out set and live unseen-utterance rehearsal. Calculate per-pair metrics and verify the pass/fail rule.</w:t>
            </w:r>
          </w:p>
        </w:tc>
        <w:tc>
          <w:tcPr/>
          <w:p>
            <w:pPr>
              <w:pStyle w:val="Compact"/>
            </w:pPr>
            <w:r>
              <w:t xml:space="preserve">Held-out scorecard, error examples, final demo configuration.</w:t>
            </w:r>
          </w:p>
        </w:tc>
      </w:tr>
      <w:tr>
        <w:tc>
          <w:tcPr/>
          <w:p>
            <w:pPr>
              <w:pStyle w:val="Compact"/>
            </w:pPr>
            <w:r>
              <w:t xml:space="preserve">22–24 h</w:t>
            </w:r>
          </w:p>
        </w:tc>
        <w:tc>
          <w:tcPr/>
          <w:p>
            <w:pPr>
              <w:pStyle w:val="Compact"/>
            </w:pPr>
            <w:r>
              <w:t xml:space="preserve">Fix only critical defects without tuning on held-out references; rehearse, document limitations, and prepare fallback path.</w:t>
            </w:r>
          </w:p>
        </w:tc>
        <w:tc>
          <w:tcPr/>
          <w:p>
            <w:pPr>
              <w:pStyle w:val="Compact"/>
            </w:pPr>
            <w:r>
              <w:t xml:space="preserve">Reliable demo, short write-up, reproducible test procedure.</w:t>
            </w:r>
          </w:p>
        </w:tc>
      </w:tr>
    </w:tbl>
    <w:p>
      <w:pPr>
        <w:pStyle w:val="BodyText"/>
      </w:pPr>
      <w:r>
        <w:t xml:space="preserve">The schedule prioritizes a working cascade before optional speech output because cascaded Indic systems have demonstrated practical deployability, while their multi-stage design also adds latency and error-propagation risks.</w:t>
      </w:r>
      <w:r>
        <w:t xml:space="preserve">[4]</w:t>
      </w:r>
    </w:p>
    <w:bookmarkEnd w:id="28"/>
    <w:bookmarkStart w:id="29" w:name="ablations-and-research-contribution"/>
    <w:p>
      <w:pPr>
        <w:pStyle w:val="Heading2"/>
      </w:pPr>
      <w:r>
        <w:t xml:space="preserve">Ablations and research contribution</w:t>
      </w:r>
    </w:p>
    <w:p>
      <w:pPr>
        <w:pStyle w:val="FirstParagraph"/>
      </w:pPr>
      <w:r>
        <w:t xml:space="preserve">The most defensible contribution is a</w:t>
      </w:r>
      <w:r>
        <w:t xml:space="preserve"> </w:t>
      </w:r>
      <w:r>
        <w:rPr>
          <w:b/>
          <w:bCs/>
        </w:rPr>
        <w:t xml:space="preserve">latency-aware, revision-controlled orchestration policy for Indic speech translation</w:t>
      </w:r>
      <w:r>
        <w:t xml:space="preserve">, demonstrated against the same components with a simpler policy. Keep an ablation table with identical ASR and MT backends: (1) translate only at end of speech; (2) translate every partial update; (3) debounce plus stable-prefix commit; (4) adaptive or confidence-aware commit with a hard maximum wait; and (5) glossary/entity-preservation enabled versus disabled. The comparison should establish whether each intervention improves the quality/latency/stability frontier rather than merely changing one metric. Research on simultaneous translation supports the value of prefix-aware adaptation, but published gains on non-Indic benchmarks are motivation for this experiment—not a predicted result for these languages.</w:t>
      </w:r>
      <w:r>
        <w:t xml:space="preserve">[1]</w:t>
      </w:r>
    </w:p>
    <w:p>
      <w:pPr>
        <w:pStyle w:val="BodyText"/>
      </w:pPr>
      <w:r>
        <w:t xml:space="preserve">A useful optional glossary experiment should include held-out names and domain terms that are absent from prompt examples used in tuning. Measure exact entity and number accuracy, not only BLEU or chrF++, because reference normalization and script variation can materially affect text matching in code-switched speech.</w:t>
      </w:r>
      <w:r>
        <w:t xml:space="preserve">[6]</w:t>
      </w:r>
      <w:r>
        <w:t xml:space="preserve"> </w:t>
      </w:r>
      <w:r>
        <w:t xml:space="preserve"> </w:t>
      </w:r>
      <w:r>
        <w:t xml:space="preserve">Keep the glossary identical across system and baseline where both permit it; if only the candidate supports a glossary, label the comparison accordingly.</w:t>
      </w:r>
    </w:p>
    <w:bookmarkEnd w:id="29"/>
    <w:bookmarkStart w:id="30" w:name="risks-and-mitigations"/>
    <w:p>
      <w:pPr>
        <w:pStyle w:val="Heading2"/>
      </w:pPr>
      <w:r>
        <w:t xml:space="preserve">Risks and mitigations</w:t>
      </w:r>
    </w:p>
    <w:p>
      <w:pPr>
        <w:pStyle w:val="Compact"/>
        <w:numPr>
          <w:ilvl w:val="0"/>
          <w:numId w:val="1003"/>
        </w:numPr>
      </w:pPr>
      <w:r>
        <w:rPr>
          <w:b/>
          <w:bCs/>
        </w:rPr>
        <w:t xml:space="preserve">Late verb or semantic commitment:</w:t>
      </w:r>
      <w:r>
        <w:t xml:space="preserve"> </w:t>
      </w:r>
      <w:r>
        <w:t xml:space="preserve">delay commitment of the unstable suffix, not the entire caption; test policy thresholds separately by direction. Avoid assuming that a single fixed chunk size is optimal across languages.</w:t>
      </w:r>
      <w:r>
        <w:t xml:space="preserve">[1]</w:t>
      </w:r>
    </w:p>
    <w:p>
      <w:pPr>
        <w:pStyle w:val="Compact"/>
        <w:numPr>
          <w:ilvl w:val="0"/>
          <w:numId w:val="1003"/>
        </w:numPr>
      </w:pPr>
      <w:r>
        <w:rPr>
          <w:b/>
          <w:bCs/>
        </w:rPr>
        <w:t xml:space="preserve">ASR error propagation:</w:t>
      </w:r>
      <w:r>
        <w:t xml:space="preserve"> </w:t>
      </w:r>
      <w:r>
        <w:t xml:space="preserve">retain the source transcript for debugging, retranslate finalized ASR corrections, and distinguish recognition errors from MT errors during error analysis.</w:t>
      </w:r>
      <w:r>
        <w:t xml:space="preserve">[1]</w:t>
      </w:r>
    </w:p>
    <w:p>
      <w:pPr>
        <w:pStyle w:val="Compact"/>
        <w:numPr>
          <w:ilvl w:val="0"/>
          <w:numId w:val="1003"/>
        </w:numPr>
      </w:pPr>
      <w:r>
        <w:rPr>
          <w:b/>
          <w:bCs/>
        </w:rPr>
        <w:t xml:space="preserve">API instability, quotas, or preview changes:</w:t>
      </w:r>
      <w:r>
        <w:t xml:space="preserve"> </w:t>
      </w:r>
      <w:r>
        <w:t xml:space="preserve">verify quotas before building around a vendor; keep a fallback modular route and pin model/API configuration in the report. Current live-translation documentation labels its model preview.</w:t>
      </w:r>
      <w:r>
        <w:t xml:space="preserve">[2]</w:t>
      </w:r>
    </w:p>
    <w:p>
      <w:pPr>
        <w:pStyle w:val="Compact"/>
        <w:numPr>
          <w:ilvl w:val="0"/>
          <w:numId w:val="1003"/>
        </w:numPr>
      </w:pPr>
      <w:r>
        <w:rPr>
          <w:b/>
          <w:bCs/>
        </w:rPr>
        <w:t xml:space="preserve">Code-switch and script scoring ambiguity:</w:t>
      </w:r>
      <w:r>
        <w:t xml:space="preserve"> </w:t>
      </w:r>
      <w:r>
        <w:t xml:space="preserve">establish normalization rules for transliterated English words, punctuation, and number formats before evaluation; publish both normalized and strict scoring where feasible. Prior code-switch ASR work explicitly introduced transliterated WER because a word can appear in Latin or native script.</w:t>
      </w:r>
      <w:r>
        <w:t xml:space="preserve">[6]</w:t>
      </w:r>
    </w:p>
    <w:p>
      <w:pPr>
        <w:pStyle w:val="Compact"/>
        <w:numPr>
          <w:ilvl w:val="0"/>
          <w:numId w:val="1003"/>
        </w:numPr>
      </w:pPr>
      <w:r>
        <w:rPr>
          <w:b/>
          <w:bCs/>
        </w:rPr>
        <w:t xml:space="preserve">Speech output steals build time:</w:t>
      </w:r>
      <w:r>
        <w:t xml:space="preserve"> </w:t>
      </w:r>
      <w:r>
        <w:t xml:space="preserve">captions are sufficient for the minimum bar. Ordinary multilingual TTS is a later increment; voice cloning should be attempted only after consent and intelligibility/naturalness evaluation are in place.</w:t>
      </w:r>
      <w:r>
        <w:t xml:space="preserve">[9]</w:t>
      </w:r>
    </w:p>
    <w:p>
      <w:pPr>
        <w:pStyle w:val="Compact"/>
        <w:numPr>
          <w:ilvl w:val="0"/>
          <w:numId w:val="1003"/>
        </w:numPr>
      </w:pPr>
      <w:r>
        <w:rPr>
          <w:b/>
          <w:bCs/>
        </w:rPr>
        <w:t xml:space="preserve">Narrow or contaminated test set:</w:t>
      </w:r>
      <w:r>
        <w:t xml:space="preserve"> </w:t>
      </w:r>
      <w:r>
        <w:t xml:space="preserve">reserve unseen speakers and utterances, include code-mixing/noise/names/numbers, and do not adjust the system against judging references. Robust Indic benchmarks use speaker-disjoint and noisy conditions to make these gaps visible.</w:t>
      </w:r>
      <w:r>
        <w:t xml:space="preserve">[7]</w:t>
      </w:r>
    </w:p>
    <w:bookmarkEnd w:id="30"/>
    <w:bookmarkStart w:id="31" w:name="recommended-judging-narrative"/>
    <w:p>
      <w:pPr>
        <w:pStyle w:val="Heading2"/>
      </w:pPr>
      <w:r>
        <w:t xml:space="preserve">Recommended judging narrative</w:t>
      </w:r>
    </w:p>
    <w:p>
      <w:pPr>
        <w:pStyle w:val="FirstParagraph"/>
      </w:pPr>
      <w:r>
        <w:t xml:space="preserve">Show the same unseen utterance in the baseline and candidate side by side. Display source partial transcript, provisional target text, and final target text with timestamps. Lead with per-direction time-to-first-word and finalization delay; then show paired quality, stability, and entity/number results. Separating these dimensions is necessary because prior live-translation evaluations treat quality, lag, and stability as distinct objectives.</w:t>
      </w:r>
      <w:r>
        <w:t xml:space="preserve">[3]</w:t>
      </w:r>
      <w:r>
        <w:t xml:space="preserve"> </w:t>
      </w:r>
      <w:r>
        <w:t xml:space="preserve"> </w:t>
      </w:r>
      <w:r>
        <w:t xml:space="preserve">Close with the ablation showing which orchestration choice moved the frontier. Be explicit if a direction fails the quality non-inferiority gate: do not hide it in a pooled average.</w:t>
      </w:r>
    </w:p>
    <w:bookmarkEnd w:id="31"/>
    <w:bookmarkStart w:id="32" w:name="evidence-limits-and-assumptions"/>
    <w:p>
      <w:pPr>
        <w:pStyle w:val="Heading2"/>
      </w:pPr>
      <w:r>
        <w:t xml:space="preserve">Evidence limits and assumptions</w:t>
      </w:r>
    </w:p>
    <w:p>
      <w:pPr>
        <w:pStyle w:val="FirstParagraph"/>
      </w:pPr>
      <w:r>
        <w:t xml:space="preserve">Available simultaneous-translation studies establish useful design patterns, but the cited quantitative policy gains come from MuST-C directions such as English–German, Spanish, and French, not these Indic directions.</w:t>
      </w:r>
      <w:r>
        <w:t xml:space="preserve">[1]</w:t>
      </w:r>
      <w:r>
        <w:t xml:space="preserve"> </w:t>
      </w:r>
      <w:r>
        <w:t xml:space="preserve"> </w:t>
      </w:r>
      <w:r>
        <w:t xml:space="preserve">They do not establish expected BLEU, chrF++, or latency for Hindi, Tamil, Telugu, Kannada, and Malayalam under code-switching. The cited Indic ASR literature establishes relevant resource and code-mixing challenges, but does not directly compare all candidate live APIs on this challenge's held-out utterances. Consequently, the exact winning backend, per-language threshold, achievable latency, and whether a specific commercial service is accessible at the event remain empirical decision gates. The report assumes teams can use networked APIs, consistent with the brief; if connectivity is unreliable or data handling rules prohibit cloud audio, prioritize an on-device/open fallback and re-run the latency benchmark under that deployment condition.</w:t>
      </w:r>
    </w:p>
    <w:bookmarkEnd w:id="32"/>
    <w:bookmarkEnd w:id="33"/>
    <w:bookmarkStart w:id="55" w:name="bibliography"/>
    <w:p>
      <w:pPr>
        <w:pStyle w:val="Heading1"/>
      </w:pPr>
      <w:r>
        <w:t xml:space="preserve">References</w:t>
      </w:r>
    </w:p>
    <w:bookmarkStart w:id="54" w:name="refs"/>
    <w:bookmarkStart w:id="35" w:name="ref-ref-0"/>
    <w:p>
      <w:pPr>
        <w:pStyle w:val="Bibliography"/>
      </w:pPr>
      <w:r>
        <w:t xml:space="preserve">1.</w:t>
      </w:r>
      <w:r>
        <w:t xml:space="preserve"> </w:t>
      </w:r>
      <w:r>
        <w:t xml:space="preserve">	</w:t>
      </w:r>
      <w:r>
        <w:t xml:space="preserve">Chen X, Fan K, Luo W, et al (2024) Divergence-Guided Simultaneous Speech Translation. AAAI Conference on Artificial Intelligence.</w:t>
      </w:r>
      <w:r>
        <w:t xml:space="preserve"> </w:t>
      </w:r>
      <w:hyperlink r:id="rId34">
        <w:r>
          <w:rPr>
            <w:rStyle w:val="Hyperlink"/>
          </w:rPr>
          <w:t xml:space="preserve">https://doi.org/10.1609/aaai.v38i16.29733</w:t>
        </w:r>
      </w:hyperlink>
    </w:p>
    <w:bookmarkEnd w:id="35"/>
    <w:bookmarkStart w:id="37" w:name="ref-ref-1"/>
    <w:p>
      <w:pPr>
        <w:pStyle w:val="Bibliography"/>
      </w:pPr>
      <w:r>
        <w:t xml:space="preserve">2.</w:t>
      </w:r>
      <w:r>
        <w:t xml:space="preserve"> </w:t>
      </w:r>
      <w:r>
        <w:t xml:space="preserve">	</w:t>
      </w:r>
      <w:r>
        <w:t xml:space="preserve">Gemini 3.5 Live Translate  |  Gemini Enterprise Agent Platform  |  Google Cloud Documentation.</w:t>
      </w:r>
      <w:r>
        <w:t xml:space="preserve"> </w:t>
      </w:r>
      <w:hyperlink r:id="rId36">
        <w:r>
          <w:rPr>
            <w:rStyle w:val="Hyperlink"/>
          </w:rPr>
          <w:t xml:space="preserve">https://docs.cloud.google.com/gemini-enterprise-agent-platform/models/gemini/3-5-live-translate</w:t>
        </w:r>
      </w:hyperlink>
    </w:p>
    <w:bookmarkEnd w:id="37"/>
    <w:bookmarkStart w:id="39" w:name="ref-ref-2"/>
    <w:p>
      <w:pPr>
        <w:pStyle w:val="Bibliography"/>
      </w:pPr>
      <w:r>
        <w:t xml:space="preserve">3.</w:t>
      </w:r>
      <w:r>
        <w:t xml:space="preserve"> </w:t>
      </w:r>
      <w:r>
        <w:t xml:space="preserve">	</w:t>
      </w:r>
      <w:r>
        <w:t xml:space="preserve">Arivazhagan N, Cherry C, I T, et al (2019) Re-Translation Strategies for Long Form, Simultaneous, Spoken Language Translation. IEEE International Conference on Acoustics, Speech, and Signal Processing.</w:t>
      </w:r>
      <w:r>
        <w:t xml:space="preserve"> </w:t>
      </w:r>
      <w:hyperlink r:id="rId38">
        <w:r>
          <w:rPr>
            <w:rStyle w:val="Hyperlink"/>
          </w:rPr>
          <w:t xml:space="preserve">https://doi.org/10.1109/ICASSP40776.2020.9054585</w:t>
        </w:r>
      </w:hyperlink>
    </w:p>
    <w:bookmarkEnd w:id="39"/>
    <w:bookmarkStart w:id="41" w:name="ref-ref-3"/>
    <w:p>
      <w:pPr>
        <w:pStyle w:val="Bibliography"/>
      </w:pPr>
      <w:r>
        <w:t xml:space="preserve">4.</w:t>
      </w:r>
      <w:r>
        <w:t xml:space="preserve"> </w:t>
      </w:r>
      <w:r>
        <w:t xml:space="preserve">	</w:t>
      </w:r>
      <w:r>
        <w:t xml:space="preserve">Mhaskar S, Bhat V, Batheja A, et al (2023) VAKTA-SETU: A Speech-to-Speech Machine Translation Service in Select Indic Languages. arXivorg.</w:t>
      </w:r>
      <w:r>
        <w:t xml:space="preserve"> </w:t>
      </w:r>
      <w:hyperlink r:id="rId40">
        <w:r>
          <w:rPr>
            <w:rStyle w:val="Hyperlink"/>
          </w:rPr>
          <w:t xml:space="preserve">https://doi.org/10.48550/arXiv.2305.12518</w:t>
        </w:r>
      </w:hyperlink>
    </w:p>
    <w:bookmarkEnd w:id="41"/>
    <w:bookmarkStart w:id="43" w:name="ref-ref-4"/>
    <w:p>
      <w:pPr>
        <w:pStyle w:val="Bibliography"/>
      </w:pPr>
      <w:r>
        <w:t xml:space="preserve">5.</w:t>
      </w:r>
      <w:r>
        <w:t xml:space="preserve"> </w:t>
      </w:r>
      <w:r>
        <w:t xml:space="preserve">	</w:t>
      </w:r>
      <w:r>
        <w:t xml:space="preserve">Singh D, Anand A, Chaturvedi A, Baliyan N (2024) IWSLT 2024 Indic Track system description paper: Speech-to-Text Translation from English to multiple Low-Resource Indian Languages. International Workshop on Spoken Language Translation.</w:t>
      </w:r>
      <w:r>
        <w:t xml:space="preserve"> </w:t>
      </w:r>
      <w:hyperlink r:id="rId42">
        <w:r>
          <w:rPr>
            <w:rStyle w:val="Hyperlink"/>
          </w:rPr>
          <w:t xml:space="preserve">https://doi.org/10.18653/v1/2024.iwslt-1.37</w:t>
        </w:r>
      </w:hyperlink>
    </w:p>
    <w:bookmarkEnd w:id="43"/>
    <w:bookmarkStart w:id="45" w:name="ref-ref-5"/>
    <w:p>
      <w:pPr>
        <w:pStyle w:val="Bibliography"/>
      </w:pPr>
      <w:r>
        <w:t xml:space="preserve">6.</w:t>
      </w:r>
      <w:r>
        <w:t xml:space="preserve"> </w:t>
      </w:r>
      <w:r>
        <w:t xml:space="preserve">	</w:t>
      </w:r>
      <w:r>
        <w:t xml:space="preserve">Diwan A, Vaideeswaran R, Shah S, et al (2021) Multilingual and code-switching ASR challenges for low resource Indian languages. Interspeech.</w:t>
      </w:r>
      <w:r>
        <w:t xml:space="preserve"> </w:t>
      </w:r>
      <w:hyperlink r:id="rId44">
        <w:r>
          <w:rPr>
            <w:rStyle w:val="Hyperlink"/>
          </w:rPr>
          <w:t xml:space="preserve">https://doi.org/10.21437/Interspeech.2021-1339</w:t>
        </w:r>
      </w:hyperlink>
    </w:p>
    <w:bookmarkEnd w:id="45"/>
    <w:bookmarkStart w:id="47" w:name="ref-ref-6"/>
    <w:p>
      <w:pPr>
        <w:pStyle w:val="Bibliography"/>
      </w:pPr>
      <w:r>
        <w:t xml:space="preserve">7.</w:t>
      </w:r>
      <w:r>
        <w:t xml:space="preserve"> </w:t>
      </w:r>
      <w:r>
        <w:t xml:space="preserve">	</w:t>
      </w:r>
      <w:r>
        <w:t xml:space="preserve">Javed T, Bhogale K, Raman A, et al (2022) IndicSUPERB: A Speech Processing Universal Performance Benchmark for Indian languages. AAAI Conference on Artificial Intelligence.</w:t>
      </w:r>
      <w:r>
        <w:t xml:space="preserve"> </w:t>
      </w:r>
      <w:hyperlink r:id="rId46">
        <w:r>
          <w:rPr>
            <w:rStyle w:val="Hyperlink"/>
          </w:rPr>
          <w:t xml:space="preserve">https://doi.org/10.48550/arXiv.2208.11761</w:t>
        </w:r>
      </w:hyperlink>
    </w:p>
    <w:bookmarkEnd w:id="47"/>
    <w:bookmarkStart w:id="49" w:name="ref-ref-7"/>
    <w:p>
      <w:pPr>
        <w:pStyle w:val="Bibliography"/>
      </w:pPr>
      <w:r>
        <w:t xml:space="preserve">8.</w:t>
      </w:r>
      <w:r>
        <w:t xml:space="preserve"> </w:t>
      </w:r>
      <w:r>
        <w:t xml:space="preserve">	</w:t>
      </w:r>
      <w:r>
        <w:t xml:space="preserve">Ahmed Z, Seide F, Moritz N, et al (2025) Overcoming Latency Bottlenecks in On-Device Speech Translation: A Cascaded Approach with Alignment-Based Streaming MT. arXivorg.</w:t>
      </w:r>
      <w:r>
        <w:t xml:space="preserve"> </w:t>
      </w:r>
      <w:hyperlink r:id="rId48">
        <w:r>
          <w:rPr>
            <w:rStyle w:val="Hyperlink"/>
          </w:rPr>
          <w:t xml:space="preserve">https://doi.org/10.48550/arXiv.2508.13358</w:t>
        </w:r>
      </w:hyperlink>
    </w:p>
    <w:bookmarkEnd w:id="49"/>
    <w:bookmarkStart w:id="51" w:name="ref-ref-8"/>
    <w:p>
      <w:pPr>
        <w:pStyle w:val="Bibliography"/>
      </w:pPr>
      <w:r>
        <w:t xml:space="preserve">9.</w:t>
      </w:r>
      <w:r>
        <w:t xml:space="preserve"> </w:t>
      </w:r>
      <w:r>
        <w:t xml:space="preserve">	</w:t>
      </w:r>
      <w:r>
        <w:t xml:space="preserve">Zhang Y, Weiss RJ, Zen H, et al (2019) Learning to Speak Fluently in a Foreign Language: Multilingual Speech Synthesis and Cross-Language Voice Cloning. Interspeech.</w:t>
      </w:r>
      <w:r>
        <w:t xml:space="preserve"> </w:t>
      </w:r>
      <w:hyperlink r:id="rId50">
        <w:r>
          <w:rPr>
            <w:rStyle w:val="Hyperlink"/>
          </w:rPr>
          <w:t xml:space="preserve">https://doi.org/10.21437/interspeech.2019-2668</w:t>
        </w:r>
      </w:hyperlink>
    </w:p>
    <w:bookmarkEnd w:id="51"/>
    <w:bookmarkStart w:id="53" w:name="ref-ref-9"/>
    <w:p>
      <w:pPr>
        <w:pStyle w:val="Bibliography"/>
      </w:pPr>
      <w:r>
        <w:t xml:space="preserve">10.</w:t>
      </w:r>
      <w:r>
        <w:t xml:space="preserve"> </w:t>
      </w:r>
      <w:r>
        <w:t xml:space="preserve">	</w:t>
      </w:r>
      <w:r>
        <w:t xml:space="preserve">Iranzo-Sánchez J, Saiz JC, Juan-Císcar A (2021) Stream-level Latency Evaluation for Simultaneous Machine Translation. Conference on Empirical Methods in Natural Language Processing.</w:t>
      </w:r>
      <w:r>
        <w:t xml:space="preserve"> </w:t>
      </w:r>
      <w:hyperlink r:id="rId52">
        <w:r>
          <w:rPr>
            <w:rStyle w:val="Hyperlink"/>
          </w:rPr>
          <w:t xml:space="preserve">https://doi.org/10.18653/v1/2021.findings-emnlp.58</w:t>
        </w:r>
      </w:hyperlink>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https://docs.cloud.google.com/gemini-enterprise-agent-platform/models/gemini/3-5-live-translate" TargetMode="External" /><Relationship Type="http://schemas.openxmlformats.org/officeDocument/2006/relationships/hyperlink" Id="rId38" Target="https://doi.org/10.1109/ICASSP40776.2020.9054585" TargetMode="External" /><Relationship Type="http://schemas.openxmlformats.org/officeDocument/2006/relationships/hyperlink" Id="rId34" Target="https://doi.org/10.1609/aaai.v38i16.29733" TargetMode="External" /><Relationship Type="http://schemas.openxmlformats.org/officeDocument/2006/relationships/hyperlink" Id="rId52" Target="https://doi.org/10.18653/v1/2021.findings-emnlp.58" TargetMode="External" /><Relationship Type="http://schemas.openxmlformats.org/officeDocument/2006/relationships/hyperlink" Id="rId42" Target="https://doi.org/10.18653/v1/2024.iwslt-1.37" TargetMode="External" /><Relationship Type="http://schemas.openxmlformats.org/officeDocument/2006/relationships/hyperlink" Id="rId44" Target="https://doi.org/10.21437/Interspeech.2021-1339" TargetMode="External" /><Relationship Type="http://schemas.openxmlformats.org/officeDocument/2006/relationships/hyperlink" Id="rId50" Target="https://doi.org/10.21437/interspeech.2019-2668" TargetMode="External" /><Relationship Type="http://schemas.openxmlformats.org/officeDocument/2006/relationships/hyperlink" Id="rId46" Target="https://doi.org/10.48550/arXiv.2208.11761" TargetMode="External" /><Relationship Type="http://schemas.openxmlformats.org/officeDocument/2006/relationships/hyperlink" Id="rId40" Target="https://doi.org/10.48550/arXiv.2305.12518" TargetMode="External" /><Relationship Type="http://schemas.openxmlformats.org/officeDocument/2006/relationships/hyperlink" Id="rId48" Target="https://doi.org/10.48550/arXiv.2508.13358" TargetMode="External" /></Relationships>
</file>

<file path=word/_rels/footnotes.xml.rels><?xml version="1.0" encoding="UTF-8"?><Relationships xmlns="http://schemas.openxmlformats.org/package/2006/relationships"><Relationship Type="http://schemas.openxmlformats.org/officeDocument/2006/relationships/hyperlink" Id="rId36" Target="https://docs.cloud.google.com/gemini-enterprise-agent-platform/models/gemini/3-5-live-translate" TargetMode="External" /><Relationship Type="http://schemas.openxmlformats.org/officeDocument/2006/relationships/hyperlink" Id="rId38" Target="https://doi.org/10.1109/ICASSP40776.2020.9054585" TargetMode="External" /><Relationship Type="http://schemas.openxmlformats.org/officeDocument/2006/relationships/hyperlink" Id="rId34" Target="https://doi.org/10.1609/aaai.v38i16.29733" TargetMode="External" /><Relationship Type="http://schemas.openxmlformats.org/officeDocument/2006/relationships/hyperlink" Id="rId52" Target="https://doi.org/10.18653/v1/2021.findings-emnlp.58" TargetMode="External" /><Relationship Type="http://schemas.openxmlformats.org/officeDocument/2006/relationships/hyperlink" Id="rId42" Target="https://doi.org/10.18653/v1/2024.iwslt-1.37" TargetMode="External" /><Relationship Type="http://schemas.openxmlformats.org/officeDocument/2006/relationships/hyperlink" Id="rId44" Target="https://doi.org/10.21437/Interspeech.2021-1339" TargetMode="External" /><Relationship Type="http://schemas.openxmlformats.org/officeDocument/2006/relationships/hyperlink" Id="rId50" Target="https://doi.org/10.21437/interspeech.2019-2668" TargetMode="External" /><Relationship Type="http://schemas.openxmlformats.org/officeDocument/2006/relationships/hyperlink" Id="rId46" Target="https://doi.org/10.48550/arXiv.2208.11761" TargetMode="External" /><Relationship Type="http://schemas.openxmlformats.org/officeDocument/2006/relationships/hyperlink" Id="rId40" Target="https://doi.org/10.48550/arXiv.2305.12518" TargetMode="External" /><Relationship Type="http://schemas.openxmlformats.org/officeDocument/2006/relationships/hyperlink" Id="rId48" Target="https://doi.org/10.48550/arXiv.2508.1335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2026-10-08T06:11:04Z</dcterms:created>
  <dcterms:modified xsi:type="dcterms:W3CDTF">2026-10-08T06:11:04Z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/code/chef/pandoc/springer-basic-brackets.csl</vt:lpwstr>
  </property>
  <property fmtid="{D5CDD505-2E9C-101B-9397-08002B2CF9AE}" pid="3" name="nocite">
    <vt:lpwstr>@*</vt:lpwstr>
  </property>
  <property fmtid="{D5CDD505-2E9C-101B-9397-08002B2CF9AE}" pid="4" name="reference-section-title">
    <vt:lpwstr>References</vt:lpwstr>
  </property>
  <property fmtid="{D5CDD505-2E9C-101B-9397-08002B2CF9AE}" pid="5" name="references">
    <vt:lpwstr/>
  </property>
</Properties>
</file>