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2"/>
          <w:szCs w:val="42"/>
        </w:rPr>
        <w:t xml:space="preserve">DOMAIN STUDY</w:t>
      </w:r>
    </w:p>
    <w:p>
      <w:pPr>
        <w:spacing w:after="40"/>
      </w:pPr>
      <w:r>
        <w:rPr>
          <w:rFonts w:ascii="Arial" w:cs="Arial" w:eastAsia="Arial" w:hAnsi="Arial"/>
          <w:color w:val="888888"/>
          <w:sz w:val="22"/>
          <w:szCs w:val="22"/>
        </w:rPr>
        <w:t xml:space="preserve">California Invasion of Privacy Act — Research &amp; Legal Grounding</w:t>
      </w:r>
    </w:p>
    <w:p>
      <w:pPr>
        <w:spacing w:after="240"/>
      </w:pPr>
      <w:r>
        <w:rPr>
          <w:rFonts w:ascii="Arial" w:cs="Arial" w:eastAsia="Arial" w:hAnsi="Arial"/>
          <w:color w:val="888888"/>
          <w:sz w:val="18"/>
          <w:szCs w:val="18"/>
        </w:rPr>
        <w:t xml:space="preserve">CIPA Investigator Skill  |  Koladin</w:t>
      </w:r>
    </w:p>
    <w:p>
      <w:pPr>
        <w:pBdr>
          <w:bottom w:val="single" w:color="DDDDDD" w:sz="4"/>
        </w:pBdr>
        <w:spacing w:after="200" w:before="200"/>
      </w:pPr>
    </w:p>
    <w:p>
      <w:pPr>
        <w:pStyle w:val="Heading1"/>
        <w:spacing w:after="120" w:before="360"/>
      </w:pPr>
      <w:r>
        <w:rPr>
          <w:rFonts w:ascii="Arial" w:cs="Arial" w:eastAsia="Arial" w:hAnsi="Arial"/>
          <w:b/>
          <w:bCs/>
          <w:color w:val="1a1a2e"/>
          <w:sz w:val="32"/>
          <w:szCs w:val="32"/>
        </w:rPr>
        <w:t xml:space="preserve">1. What Is CIPA?</w:t>
      </w:r>
    </w:p>
    <w:p>
      <w:pPr>
        <w:spacing w:after="120"/>
      </w:pPr>
      <w:r>
        <w:rPr>
          <w:rFonts w:ascii="Arial" w:cs="Arial" w:eastAsia="Arial" w:hAnsi="Arial"/>
          <w:sz w:val="20"/>
          <w:szCs w:val="20"/>
        </w:rPr>
        <w:t xml:space="preserve">The California Invasion of Privacy Act (CIPA), codified in the California Penal Code, is one of the strongest electronic privacy statutes in the United States. Originally enacted in 1967 to address telephone wiretapping, it has been progressively applied by courts and plaintiffs' attorneys to modern web tracking technologies since the early 2010s.</w:t>
      </w:r>
    </w:p>
    <w:p>
      <w:pPr>
        <w:spacing w:after="120"/>
      </w:pPr>
      <w:r>
        <w:rPr>
          <w:rFonts w:ascii="Arial" w:cs="Arial" w:eastAsia="Arial" w:hAnsi="Arial"/>
          <w:sz w:val="20"/>
          <w:szCs w:val="20"/>
        </w:rPr>
        <w:t xml:space="preserve">CIPA is a strict-liability statute — meaning intent does not need to be proven. If a third-party tracker fires on a California user without prior consent, the violation is complete. Each violation carries statutory damages of $5,000 per incident, with no cap on aggregate claims.</w:t>
      </w:r>
    </w:p>
    <w:p>
      <w:pPr>
        <w:spacing w:after="120"/>
      </w:pPr>
      <w:r>
        <w:rPr>
          <w:rFonts w:ascii="Arial" w:cs="Arial" w:eastAsia="Arial" w:hAnsi="Arial"/>
          <w:sz w:val="20"/>
          <w:szCs w:val="20"/>
        </w:rPr>
        <w:t xml:space="preserve">This skill focuses exclusively on two sections of CIPA most directly applicable to website tracking:</w:t>
      </w:r>
    </w:p>
    <w:p>
      <w:pPr>
        <w:spacing w:after="80"/>
        <w:ind w:left="360"/>
      </w:pPr>
      <w:r>
        <w:rPr>
          <w:rFonts w:ascii="Arial" w:cs="Arial" w:eastAsia="Arial" w:hAnsi="Arial"/>
          <w:sz w:val="20"/>
          <w:szCs w:val="20"/>
        </w:rPr>
        <w:t xml:space="preserve">•  California Penal Code §631 — Wiretapping and interception of communication contents</w:t>
      </w:r>
    </w:p>
    <w:p>
      <w:pPr>
        <w:spacing w:after="80"/>
        <w:ind w:left="360"/>
      </w:pPr>
      <w:r>
        <w:rPr>
          <w:rFonts w:ascii="Arial" w:cs="Arial" w:eastAsia="Arial" w:hAnsi="Arial"/>
          <w:sz w:val="20"/>
          <w:szCs w:val="20"/>
        </w:rPr>
        <w:t xml:space="preserve">•  California Penal Code §638.51 — Unlawful installation or use of pen register or trap and trace devices</w:t>
      </w:r>
    </w:p>
    <w:p>
      <w:pPr>
        <w:spacing w:after="0"/>
      </w:pPr>
    </w:p>
    <w:p>
      <w:pPr>
        <w:pStyle w:val="Heading1"/>
        <w:spacing w:after="120" w:before="360"/>
      </w:pPr>
      <w:r>
        <w:rPr>
          <w:rFonts w:ascii="Arial" w:cs="Arial" w:eastAsia="Arial" w:hAnsi="Arial"/>
          <w:b/>
          <w:bCs/>
          <w:color w:val="1a1a2e"/>
          <w:sz w:val="32"/>
          <w:szCs w:val="32"/>
        </w:rPr>
        <w:t xml:space="preserve">2. Section §631 — Wiretap Violations</w:t>
      </w:r>
    </w:p>
    <w:p>
      <w:pPr>
        <w:pStyle w:val="Heading2"/>
        <w:spacing w:after="80" w:before="240"/>
      </w:pPr>
      <w:r>
        <w:rPr>
          <w:rFonts w:ascii="Arial" w:cs="Arial" w:eastAsia="Arial" w:hAnsi="Arial"/>
          <w:b/>
          <w:bCs/>
          <w:color w:val="c0392b"/>
          <w:sz w:val="24"/>
          <w:szCs w:val="24"/>
        </w:rPr>
        <w:t xml:space="preserve">What the statute says</w:t>
      </w:r>
    </w:p>
    <w:p>
      <w:pPr>
        <w:spacing w:after="120"/>
      </w:pPr>
      <w:r>
        <w:rPr>
          <w:rFonts w:ascii="Arial" w:cs="Arial" w:eastAsia="Arial" w:hAnsi="Arial"/>
          <w:sz w:val="20"/>
          <w:szCs w:val="20"/>
        </w:rPr>
        <w:t xml:space="preserve">§631(a) prohibits any person from intentionally tapping, or making any unauthorized connection with, any telegraph or telephone wire, line, cable, or instrument — or from reading or attempting to read the contents of any message or communication while it is in transit, without the consent of all parties to the communication.</w:t>
      </w:r>
    </w:p>
    <w:p>
      <w:pPr>
        <w:pStyle w:val="Heading2"/>
        <w:spacing w:after="80" w:before="240"/>
      </w:pPr>
      <w:r>
        <w:rPr>
          <w:rFonts w:ascii="Arial" w:cs="Arial" w:eastAsia="Arial" w:hAnsi="Arial"/>
          <w:b/>
          <w:bCs/>
          <w:color w:val="c0392b"/>
          <w:sz w:val="24"/>
          <w:szCs w:val="24"/>
        </w:rPr>
        <w:t xml:space="preserve">How it applies to websites</w:t>
      </w:r>
    </w:p>
    <w:p>
      <w:pPr>
        <w:spacing w:after="120"/>
      </w:pPr>
      <w:r>
        <w:rPr>
          <w:rFonts w:ascii="Arial" w:cs="Arial" w:eastAsia="Arial" w:hAnsi="Arial"/>
          <w:sz w:val="20"/>
          <w:szCs w:val="20"/>
        </w:rPr>
        <w:t xml:space="preserve">Courts have extended §631 to session replay tools — third-party JavaScript libraries that intercept the contents of a user's interaction with a website in real time. These tools record keystrokes, mouse movements, form inputs, and scroll behavior, and transmit this data to a third-party server.</w:t>
      </w:r>
    </w:p>
    <w:p>
      <w:pPr>
        <w:spacing w:after="120"/>
      </w:pPr>
      <w:r>
        <w:rPr>
          <w:rFonts w:ascii="Arial" w:cs="Arial" w:eastAsia="Arial" w:hAnsi="Arial"/>
          <w:sz w:val="20"/>
          <w:szCs w:val="20"/>
        </w:rPr>
        <w:t xml:space="preserve">The key statutory element is content interception. A §631 violation requires that the third party is recording what the user is communicating, not merely that they visited a page.</w:t>
      </w:r>
    </w:p>
    <w:p>
      <w:pPr>
        <w:pStyle w:val="Heading2"/>
        <w:spacing w:after="80" w:before="240"/>
      </w:pPr>
      <w:r>
        <w:rPr>
          <w:rFonts w:ascii="Arial" w:cs="Arial" w:eastAsia="Arial" w:hAnsi="Arial"/>
          <w:b/>
          <w:bCs/>
          <w:color w:val="c0392b"/>
          <w:sz w:val="24"/>
          <w:szCs w:val="24"/>
        </w:rPr>
        <w:t xml:space="preserve">Tools that trigger §631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Hotjar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Records mouse movements, clicks, scrolls, and form inputs. Offers session replay video.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FullStory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Records complete DOM state and all user interactions. Used heavily in SaaS products.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Microsoft Clarity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Free session replay tool by Microsoft. Captures heatmaps and session recordings.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Mouseflow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Session replay and funnel analysis. Records keystrokes including deleted text.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LogRocket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Developer-focused replay tool that also captures console logs and network requests.</w:t>
            </w:r>
          </w:p>
        </w:tc>
      </w:tr>
    </w:tbl>
    <w:p>
      <w:pPr>
        <w:spacing w:after="160"/>
      </w:pPr>
    </w:p>
    <w:p>
      <w:pPr>
        <w:pStyle w:val="Heading1"/>
        <w:spacing w:after="120" w:before="360"/>
      </w:pPr>
      <w:r>
        <w:rPr>
          <w:rFonts w:ascii="Arial" w:cs="Arial" w:eastAsia="Arial" w:hAnsi="Arial"/>
          <w:b/>
          <w:bCs/>
          <w:color w:val="1a1a2e"/>
          <w:sz w:val="32"/>
          <w:szCs w:val="32"/>
        </w:rPr>
        <w:t xml:space="preserve">3. Section §638.51 — Pen Register Violations</w:t>
      </w:r>
    </w:p>
    <w:p>
      <w:pPr>
        <w:pStyle w:val="Heading2"/>
        <w:spacing w:after="80" w:before="240"/>
      </w:pPr>
      <w:r>
        <w:rPr>
          <w:rFonts w:ascii="Arial" w:cs="Arial" w:eastAsia="Arial" w:hAnsi="Arial"/>
          <w:b/>
          <w:bCs/>
          <w:color w:val="c0392b"/>
          <w:sz w:val="24"/>
          <w:szCs w:val="24"/>
        </w:rPr>
        <w:t xml:space="preserve">What the statute says</w:t>
      </w:r>
    </w:p>
    <w:p>
      <w:pPr>
        <w:spacing w:after="120"/>
      </w:pPr>
      <w:r>
        <w:rPr>
          <w:rFonts w:ascii="Arial" w:cs="Arial" w:eastAsia="Arial" w:hAnsi="Arial"/>
          <w:sz w:val="20"/>
          <w:szCs w:val="20"/>
        </w:rPr>
        <w:t xml:space="preserve">§638.51(a) prohibits any person from installing or using a pen register or trap and trace device without a court order, or without the consent of the user. §638.50(b) defines a pen register as any device or process that records or decodes dialing, routing, addressing, or signaling information transmitted by an instrument or facility from which a wire or electronic communication is transmitted.</w:t>
      </w:r>
    </w:p>
    <w:p>
      <w:pPr>
        <w:pStyle w:val="Heading2"/>
        <w:spacing w:after="80" w:before="240"/>
      </w:pPr>
      <w:r>
        <w:rPr>
          <w:rFonts w:ascii="Arial" w:cs="Arial" w:eastAsia="Arial" w:hAnsi="Arial"/>
          <w:b/>
          <w:bCs/>
          <w:color w:val="c0392b"/>
          <w:sz w:val="24"/>
          <w:szCs w:val="24"/>
        </w:rPr>
        <w:t xml:space="preserve">How it applies to websites</w:t>
      </w:r>
    </w:p>
    <w:p>
      <w:pPr>
        <w:spacing w:after="120"/>
      </w:pPr>
      <w:r>
        <w:rPr>
          <w:rFonts w:ascii="Arial" w:cs="Arial" w:eastAsia="Arial" w:hAnsi="Arial"/>
          <w:sz w:val="20"/>
          <w:szCs w:val="20"/>
        </w:rPr>
        <w:t xml:space="preserve">Advertising and analytics pixels function as pen registers by recording the routing and addressing signals generated by a user's browser. Every time a user navigates to a page, these tools capture the URL, referrer, session identifiers, device fingerprints, and behavioral signals — and transmit them to third-party servers for ad targeting and attribution.</w:t>
      </w:r>
    </w:p>
    <w:p>
      <w:pPr>
        <w:spacing w:after="120"/>
      </w:pPr>
      <w:r>
        <w:rPr>
          <w:rFonts w:ascii="Arial" w:cs="Arial" w:eastAsia="Arial" w:hAnsi="Arial"/>
          <w:sz w:val="20"/>
          <w:szCs w:val="20"/>
        </w:rPr>
        <w:t xml:space="preserve">Critically, §638.51 does not require recording of content. The mere interception of routing and addressing metadata — which URLs you visited, in what sequence, at what time — is sufficient to constitute a violation.</w:t>
      </w:r>
    </w:p>
    <w:p>
      <w:pPr>
        <w:pStyle w:val="Heading2"/>
        <w:spacing w:after="80" w:before="240"/>
      </w:pPr>
      <w:r>
        <w:rPr>
          <w:rFonts w:ascii="Arial" w:cs="Arial" w:eastAsia="Arial" w:hAnsi="Arial"/>
          <w:b/>
          <w:bCs/>
          <w:color w:val="c0392b"/>
          <w:sz w:val="24"/>
          <w:szCs w:val="24"/>
        </w:rPr>
        <w:t xml:space="preserve">Tools that trigger §638.51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Meta Pixel</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Records page URLs, referrers, and browser fingerprints. Transmits to Facebook/Meta servers.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Google Tag Manager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Orchestration layer that deploys multiple tracking scripts. Itself constitutes a pen register.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Google Analytics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Records page paths, session durations, and user identifiers. Transmits to Google servers.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Google DoubleClick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Advertising conversion tracking. Captures unique user identifiers across sessions.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TikTok Pixel</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Records page views, navigation signals, and behavioral events for ad targeting.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Snapchat Pixel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Records page visits and routing data. Transmits to Snap Inc. servers.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Pinterest Tag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Records page visit events and navigation sequences. Transmits to Pinterest servers.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LinkedIn Insight Tag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Records page visits and demographic signals for B2B ad targeting.</w:t>
            </w:r>
          </w:p>
        </w:tc>
      </w:tr>
    </w:tbl>
    <w:p>
      <w:pPr>
        <w:spacing w:after="160"/>
      </w:pPr>
    </w:p>
    <w:p>
      <w:pPr>
        <w:pStyle w:val="Heading1"/>
        <w:spacing w:after="120" w:before="360"/>
      </w:pPr>
      <w:r>
        <w:rPr>
          <w:rFonts w:ascii="Arial" w:cs="Arial" w:eastAsia="Arial" w:hAnsi="Arial"/>
          <w:b/>
          <w:bCs/>
          <w:color w:val="1a1a2e"/>
          <w:sz w:val="32"/>
          <w:szCs w:val="32"/>
        </w:rPr>
        <w:t xml:space="preserve">4. The Consent Requirement</w:t>
      </w:r>
    </w:p>
    <w:p>
      <w:pPr>
        <w:spacing w:after="120"/>
      </w:pPr>
      <w:r>
        <w:rPr>
          <w:rFonts w:ascii="Arial" w:cs="Arial" w:eastAsia="Arial" w:hAnsi="Arial"/>
          <w:sz w:val="20"/>
          <w:szCs w:val="20"/>
        </w:rPr>
        <w:t xml:space="preserve">CIPA requires consent to be obtained before interception begins. This is the all-party consent standard — unlike federal wiretap law which only requires one-party consent, CIPA requires all parties to a communication to consent prior to any interception.</w:t>
      </w:r>
    </w:p>
    <w:p>
      <w:pPr>
        <w:spacing w:after="120"/>
      </w:pPr>
      <w:r>
        <w:rPr>
          <w:rFonts w:ascii="Arial" w:cs="Arial" w:eastAsia="Arial" w:hAnsi="Arial"/>
          <w:sz w:val="20"/>
          <w:szCs w:val="20"/>
        </w:rPr>
        <w:t xml:space="preserve">In practice, this means:</w:t>
      </w:r>
    </w:p>
    <w:p>
      <w:pPr>
        <w:spacing w:after="80"/>
        <w:ind w:left="360"/>
      </w:pPr>
      <w:r>
        <w:rPr>
          <w:rFonts w:ascii="Arial" w:cs="Arial" w:eastAsia="Arial" w:hAnsi="Arial"/>
          <w:sz w:val="20"/>
          <w:szCs w:val="20"/>
        </w:rPr>
        <w:t xml:space="preserve">•  A privacy policy link in the footer does not constitute valid consent under CIPA.</w:t>
      </w:r>
    </w:p>
    <w:p>
      <w:pPr>
        <w:spacing w:after="80"/>
        <w:ind w:left="360"/>
      </w:pPr>
      <w:r>
        <w:rPr>
          <w:rFonts w:ascii="Arial" w:cs="Arial" w:eastAsia="Arial" w:hAnsi="Arial"/>
          <w:sz w:val="20"/>
          <w:szCs w:val="20"/>
        </w:rPr>
        <w:t xml:space="preserve">•  A cookie banner that appears after trackers have already fired is legally too late.</w:t>
      </w:r>
    </w:p>
    <w:p>
      <w:pPr>
        <w:spacing w:after="80"/>
        <w:ind w:left="360"/>
      </w:pPr>
      <w:r>
        <w:rPr>
          <w:rFonts w:ascii="Arial" w:cs="Arial" w:eastAsia="Arial" w:hAnsi="Arial"/>
          <w:sz w:val="20"/>
          <w:szCs w:val="20"/>
        </w:rPr>
        <w:t xml:space="preserve">•  Implied consent — continuing to use the website — has been rejected by California courts in the tracking context.</w:t>
      </w:r>
    </w:p>
    <w:p>
      <w:pPr>
        <w:spacing w:after="80"/>
        <w:ind w:left="360"/>
      </w:pPr>
      <w:r>
        <w:rPr>
          <w:rFonts w:ascii="Arial" w:cs="Arial" w:eastAsia="Arial" w:hAnsi="Arial"/>
          <w:sz w:val="20"/>
          <w:szCs w:val="20"/>
        </w:rPr>
        <w:t xml:space="preserve">•  Valid consent must be affirmative, informed, and obtained before any data collection begins.</w:t>
      </w:r>
    </w:p>
    <w:p>
      <w:pPr>
        <w:spacing w:after="120"/>
      </w:pPr>
      <w:r>
        <w:rPr>
          <w:rFonts w:ascii="Arial" w:cs="Arial" w:eastAsia="Arial" w:hAnsi="Arial"/>
          <w:sz w:val="20"/>
          <w:szCs w:val="20"/>
        </w:rPr>
        <w:t xml:space="preserve">The absence of a pre-session consent mechanism is the central evidentiary finding in a CIPA action. Our tool records the precise timestamp of every tracker request and compares it against the timestamp of any detected consent banner.</w:t>
      </w:r>
    </w:p>
    <w:p>
      <w:pPr>
        <w:pStyle w:val="Heading1"/>
        <w:spacing w:after="120" w:before="360"/>
      </w:pPr>
      <w:r>
        <w:rPr>
          <w:rFonts w:ascii="Arial" w:cs="Arial" w:eastAsia="Arial" w:hAnsi="Arial"/>
          <w:b/>
          <w:bCs/>
          <w:color w:val="1a1a2e"/>
          <w:sz w:val="32"/>
          <w:szCs w:val="32"/>
        </w:rPr>
        <w:t xml:space="preserve">5. Jurisdiction — Why California?</w:t>
      </w:r>
    </w:p>
    <w:p>
      <w:pPr>
        <w:spacing w:after="120"/>
      </w:pPr>
      <w:r>
        <w:rPr>
          <w:rFonts w:ascii="Arial" w:cs="Arial" w:eastAsia="Arial" w:hAnsi="Arial"/>
          <w:sz w:val="20"/>
          <w:szCs w:val="20"/>
        </w:rPr>
        <w:t xml:space="preserve">CIPA applies to any electronic communication that originates from or is directed to a person in California. The user's physical location at the time of the communication determines jurisdiction — not the location of the website operator or the tracking company.</w:t>
      </w:r>
    </w:p>
    <w:p>
      <w:pPr>
        <w:spacing w:after="120"/>
      </w:pPr>
      <w:r>
        <w:rPr>
          <w:rFonts w:ascii="Arial" w:cs="Arial" w:eastAsia="Arial" w:hAnsi="Arial"/>
          <w:sz w:val="20"/>
          <w:szCs w:val="20"/>
        </w:rPr>
        <w:t xml:space="preserve">Our tool simulates a California user by setting the browser geolocation to Los Angeles (34.0522°N, 118.2437°W) and using a California timezone (America/Los_Angeles). This establishes the legal basis for CIPA jurisdiction over every scan session.</w:t>
      </w:r>
    </w:p>
    <w:p>
      <w:pPr>
        <w:spacing w:after="120"/>
      </w:pPr>
      <w:r>
        <w:rPr>
          <w:rFonts w:ascii="Arial" w:cs="Arial" w:eastAsia="Arial" w:hAnsi="Arial"/>
          <w:sz w:val="20"/>
          <w:szCs w:val="20"/>
        </w:rPr>
        <w:t xml:space="preserve">Note: IP-based geolocation (which some websites use to serve regional content) is separate from the browser's Geolocation API. Our California simulation is legally grounding for CIPA purposes. IP-based blocking is a site delivery limitation, not a legal defense.</w:t>
      </w:r>
    </w:p>
    <w:p>
      <w:pPr>
        <w:pStyle w:val="Heading1"/>
        <w:spacing w:after="120" w:before="360"/>
      </w:pPr>
      <w:r>
        <w:rPr>
          <w:rFonts w:ascii="Arial" w:cs="Arial" w:eastAsia="Arial" w:hAnsi="Arial"/>
          <w:b/>
          <w:bCs/>
          <w:color w:val="1a1a2e"/>
          <w:sz w:val="32"/>
          <w:szCs w:val="32"/>
        </w:rPr>
        <w:t xml:space="preserve">6. Key Legal Precedents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Javier v. Assurance IQ (2022)</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9th Circuit held that §631 applies to session replay tools embedded on websites. Plaintiffs need not allege actual harm — statutory damages apply per violation.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Yoon v. Lululemon (2022)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Applied §631 to chat widget interception. Third-party chat providers were found to be wiretapping parties.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In re Meta Pixel (2022)</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Class action applying §631 and §638.51 to Meta Pixel deployments on healthcare websites. Established that pixel tracking without consent is actionable.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8"/>
                <w:szCs w:val="18"/>
              </w:rPr>
              <w:t xml:space="preserve">Kneuss v. Mondelēz (2023)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Applied §638.51 pen register theory to advertising pixels. Confirmed that routing metadata capture without consent is independently actionable.</w:t>
            </w:r>
          </w:p>
        </w:tc>
      </w:tr>
    </w:tbl>
    <w:p>
      <w:pPr>
        <w:spacing w:after="160"/>
      </w:pPr>
    </w:p>
    <w:p>
      <w:pPr>
        <w:pStyle w:val="Heading1"/>
        <w:spacing w:after="120" w:before="360"/>
      </w:pPr>
      <w:r>
        <w:rPr>
          <w:rFonts w:ascii="Arial" w:cs="Arial" w:eastAsia="Arial" w:hAnsi="Arial"/>
          <w:b/>
          <w:bCs/>
          <w:color w:val="1a1a2e"/>
          <w:sz w:val="32"/>
          <w:szCs w:val="32"/>
        </w:rPr>
        <w:t xml:space="preserve">7. Summary</w:t>
      </w:r>
    </w:p>
    <w:p>
      <w:pPr>
        <w:spacing w:after="120"/>
      </w:pPr>
      <w:r>
        <w:rPr>
          <w:rFonts w:ascii="Arial" w:cs="Arial" w:eastAsia="Arial" w:hAnsi="Arial"/>
          <w:sz w:val="20"/>
          <w:szCs w:val="20"/>
        </w:rPr>
        <w:t xml:space="preserve">CIPA is a powerful tool for plaintiffs because it creates strict per-violation liability without requiring proof of actual harm. The statute's original focus on telephone wiretapping has been successfully extended to web tracking by courts interpreting the statute's broad language.</w:t>
      </w:r>
    </w:p>
    <w:p>
      <w:pPr>
        <w:spacing w:after="120"/>
      </w:pPr>
      <w:r>
        <w:rPr>
          <w:rFonts w:ascii="Arial" w:cs="Arial" w:eastAsia="Arial" w:hAnsi="Arial"/>
          <w:sz w:val="20"/>
          <w:szCs w:val="20"/>
        </w:rPr>
        <w:t xml:space="preserve">Our tool automates the detection and documentation of two categories of violations: §631 wiretap (session replay tools intercepting communication contents) and §638.51 pen register (advertising pixels recording routing and addressing metadata). Both categories are actionable under California law when deployed without prior all-party consent.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Arial" w:cs="Arial" w:eastAsia="Arial" w:hAnsi="Arial"/>
        <w:color w:val="888888"/>
        <w:sz w:val="18"/>
        <w:szCs w:val="18"/>
      </w:rPr>
      <w:t xml:space="preserve">CIPA Investigator — Domain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2026-07-02T09:27:19.827Z</dcterms:created>
  <dcterms:modified xsi:type="dcterms:W3CDTF">2026-07-02T09:27:19.828Z</dcterms:modified>
</cp:coreProperties>
</file>

<file path=docProps/custom.xml><?xml version="1.0" encoding="utf-8"?>
<Properties xmlns="http://schemas.openxmlformats.org/officeDocument/2006/custom-properties" xmlns:vt="http://schemas.openxmlformats.org/officeDocument/2006/docPropsVTypes"/>
</file>