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2"/>
          <w:szCs w:val="42"/>
        </w:rPr>
        <w:t xml:space="preserve">TECHNICAL DESIGN DOCUMENT</w:t>
      </w:r>
    </w:p>
    <w:p>
      <w:pPr>
        <w:spacing w:after="40"/>
      </w:pPr>
      <w:r>
        <w:rPr>
          <w:rFonts w:ascii="Arial" w:cs="Arial" w:eastAsia="Arial" w:hAnsi="Arial"/>
          <w:color w:val="888888"/>
          <w:sz w:val="22"/>
          <w:szCs w:val="22"/>
        </w:rPr>
        <w:t xml:space="preserve">CIPA Investigator — Architecture, Decisions, and Agent Design</w:t>
      </w:r>
    </w:p>
    <w:p>
      <w:pPr>
        <w:spacing w:after="240"/>
      </w:pPr>
      <w:r>
        <w:rPr>
          <w:rFonts w:ascii="Arial" w:cs="Arial" w:eastAsia="Arial" w:hAnsi="Arial"/>
          <w:color w:val="888888"/>
          <w:sz w:val="18"/>
          <w:szCs w:val="18"/>
        </w:rPr>
        <w:t xml:space="preserve">CIPA Investigator Skill  |  Koladin</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1. System Overview</w:t>
      </w:r>
    </w:p>
    <w:p>
      <w:pPr>
        <w:spacing w:after="120"/>
      </w:pPr>
      <w:r>
        <w:rPr>
          <w:rFonts w:ascii="Arial" w:cs="Arial" w:eastAsia="Arial" w:hAnsi="Arial"/>
          <w:sz w:val="20"/>
          <w:szCs w:val="20"/>
        </w:rPr>
        <w:t xml:space="preserve">The CIPA Investigator is an agentic Claude Code skill that autonomously browses a target website, detects third-party tracking violations under California Penal Code §631 and §638.51, and generates a law-firm-ready PDF evidence package. The system combines deterministic browser automation with AI-driven decision making and legal narrative generation.</w:t>
      </w:r>
    </w:p>
    <w:p>
      <w:pPr>
        <w:spacing w:after="120"/>
      </w:pPr>
      <w:r>
        <w:rPr>
          <w:rFonts w:ascii="Arial" w:cs="Arial" w:eastAsia="Arial" w:hAnsi="Arial"/>
          <w:sz w:val="20"/>
          <w:szCs w:val="20"/>
        </w:rPr>
        <w:t xml:space="preserve">The pipeline consists of five modules operating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browser.py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Playwright automation layer. Opens a real Chromium browser, intercepts network requests, and drives navigation.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trackers.py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Static tracker database. Maps known third-party domains to their legal classification (wiretap or pen register).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classifier.py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Evidence organizer. Deduplicates tracker requests and maps findings to §631 or §638.51 with consent analysis.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agent_navigator.py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Navigator Agent. Claude vision model analyzes page screenshots and decides the next investigative action.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agent_legal.py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Legal Writer Agent. Claude language model synthesizes findings into attorney-facing legal narratives.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reporter.py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PDF generator. Builds the evidence package using ReportLab with law-firm layout and typography.</w:t>
            </w:r>
          </w:p>
        </w:tc>
      </w:tr>
    </w:tbl>
    <w:p>
      <w:pPr>
        <w:spacing w:after="160"/>
      </w:pPr>
    </w:p>
    <w:p>
      <w:pPr>
        <w:pStyle w:val="Heading1"/>
        <w:spacing w:after="120" w:before="360"/>
      </w:pPr>
      <w:r>
        <w:rPr>
          <w:rFonts w:ascii="Arial" w:cs="Arial" w:eastAsia="Arial" w:hAnsi="Arial"/>
          <w:b/>
          <w:bCs/>
          <w:color w:val="1a1a2e"/>
          <w:sz w:val="32"/>
          <w:szCs w:val="32"/>
        </w:rPr>
        <w:t xml:space="preserve">2. Architecture Decisions</w:t>
      </w:r>
    </w:p>
    <w:p>
      <w:pPr>
        <w:pStyle w:val="Heading2"/>
        <w:spacing w:after="80" w:before="240"/>
      </w:pPr>
      <w:r>
        <w:rPr>
          <w:rFonts w:ascii="Arial" w:cs="Arial" w:eastAsia="Arial" w:hAnsi="Arial"/>
          <w:b/>
          <w:bCs/>
          <w:color w:val="c0392b"/>
          <w:sz w:val="24"/>
          <w:szCs w:val="24"/>
        </w:rPr>
        <w:t xml:space="preserve">Why Playwright?</w:t>
      </w:r>
    </w:p>
    <w:p>
      <w:pPr>
        <w:spacing w:after="120"/>
      </w:pPr>
      <w:r>
        <w:rPr>
          <w:rFonts w:ascii="Arial" w:cs="Arial" w:eastAsia="Arial" w:hAnsi="Arial"/>
          <w:sz w:val="20"/>
          <w:szCs w:val="20"/>
        </w:rPr>
        <w:t xml:space="preserve">Tracking pixels are JavaScript-executed. A simple HTTP request to a website URL would return the HTML but would not execute JavaScript — meaning no trackers would fire, no network requests would be captured, and the tool would find nothing.</w:t>
      </w:r>
    </w:p>
    <w:p>
      <w:pPr>
        <w:spacing w:after="120"/>
      </w:pPr>
      <w:r>
        <w:rPr>
          <w:rFonts w:ascii="Arial" w:cs="Arial" w:eastAsia="Arial" w:hAnsi="Arial"/>
          <w:sz w:val="20"/>
          <w:szCs w:val="20"/>
        </w:rPr>
        <w:t xml:space="preserve">Playwright launches a real Chromium browser engine that executes JavaScript exactly as a human visitor's browser would. This allows us to intercept the actual network requests that trackers make, with precise timestamps, full URLs, and POST body data.</w:t>
      </w:r>
    </w:p>
    <w:p>
      <w:pPr>
        <w:spacing w:after="120"/>
      </w:pPr>
      <w:r>
        <w:rPr>
          <w:rFonts w:ascii="Arial" w:cs="Arial" w:eastAsia="Arial" w:hAnsi="Arial"/>
          <w:sz w:val="20"/>
          <w:szCs w:val="20"/>
        </w:rPr>
        <w:t xml:space="preserve">Alternative considered: Puppeteer (Google Chrome DevTools Protocol). Playwright was chosen for its superior cross-browser support, more reliable network interception API, and active maintenance.</w:t>
      </w:r>
    </w:p>
    <w:p>
      <w:pPr>
        <w:pStyle w:val="Heading2"/>
        <w:spacing w:after="80" w:before="240"/>
      </w:pPr>
      <w:r>
        <w:rPr>
          <w:rFonts w:ascii="Arial" w:cs="Arial" w:eastAsia="Arial" w:hAnsi="Arial"/>
          <w:b/>
          <w:bCs/>
          <w:color w:val="c0392b"/>
          <w:sz w:val="24"/>
          <w:szCs w:val="24"/>
        </w:rPr>
        <w:t xml:space="preserve">Why Hostname-Only Tracker Matching?</w:t>
      </w:r>
    </w:p>
    <w:p>
      <w:pPr>
        <w:spacing w:after="120"/>
      </w:pPr>
      <w:r>
        <w:rPr>
          <w:rFonts w:ascii="Arial" w:cs="Arial" w:eastAsia="Arial" w:hAnsi="Arial"/>
          <w:sz w:val="20"/>
          <w:szCs w:val="20"/>
        </w:rPr>
        <w:t xml:space="preserve">Early versions of the tool matched tracker domains using simple substring search (e.g., checking if 'facebook' appears anywhere in a URL). This produced false positives — a URL like 'mysite.com/about-facebook-marketing' would incorrectly match the Meta Pixel tracker.</w:t>
      </w:r>
    </w:p>
    <w:p>
      <w:pPr>
        <w:spacing w:after="120"/>
      </w:pPr>
      <w:r>
        <w:rPr>
          <w:rFonts w:ascii="Arial" w:cs="Arial" w:eastAsia="Arial" w:hAnsi="Arial"/>
          <w:sz w:val="20"/>
          <w:szCs w:val="20"/>
        </w:rPr>
        <w:t xml:space="preserve">The current implementation uses urllib.parse to extract only the hostname component of each intercepted URL (e.g., 'connect.facebook.net') and compares it against known tracker domains using exact match or subdomain suffix match. This eliminates false positives while correctly matching all subdomains of known tracker infrastructure.</w:t>
      </w:r>
    </w:p>
    <w:p>
      <w:pPr>
        <w:pStyle w:val="Heading2"/>
        <w:spacing w:after="80" w:before="240"/>
      </w:pPr>
      <w:r>
        <w:rPr>
          <w:rFonts w:ascii="Arial" w:cs="Arial" w:eastAsia="Arial" w:hAnsi="Arial"/>
          <w:b/>
          <w:bCs/>
          <w:color w:val="c0392b"/>
          <w:sz w:val="24"/>
          <w:szCs w:val="24"/>
        </w:rPr>
        <w:t xml:space="preserve">Why California Geolocation?</w:t>
      </w:r>
    </w:p>
    <w:p>
      <w:pPr>
        <w:spacing w:after="120"/>
      </w:pPr>
      <w:r>
        <w:rPr>
          <w:rFonts w:ascii="Arial" w:cs="Arial" w:eastAsia="Arial" w:hAnsi="Arial"/>
          <w:sz w:val="20"/>
          <w:szCs w:val="20"/>
        </w:rPr>
        <w:t xml:space="preserve">CIPA jurisdiction is determined by the user's physical location at the time of the communication. To establish legal standing for CIPA claims, every scan session is configured with Los Angeles geolocation (34.0522°N, 118.2437°W), en-US locale, and America/Los_Angeles timezone.</w:t>
      </w:r>
    </w:p>
    <w:p>
      <w:pPr>
        <w:spacing w:after="120"/>
      </w:pPr>
      <w:r>
        <w:rPr>
          <w:rFonts w:ascii="Arial" w:cs="Arial" w:eastAsia="Arial" w:hAnsi="Arial"/>
          <w:sz w:val="20"/>
          <w:szCs w:val="20"/>
        </w:rPr>
        <w:t xml:space="preserve">This configuration is passed to the Playwright browser context and is readable by any JavaScript geolocation API call. It grounds every evidence package in California jurisdiction.</w:t>
      </w:r>
    </w:p>
    <w:p>
      <w:pPr>
        <w:pStyle w:val="Heading2"/>
        <w:spacing w:after="80" w:before="240"/>
      </w:pPr>
      <w:r>
        <w:rPr>
          <w:rFonts w:ascii="Arial" w:cs="Arial" w:eastAsia="Arial" w:hAnsi="Arial"/>
          <w:b/>
          <w:bCs/>
          <w:color w:val="c0392b"/>
          <w:sz w:val="24"/>
          <w:szCs w:val="24"/>
        </w:rPr>
        <w:t xml:space="preserve">Why Two Separate Agents?</w:t>
      </w:r>
    </w:p>
    <w:p>
      <w:pPr>
        <w:spacing w:after="120"/>
      </w:pPr>
      <w:r>
        <w:rPr>
          <w:rFonts w:ascii="Arial" w:cs="Arial" w:eastAsia="Arial" w:hAnsi="Arial"/>
          <w:sz w:val="20"/>
          <w:szCs w:val="20"/>
        </w:rPr>
        <w:t xml:space="preserve">The system was originally built with a single agent.py module performing both browsing decisions and legal writing. These were split into dedicated agent files for two reasons:</w:t>
      </w:r>
    </w:p>
    <w:p>
      <w:pPr>
        <w:spacing w:after="80"/>
        <w:ind w:left="360"/>
      </w:pPr>
      <w:r>
        <w:rPr>
          <w:rFonts w:ascii="Arial" w:cs="Arial" w:eastAsia="Arial" w:hAnsi="Arial"/>
          <w:sz w:val="20"/>
          <w:szCs w:val="20"/>
        </w:rPr>
        <w:t xml:space="preserve">•  Separation of concerns: navigation decisions require vision (screenshot analysis) with low token budgets and fast responses. Legal writing requires no vision but needs high token budgets and precise language output.</w:t>
      </w:r>
    </w:p>
    <w:p>
      <w:pPr>
        <w:spacing w:after="80"/>
        <w:ind w:left="360"/>
      </w:pPr>
      <w:r>
        <w:rPr>
          <w:rFonts w:ascii="Arial" w:cs="Arial" w:eastAsia="Arial" w:hAnsi="Arial"/>
          <w:sz w:val="20"/>
          <w:szCs w:val="20"/>
        </w:rPr>
        <w:t xml:space="preserve">•  Architectural clarity: presenting two named agents to stakeholders accurately reflects the system's dual-role AI involvement and demonstrates agentic architecture more clearly.</w:t>
      </w:r>
    </w:p>
    <w:p>
      <w:pPr>
        <w:spacing w:after="120"/>
      </w:pPr>
      <w:r>
        <w:rPr>
          <w:rFonts w:ascii="Arial" w:cs="Arial" w:eastAsia="Arial" w:hAnsi="Arial"/>
          <w:sz w:val="20"/>
          <w:szCs w:val="20"/>
        </w:rPr>
        <w:t xml:space="preserve">The Navigator Agent uses max_tokens=256 for fast, decisive action selection. The Legal Writer Agent uses max_tokens=8192 to handle up to 10+ tracker narratives in a single response without truncation.</w:t>
      </w:r>
    </w:p>
    <w:p>
      <w:pPr>
        <w:pStyle w:val="Heading2"/>
        <w:spacing w:after="80" w:before="240"/>
      </w:pPr>
      <w:r>
        <w:rPr>
          <w:rFonts w:ascii="Arial" w:cs="Arial" w:eastAsia="Arial" w:hAnsi="Arial"/>
          <w:b/>
          <w:bCs/>
          <w:color w:val="c0392b"/>
          <w:sz w:val="24"/>
          <w:szCs w:val="24"/>
        </w:rPr>
        <w:t xml:space="preserve">Why No Authentication Flows?</w:t>
      </w:r>
    </w:p>
    <w:p>
      <w:pPr>
        <w:spacing w:after="120"/>
      </w:pPr>
      <w:r>
        <w:rPr>
          <w:rFonts w:ascii="Arial" w:cs="Arial" w:eastAsia="Arial" w:hAnsi="Arial"/>
          <w:sz w:val="20"/>
          <w:szCs w:val="20"/>
        </w:rPr>
        <w:t xml:space="preserve">The tool deliberately avoids login pages, account creation, and any flow requiring credentials. This is both a legal boundary (we have no authorization to access private account areas) and a practical one (authentication flows require per-site configuration that would not generalize).</w:t>
      </w:r>
    </w:p>
    <w:p>
      <w:pPr>
        <w:spacing w:after="120"/>
      </w:pPr>
      <w:r>
        <w:rPr>
          <w:rFonts w:ascii="Arial" w:cs="Arial" w:eastAsia="Arial" w:hAnsi="Arial"/>
          <w:sz w:val="20"/>
          <w:szCs w:val="20"/>
        </w:rPr>
        <w:t xml:space="preserve">All evidence gathered is from public, unauthenticated page views — the same experience any California visitor would have. This actually strengthens the legal case: tracking is occurring even before a user has any relationship with the website.</w:t>
      </w:r>
    </w:p>
    <w:p>
      <w:pPr>
        <w:pStyle w:val="Heading1"/>
        <w:spacing w:after="120" w:before="360"/>
      </w:pPr>
      <w:r>
        <w:rPr>
          <w:rFonts w:ascii="Arial" w:cs="Arial" w:eastAsia="Arial" w:hAnsi="Arial"/>
          <w:b/>
          <w:bCs/>
          <w:color w:val="1a1a2e"/>
          <w:sz w:val="32"/>
          <w:szCs w:val="32"/>
        </w:rPr>
        <w:t xml:space="preserve">3. The Agentic Loop</w:t>
      </w:r>
    </w:p>
    <w:p>
      <w:pPr>
        <w:spacing w:after="120"/>
      </w:pPr>
      <w:r>
        <w:rPr>
          <w:rFonts w:ascii="Arial" w:cs="Arial" w:eastAsia="Arial" w:hAnsi="Arial"/>
          <w:sz w:val="20"/>
          <w:szCs w:val="20"/>
        </w:rPr>
        <w:t xml:space="preserve">Phase 3 of the browser automation implements a Claude-driven agentic loop with a maximum of 5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Step 1</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Take a screenshot of the current page state.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Step 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Send screenshot + context (current URL, flows already walked, trackers detected, failed URLs) to the Navigator Agent.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Step 3</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Navigator Agent returns a JSON action: search, navigate, fill_form, open_chat, or done.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Step 4</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Execute the action in the browser. If navigation fails, add the URL to failed_urls.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Step 5</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Loop back to Step 1. If action is done, or 5 iterations reached, stop.</w:t>
            </w:r>
          </w:p>
        </w:tc>
      </w:tr>
    </w:tbl>
    <w:p>
      <w:pPr>
        <w:spacing w:after="120"/>
      </w:pPr>
    </w:p>
    <w:p>
      <w:pPr>
        <w:spacing w:after="120"/>
      </w:pPr>
      <w:r>
        <w:rPr>
          <w:rFonts w:ascii="Arial" w:cs="Arial" w:eastAsia="Arial" w:hAnsi="Arial"/>
          <w:sz w:val="20"/>
          <w:szCs w:val="20"/>
        </w:rPr>
        <w:t xml:space="preserve">The failed_urls list is passed to Claude on every iteration. This prevents the Navigator Agent from retrying blocked or access-denied pages — a failure mode observed during early testing where Claude attempted /checkout twice on sites that redirect unauthenticated users.</w:t>
      </w:r>
    </w:p>
    <w:p>
      <w:pPr>
        <w:spacing w:after="120"/>
      </w:pPr>
      <w:r>
        <w:rPr>
          <w:rFonts w:ascii="Arial" w:cs="Arial" w:eastAsia="Arial" w:hAnsi="Arial"/>
          <w:sz w:val="20"/>
          <w:szCs w:val="20"/>
        </w:rPr>
        <w:t xml:space="preserve">The agent prioritizes flows that expose the most tracking behavior: checkout pages, health or personal information forms, live chat widgets, and account creation flows. These pages trigger additional tracker events (AddToCart, InitiateCheckout, Lead) that produce stronger evidence.</w:t>
      </w:r>
    </w:p>
    <w:p>
      <w:pPr>
        <w:pStyle w:val="Heading1"/>
        <w:spacing w:after="120" w:before="360"/>
      </w:pPr>
      <w:r>
        <w:rPr>
          <w:rFonts w:ascii="Arial" w:cs="Arial" w:eastAsia="Arial" w:hAnsi="Arial"/>
          <w:b/>
          <w:bCs/>
          <w:color w:val="1a1a2e"/>
          <w:sz w:val="32"/>
          <w:szCs w:val="32"/>
        </w:rPr>
        <w:t xml:space="preserve">4. Consent Detection Logic</w:t>
      </w:r>
    </w:p>
    <w:p>
      <w:pPr>
        <w:spacing w:after="120"/>
      </w:pPr>
      <w:r>
        <w:rPr>
          <w:rFonts w:ascii="Arial" w:cs="Arial" w:eastAsia="Arial" w:hAnsi="Arial"/>
          <w:sz w:val="20"/>
          <w:szCs w:val="20"/>
        </w:rPr>
        <w:t xml:space="preserve">The tool implements a conservative consent banner detector that avoids false positives. The detector applies four validation criteria to any candidate element:</w:t>
      </w:r>
    </w:p>
    <w:p>
      <w:pPr>
        <w:spacing w:after="80"/>
        <w:ind w:left="360"/>
      </w:pPr>
      <w:r>
        <w:rPr>
          <w:rFonts w:ascii="Arial" w:cs="Arial" w:eastAsia="Arial" w:hAnsi="Arial"/>
          <w:sz w:val="20"/>
          <w:szCs w:val="20"/>
        </w:rPr>
        <w:t xml:space="preserve">•  The element must be currently visible on screen (not hidden by CSS).</w:t>
      </w:r>
    </w:p>
    <w:p>
      <w:pPr>
        <w:spacing w:after="80"/>
        <w:ind w:left="360"/>
      </w:pPr>
      <w:r>
        <w:rPr>
          <w:rFonts w:ascii="Arial" w:cs="Arial" w:eastAsia="Arial" w:hAnsi="Arial"/>
          <w:sz w:val="20"/>
          <w:szCs w:val="20"/>
        </w:rPr>
        <w:t xml:space="preserve">•  The element's bounding box must be at least 200px wide and 50px tall.</w:t>
      </w:r>
    </w:p>
    <w:p>
      <w:pPr>
        <w:spacing w:after="80"/>
        <w:ind w:left="360"/>
      </w:pPr>
      <w:r>
        <w:rPr>
          <w:rFonts w:ascii="Arial" w:cs="Arial" w:eastAsia="Arial" w:hAnsi="Arial"/>
          <w:sz w:val="20"/>
          <w:szCs w:val="20"/>
        </w:rPr>
        <w:t xml:space="preserve">•  The element must contain at least one button child element.</w:t>
      </w:r>
    </w:p>
    <w:p>
      <w:pPr>
        <w:spacing w:after="80"/>
        <w:ind w:left="360"/>
      </w:pPr>
      <w:r>
        <w:rPr>
          <w:rFonts w:ascii="Arial" w:cs="Arial" w:eastAsia="Arial" w:hAnsi="Arial"/>
          <w:sz w:val="20"/>
          <w:szCs w:val="20"/>
        </w:rPr>
        <w:t xml:space="preserve">•  The element's id or class must match known consent UI patterns (cookie, consent, gdpr).</w:t>
      </w:r>
    </w:p>
    <w:p>
      <w:pPr>
        <w:spacing w:after="120"/>
      </w:pPr>
      <w:r>
        <w:rPr>
          <w:rFonts w:ascii="Arial" w:cs="Arial" w:eastAsia="Arial" w:hAnsi="Arial"/>
          <w:sz w:val="20"/>
          <w:szCs w:val="20"/>
        </w:rPr>
        <w:t xml:space="preserve">Earlier versions matched [id*='privacy'] which incorrectly identified footer privacy links on several sites. This selector was removed after REI's 'footer-privacy-choices' element produced a false positive.</w:t>
      </w:r>
    </w:p>
    <w:p>
      <w:pPr>
        <w:spacing w:after="120"/>
      </w:pPr>
      <w:r>
        <w:rPr>
          <w:rFonts w:ascii="Arial" w:cs="Arial" w:eastAsia="Arial" w:hAnsi="Arial"/>
          <w:sz w:val="20"/>
          <w:szCs w:val="20"/>
        </w:rPr>
        <w:t xml:space="preserve">When a valid banner is detected, the tool records the timestamp and compares it against the timestamps of all tracker requests captured before the banner appeared. This produces the legally significant finding: trackers fired before any consent opportunity was presented.</w:t>
      </w:r>
    </w:p>
    <w:p>
      <w:pPr>
        <w:pStyle w:val="Heading1"/>
        <w:spacing w:after="120" w:before="360"/>
      </w:pPr>
      <w:r>
        <w:rPr>
          <w:rFonts w:ascii="Arial" w:cs="Arial" w:eastAsia="Arial" w:hAnsi="Arial"/>
          <w:b/>
          <w:bCs/>
          <w:color w:val="1a1a2e"/>
          <w:sz w:val="32"/>
          <w:szCs w:val="32"/>
        </w:rPr>
        <w:t xml:space="preserve">5. PDF Evidence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Cover Page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Summary statistics table, Claude-generated executive summary, consent status finding.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Consent Analysis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Detailed consent finding with timing data and initial page screenshot.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§631 Wiretap Violations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One section per detected wiretap tracker, with Claude-written legal narrative.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§638.51 Pen Register Violations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One section per detected pen register tracker, with Claude-written legal narrative.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Technical Appendix</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Full request log table showing all tracker requests with timestamps and request counts.</w:t>
            </w:r>
          </w:p>
        </w:tc>
      </w:tr>
    </w:tbl>
    <w:p>
      <w:pPr>
        <w:spacing w:after="120"/>
      </w:pPr>
    </w:p>
    <w:p>
      <w:pPr>
        <w:spacing w:after="120"/>
      </w:pPr>
      <w:r>
        <w:rPr>
          <w:rFonts w:ascii="Arial" w:cs="Arial" w:eastAsia="Arial" w:hAnsi="Arial"/>
          <w:sz w:val="20"/>
          <w:szCs w:val="20"/>
        </w:rPr>
        <w:t xml:space="preserve">The PDF is generated with ReportLab using a law-firm color scheme (dark navy headings, red accent for violation findings). Screenshots captured during the session are embedded as visual evidence. The document includes a disclaimer that findings should be reviewed by qualified legal counsel.</w:t>
      </w:r>
    </w:p>
    <w:p>
      <w:pPr>
        <w:pStyle w:val="Heading1"/>
        <w:spacing w:after="120" w:before="360"/>
      </w:pPr>
      <w:r>
        <w:rPr>
          <w:rFonts w:ascii="Arial" w:cs="Arial" w:eastAsia="Arial" w:hAnsi="Arial"/>
          <w:b/>
          <w:bCs/>
          <w:color w:val="1a1a2e"/>
          <w:sz w:val="32"/>
          <w:szCs w:val="32"/>
        </w:rPr>
        <w:t xml:space="preserve">6. Tracker Database</w:t>
      </w:r>
    </w:p>
    <w:p>
      <w:pPr>
        <w:spacing w:after="120"/>
      </w:pPr>
      <w:r>
        <w:rPr>
          <w:rFonts w:ascii="Arial" w:cs="Arial" w:eastAsia="Arial" w:hAnsi="Arial"/>
          <w:sz w:val="20"/>
          <w:szCs w:val="20"/>
        </w:rPr>
        <w:t xml:space="preserve">The tracker database (trackers.py) is a manually curated dictionary of known third-party tracking domains. Each entry includes the tracker name, type (wiretap or pen_register), description, and known domain.</w:t>
      </w:r>
    </w:p>
    <w:p>
      <w:pPr>
        <w:spacing w:after="120"/>
      </w:pPr>
      <w:r>
        <w:rPr>
          <w:rFonts w:ascii="Arial" w:cs="Arial" w:eastAsia="Arial" w:hAnsi="Arial"/>
          <w:sz w:val="20"/>
          <w:szCs w:val="20"/>
        </w:rPr>
        <w:t xml:space="preserve">The database currently covers 20+ trackers across both categories. It is designed to be extended — adding a new tracker requires one dictionary entry. The hostname-matching logic in get_tracker() handles all subdomain variants automatically.</w:t>
      </w:r>
    </w:p>
    <w:p>
      <w:pPr>
        <w:spacing w:after="120"/>
      </w:pPr>
      <w:r>
        <w:rPr>
          <w:rFonts w:ascii="Arial" w:cs="Arial" w:eastAsia="Arial" w:hAnsi="Arial"/>
          <w:sz w:val="20"/>
          <w:szCs w:val="20"/>
        </w:rPr>
        <w:t xml:space="preserve">A known limitation: the database only catches trackers we have enumerated. A novel or obscure tracker not in the database will not be detected. Production deployment would integrate with industry tracker blocklists (EasyPrivacy, Disconnect.me) for comprehensive coverage.</w:t>
      </w:r>
    </w:p>
    <w:p>
      <w:pPr>
        <w:pStyle w:val="Heading1"/>
        <w:spacing w:after="120" w:before="360"/>
      </w:pPr>
      <w:r>
        <w:rPr>
          <w:rFonts w:ascii="Arial" w:cs="Arial" w:eastAsia="Arial" w:hAnsi="Arial"/>
          <w:b/>
          <w:bCs/>
          <w:color w:val="1a1a2e"/>
          <w:sz w:val="32"/>
          <w:szCs w:val="32"/>
        </w:rPr>
        <w:t xml:space="preserve">7.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IP-based geolocation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Some sites serve different content based on IP address. Our California geolocation spoofs the browser API but not the IP. Sites may redirect or block based on IP origin.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Bot detection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Sites using Cloudflare Bot Management or similar services may block Playwright. This is a detection limitation, not a legal 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Dynamic tracker loading</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Some trackers load only after user interaction (scroll, click). The 5-iteration agent loop captures many of these but not all.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Hardcoded tracker list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The tool only detects trackers in its database. Novel trackers are missed unless manually added.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Public pages only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The tool does not authenticate. Violations occurring within authenticated sessions are not captured.</w:t>
            </w:r>
          </w:p>
        </w:tc>
      </w:tr>
    </w:tbl>
    <w:p>
      <w:pPr>
        <w:spacing w:after="160"/>
      </w:pPr>
    </w:p>
    <w:p>
      <w:pPr>
        <w:pStyle w:val="Heading1"/>
        <w:spacing w:after="120" w:before="360"/>
      </w:pPr>
      <w:r>
        <w:rPr>
          <w:rFonts w:ascii="Arial" w:cs="Arial" w:eastAsia="Arial" w:hAnsi="Arial"/>
          <w:b/>
          <w:bCs/>
          <w:color w:val="1a1a2e"/>
          <w:sz w:val="32"/>
          <w:szCs w:val="32"/>
        </w:rPr>
        <w:t xml:space="preserve">8. Running the Skill</w:t>
      </w:r>
    </w:p>
    <w:p>
      <w:pPr>
        <w:spacing w:after="120"/>
      </w:pPr>
      <w:r>
        <w:rPr>
          <w:rFonts w:ascii="Arial" w:cs="Arial" w:eastAsia="Arial" w:hAnsi="Arial"/>
          <w:sz w:val="20"/>
          <w:szCs w:val="20"/>
        </w:rPr>
        <w:t xml:space="preserve">The skill is invoked from the command line with a target URL:</w:t>
      </w:r>
    </w:p>
    <w:p>
      <w:pPr>
        <w:shd w:fill="f5f5f5" w:val="clear"/>
        <w:spacing w:after="120"/>
        <w:ind w:left="360"/>
      </w:pPr>
      <w:r>
        <w:rPr>
          <w:rFonts w:ascii="Courier New" w:cs="Courier New" w:eastAsia="Courier New" w:hAnsi="Courier New"/>
          <w:color w:val="1a1a2e"/>
          <w:sz w:val="18"/>
          <w:szCs w:val="18"/>
        </w:rPr>
        <w:t xml:space="preserve">python test_phase1.py https://www.target-website.com</w:t>
      </w:r>
    </w:p>
    <w:p>
      <w:pPr>
        <w:spacing w:after="120"/>
      </w:pPr>
      <w:r>
        <w:rPr>
          <w:rFonts w:ascii="Arial" w:cs="Arial" w:eastAsia="Arial" w:hAnsi="Arial"/>
          <w:sz w:val="20"/>
          <w:szCs w:val="20"/>
        </w:rPr>
        <w:t xml:space="preserve">Output is saved to evidence_package.pdf in the current directory. The browser runs in headed mode (visible) by default to allow visual inspection during scanning. Pass headless=True to browser.capture() for automated/server deployment.</w:t>
      </w:r>
    </w:p>
    <w:p>
      <w:pPr>
        <w:spacing w:after="120"/>
      </w:pPr>
      <w:r>
        <w:rPr>
          <w:rFonts w:ascii="Arial" w:cs="Arial" w:eastAsia="Arial" w:hAnsi="Arial"/>
          <w:sz w:val="20"/>
          <w:szCs w:val="20"/>
        </w:rPr>
        <w:t xml:space="preserve">Requirements: Python 3.11+, Playwright (pip install playwright &amp;&amp; playwright install chromium), ReportLab, Anthropic SDK. ANTHROPIC_API_KEY must be set as an environment variable.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pPr>
    <w:r>
      <w:rPr>
        <w:rFonts w:ascii="Arial" w:cs="Arial" w:eastAsia="Arial" w:hAnsi="Arial"/>
        <w:color w:val="888888"/>
        <w:sz w:val="18"/>
        <w:szCs w:val="18"/>
      </w:rPr>
      <w:t xml:space="preserve">CIPA Investigator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2026-07-02T09:27:19.833Z</dcterms:created>
  <dcterms:modified xsi:type="dcterms:W3CDTF">2026-07-02T09:27:19.833Z</dcterms:modified>
</cp:coreProperties>
</file>

<file path=docProps/custom.xml><?xml version="1.0" encoding="utf-8"?>
<Properties xmlns="http://schemas.openxmlformats.org/officeDocument/2006/custom-properties" xmlns:vt="http://schemas.openxmlformats.org/officeDocument/2006/docPropsVTypes"/>
</file>