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ns1="urn:schemas-microsoft-com:vml" xmlns:ns2="urn:schemas-microsoft-com:office:office" xmlns:w="http://schemas.openxmlformats.org/wordprocessingml/2006/main">
  <w:body>
    <w:p>
      <w:pPr>
        <w:pStyle w:val="Title"/>
      </w:pPr>
      <w:r>
        <w:t xml:space="preserve">Week</w:t>
      </w:r>
      <w:r>
        <w:t xml:space="preserve"> </w:t>
      </w:r>
      <w:r>
        <w:t xml:space="preserve">1</w:t>
      </w:r>
      <w:r>
        <w:t xml:space="preserve"> </w:t>
      </w:r>
      <w:r>
        <w:t xml:space="preserve">-</w:t>
      </w:r>
      <w:r>
        <w:t xml:space="preserve"> </w:t>
      </w:r>
      <w:r>
        <w:t xml:space="preserve">Hand-Designed</w:t>
      </w:r>
      <w:r>
        <w:t xml:space="preserve"> </w:t>
      </w:r>
      <w:r>
        <w:t xml:space="preserve">Control</w:t>
      </w:r>
      <w:r>
        <w:t xml:space="preserve"> </w:t>
      </w:r>
      <w:r>
        <w:t xml:space="preserve">Logic</w:t>
      </w:r>
    </w:p>
    <w:p>
      <w:pPr>
        <w:pStyle w:val="Subtitle"/>
      </w:pPr>
      <w:r>
        <w:t xml:space="preserve">Forwarding</w:t>
      </w:r>
      <w:r>
        <w:t xml:space="preserve"> </w:t>
      </w:r>
      <w:r>
        <w:t xml:space="preserve">unit,</w:t>
      </w:r>
      <w:r>
        <w:t xml:space="preserve"> </w:t>
      </w:r>
      <w:r>
        <w:t xml:space="preserve">hazard-detection</w:t>
      </w:r>
      <w:r>
        <w:t xml:space="preserve"> </w:t>
      </w:r>
      <w:r>
        <w:t xml:space="preserve">unit</w:t>
      </w:r>
      <w:r>
        <w:t xml:space="preserve"> </w:t>
      </w:r>
      <w:r>
        <w:t xml:space="preserve">and</w:t>
      </w:r>
      <w:r>
        <w:t xml:space="preserve"> </w:t>
      </w:r>
      <w:r>
        <w:t xml:space="preserve">branch</w:t>
      </w:r>
      <w:r>
        <w:t xml:space="preserve"> </w:t>
      </w:r>
      <w:r>
        <w:t xml:space="preserve">resolution</w:t>
      </w:r>
    </w:p>
    <w:p>
      <w:pPr>
        <w:pStyle w:val="Author"/>
      </w:pPr>
      <w:r>
        <w:t xml:space="preserve">CPEN</w:t>
      </w:r>
      <w:r>
        <w:t xml:space="preserve"> </w:t>
      </w:r>
      <w:r>
        <w:t xml:space="preserve">438</w:t>
      </w:r>
      <w:r>
        <w:t xml:space="preserve"> </w:t>
      </w:r>
      <w:r>
        <w:t xml:space="preserve">/</w:t>
      </w:r>
      <w:r>
        <w:t xml:space="preserve"> </w:t>
      </w:r>
      <w:r>
        <w:t xml:space="preserve">CPEN</w:t>
      </w:r>
      <w:r>
        <w:t xml:space="preserve"> </w:t>
      </w:r>
      <w:r>
        <w:t xml:space="preserve">315</w:t>
      </w:r>
      <w:r>
        <w:t xml:space="preserve"> </w:t>
      </w:r>
      <w:r>
        <w:t xml:space="preserve">-</w:t>
      </w:r>
      <w:r>
        <w:t xml:space="preserve"> </w:t>
      </w:r>
      <w:r>
        <w:t xml:space="preserve">Advanced</w:t>
      </w:r>
      <w:r>
        <w:t xml:space="preserve"> </w:t>
      </w:r>
      <w:r>
        <w:t xml:space="preserve">Computer</w:t>
      </w:r>
      <w:r>
        <w:t xml:space="preserve"> </w:t>
      </w:r>
      <w:r>
        <w:t xml:space="preserve">Architecture</w:t>
      </w:r>
      <w:r>
        <w:t xml:space="preserve"> </w:t>
      </w:r>
      <w:r>
        <w:t xml:space="preserve">-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Ghana,</w:t>
      </w:r>
      <w:r>
        <w:t xml:space="preserve"> </w:t>
      </w:r>
      <w:r>
        <w:t xml:space="preserve">Legon</w:t>
      </w:r>
    </w:p>
    <w:p>
      <w:pPr>
        <w:pStyle w:val="Date"/>
      </w:pPr>
      <w:r>
        <w:t xml:space="preserve">Project</w:t>
      </w:r>
      <w:r>
        <w:t xml:space="preserve"> </w:t>
      </w:r>
      <w:r>
        <w:t xml:space="preserve">3</w:t>
      </w:r>
      <w:r>
        <w:t xml:space="preserve"> </w:t>
      </w:r>
      <w:r>
        <w:t xml:space="preserve">-</w:t>
      </w:r>
      <w:r>
        <w:t xml:space="preserve"> </w:t>
      </w:r>
      <w:r>
        <w:t xml:space="preserve">Hazard</w:t>
      </w:r>
      <w:r>
        <w:t xml:space="preserve"> </w:t>
      </w:r>
      <w:r>
        <w:t xml:space="preserve">Watch</w:t>
      </w:r>
    </w:p>
    <w:p>
      <w:pPr>
        <w:pStyle w:val="BlockText"/>
      </w:pPr>
      <w:r>
        <w:t xml:space="preserve">Project 3's Week 1 line reads:</w:t>
      </w:r>
      <w:r>
        <w:t xml:space="preserve"> </w:t>
      </w:r>
      <w:r>
        <w:rPr>
          <w:iCs/>
          <w:i/>
        </w:rPr>
        <w:t xml:space="preserve">"Present papers; obtain team's seeded COCOBOD program;</w:t>
      </w:r>
      <w:r>
        <w:rPr>
          <w:iCs/>
          <w:i/>
        </w:rPr>
        <w:t xml:space="preserve"> </w:t>
      </w:r>
      <w:r>
        <w:rPr>
          <w:bCs/>
          <w:b/>
          <w:iCs/>
          <w:i/>
        </w:rPr>
        <w:t xml:space="preserve">design forwarding-unit and hazard-detection-unit truth tables by hand before touching code.</w:t>
      </w:r>
      <w:r>
        <w:rPr>
          <w:iCs/>
          <w:i/>
        </w:rPr>
        <w:t xml:space="preserve">"</w:t>
      </w:r>
    </w:p>
    <w:p>
      <w:pPr>
        <w:pStyle w:val="BlockText"/>
      </w:pPr>
      <w:r>
        <w:t xml:space="preserve">This document is that deliverable. Nothing here is derived from the simulator — the simulator is written</w:t>
      </w:r>
      <w:r>
        <w:t xml:space="preserve"> </w:t>
      </w:r>
      <w:r>
        <w:rPr>
          <w:iCs/>
          <w:i/>
        </w:rPr>
        <w:t xml:space="preserve">from</w:t>
      </w:r>
      <w:r>
        <w:t xml:space="preserve"> </w:t>
      </w:r>
      <w:r>
        <w:t xml:space="preserve">this document in Week 2, and the Week 2 results are the check on whether this design was right.</w:t>
      </w:r>
    </w:p>
    <w:p>
      <w:r>
        <w:pict>
          <ns1:rect style="width:0;height:1.5pt" ns2:hralign="center" ns2:hrstd="t" ns2:hr="t"/>
        </w:pict>
      </w:r>
    </w:p>
    <w:bookmarkStart w:id="20" w:name="Xf3c498d42fd21eb16f18f112bce98c0f84f52b5"/>
    <w:p>
      <w:pPr>
        <w:pStyle w:val="Heading2"/>
      </w:pPr>
      <w:r>
        <w:t xml:space="preserve">1. The timing convention everything else depends on</w:t>
      </w:r>
    </w:p>
    <w:p>
      <w:pPr>
        <w:pStyle w:val="FirstParagraph"/>
      </w:pPr>
      <w:r>
        <w:t xml:space="preserve">Fix this first or nothing downstream is decidable.</w:t>
      </w:r>
    </w:p>
    <w:p>
      <w:pPr>
        <w:pStyle w:val="BodyText"/>
      </w:pPr>
      <w:r>
        <w:t xml:space="preserve">The register file is</w:t>
      </w:r>
      <w:r>
        <w:t xml:space="preserve"> </w:t>
      </w:r>
      <w:r>
        <w:rPr>
          <w:bCs/>
          <w:b/>
        </w:rPr>
        <w:t xml:space="preserve">written in the first half of a clock cycle and read in the second half</w:t>
      </w:r>
      <w:r>
        <w:t xml:space="preserve"> </w:t>
      </w:r>
      <w:r>
        <w:t xml:space="preserve">(H&amp;P Ch. 3 / App. C). A value written by an instruction in its WB stage during cycle</w:t>
      </w:r>
      <w:r>
        <w:t xml:space="preserve"> </w:t>
      </w:r>
      <w:r>
        <w:rPr>
          <w:iCs/>
          <w:i/>
        </w:rPr>
        <w:t xml:space="preserve">t</w:t>
      </w:r>
      <w:r>
        <w:t xml:space="preserve"> </w:t>
      </w:r>
      <w:r>
        <w:t xml:space="preserve">is therefore visible to any instruction reading the register file in ID during that same cycle</w:t>
      </w:r>
      <w:r>
        <w:t xml:space="preserve"> </w:t>
      </w:r>
      <w:r>
        <w:rPr>
          <w:iCs/>
          <w:i/>
        </w:rPr>
        <w:t xml:space="preserve">t</w:t>
      </w:r>
      <w:r>
        <w:t xml:space="preserve">.</w:t>
      </w:r>
    </w:p>
    <w:p>
      <w:pPr>
        <w:pStyle w:val="BodyText"/>
      </w:pPr>
      <w:r>
        <w:t xml:space="preserve">Number the stages of an instruction issued in slot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(no stalls):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1899"/>
        <w:gridCol w:w="1434"/>
        <w:gridCol w:w="1434"/>
        <w:gridCol w:w="1434"/>
        <w:gridCol w:w="1434"/>
        <w:gridCol w:w="1434"/>
      </w:tblGrid>
      <w:tr>
        <w:trPr>
          <w:tblHeader w:val="true"/>
        </w:trPr>
        <w:tc>
          <w:tcPr>
            <w:tcW w:w="189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IF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ID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EX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MEM</w:t>
            </w:r>
          </w:p>
        </w:tc>
        <w:tc>
          <w:tcPr>
            <w:tcW w:w="143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WB</w:t>
            </w:r>
          </w:p>
        </w:tc>
      </w:tr>
      <w:tr>
        <w:tc>
          <w:tcPr>
            <w:tcW w:w="1899" w:type="dxa"/>
          </w:tcPr>
          <w:p>
            <w:pPr>
              <w:pStyle w:val="Compact"/>
              <w:jc w:val="left"/>
            </w:pPr>
            <w:r>
              <w:t xml:space="preserve">Cycle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p+0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p+1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p+2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p+3</w:t>
            </w:r>
          </w:p>
        </w:tc>
        <w:tc>
          <w:tcPr>
            <w:tcW w:w="1434" w:type="dxa"/>
          </w:tcPr>
          <w:p>
            <w:pPr>
              <w:pStyle w:val="Compact"/>
              <w:jc w:val="left"/>
            </w:pPr>
            <w:r>
              <w:t xml:space="preserve">p+4</w:t>
            </w:r>
          </w:p>
        </w:tc>
      </w:tr>
    </w:tbl>
    <w:p>
      <w:pPr>
        <w:pStyle w:val="BodyText"/>
      </w:pPr>
      <w:r>
        <w:t xml:space="preserve">Now derive the three facts the whole design rests on:</w:t>
      </w:r>
    </w:p>
    <w:p>
      <w:pPr>
        <w:pStyle w:val="BodyText"/>
      </w:pPr>
      <w:r>
        <w:rPr>
          <w:bCs/>
          <w:b/>
        </w:rPr>
        <w:t xml:space="preserve">Fact A — distance-1 dependence needs EX/MEM forwarding.</w:t>
      </w:r>
      <w:r>
        <w:t xml:space="preserve"> </w:t>
      </w:r>
      <w:r>
        <w:t xml:space="preserve">Producer at</w:t>
      </w:r>
      <w:r>
        <w:t xml:space="preserve"> </w:t>
      </w:r>
      <w:r>
        <w:rPr>
          <w:iCs/>
          <w:i/>
        </w:rPr>
        <w:t xml:space="preserve">p</w:t>
      </w:r>
      <w:r>
        <w:t xml:space="preserve"> </w:t>
      </w:r>
      <w:r>
        <w:t xml:space="preserve">finishes its ALU work at the end of cycle p+2; the result sits in the EX/MEM latch during cycle p+3. The consumer at p+1 needs it at the start of</w:t>
      </w:r>
      <w:r>
        <w:t xml:space="preserve"> </w:t>
      </w:r>
      <w:r>
        <w:rPr>
          <w:iCs/>
          <w:i/>
        </w:rPr>
        <w:t xml:space="preserve">its</w:t>
      </w:r>
      <w:r>
        <w:t xml:space="preserve"> </w:t>
      </w:r>
      <w:r>
        <w:t xml:space="preserve">EX, which is cycle p+3. The latch has it. Forward EX/MEM → ALU input.</w:t>
      </w:r>
    </w:p>
    <w:p>
      <w:pPr>
        <w:pStyle w:val="BodyText"/>
      </w:pPr>
      <w:r>
        <w:rPr>
          <w:bCs/>
          <w:b/>
        </w:rPr>
        <w:t xml:space="preserve">Fact B — distance-2 dependence needs MEM/WB forwarding.</w:t>
      </w:r>
      <w:r>
        <w:t xml:space="preserve"> </w:t>
      </w:r>
      <w:r>
        <w:t xml:space="preserve">Consumer at p+2 needs the value at cycle p+4. That is the producer's WB cycle. The consumer read the register file back in ID at cycle p+3 —</w:t>
      </w:r>
      <w:r>
        <w:t xml:space="preserve"> </w:t>
      </w:r>
      <w:r>
        <w:rPr>
          <w:iCs/>
          <w:i/>
        </w:rPr>
        <w:t xml:space="preserve">before</w:t>
      </w:r>
      <w:r>
        <w:t xml:space="preserve"> </w:t>
      </w:r>
      <w:r>
        <w:t xml:space="preserve">the write. So the register file did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supply it. The MEM/WB latch must. Forward MEM/WB → ALU input.</w:t>
      </w:r>
    </w:p>
    <w:p>
      <w:pPr>
        <w:pStyle w:val="BodyText"/>
      </w:pPr>
      <w:r>
        <w:rPr>
          <w:bCs/>
          <w:b/>
        </w:rPr>
        <w:t xml:space="preserve">Fact C — distance-3 needs nothing.</w:t>
      </w:r>
      <w:r>
        <w:t xml:space="preserve"> </w:t>
      </w:r>
      <w:r>
        <w:t xml:space="preserve">Consumer at p+3 reads the register file in ID at cycle p+4, the same cycle the producer writes it. Write-first-half / read-second-half means the read sees the new value. No forwarding path required.</w:t>
      </w:r>
    </w:p>
    <w:p>
      <w:pPr>
        <w:pStyle w:val="BlockText"/>
      </w:pPr>
      <w:r>
        <w:rPr>
          <w:bCs/>
          <w:b/>
        </w:rPr>
        <w:t xml:space="preserve">This is why the Project-2 assembler pads to distance 3, and why exactly two forwarding paths — no more — are sufficient.</w:t>
      </w:r>
      <w:r>
        <w:t xml:space="preserve"> </w:t>
      </w:r>
      <w:r>
        <w:t xml:space="preserve">If your team ever finds itself wanting a third path, the timing convention above is being violated somewhere.</w:t>
      </w:r>
    </w:p>
    <w:p>
      <w:r>
        <w:pict>
          <ns1:rect style="width:0;height:1.5pt" ns2:hralign="center" ns2:hrstd="t" ns2:hr="t"/>
        </w:pict>
      </w:r>
    </w:p>
    <w:bookmarkEnd w:id="20"/>
    <w:bookmarkStart w:id="21" w:name="X77b1fec077301e17e7eb2404bbe4e99664c09e1"/>
    <w:p>
      <w:pPr>
        <w:pStyle w:val="Heading2"/>
      </w:pPr>
      <w:r>
        <w:t xml:space="preserve">2. Datapath with the added hardware</w:t>
      </w:r>
    </w:p>
    <w:p>
      <w:pPr>
        <w:pStyle w:val="SourceCode"/>
      </w:pPr>
      <w:r>
        <w:rPr>
          <w:rStyle w:val="VerbatimChar"/>
        </w:rPr>
        <w:t xml:space="preserve">                    +--------------- HAZARD DETECTION UNIT ---------------+</w:t>
      </w:r>
      <w:r>
        <w:br/>
      </w:r>
      <w:r>
        <w:rPr>
          <w:rStyle w:val="VerbatimChar"/>
        </w:rPr>
        <w:t xml:space="preserve">                    |  freezes PC and IF/ID, injects a bubble into ID/EX  |</w:t>
      </w:r>
      <w:r>
        <w:br/>
      </w:r>
      <w:r>
        <w:rPr>
          <w:rStyle w:val="VerbatimChar"/>
        </w:rPr>
        <w:t xml:space="preserve">                    +----+------------------------------------------------+</w:t>
      </w:r>
      <w:r>
        <w:br/>
      </w:r>
      <w:r>
        <w:rPr>
          <w:rStyle w:val="VerbatimChar"/>
        </w:rPr>
        <w:t xml:space="preserve">                         | Stall</w:t>
      </w:r>
      <w:r>
        <w:br/>
      </w:r>
      <w:r>
        <w:rPr>
          <w:rStyle w:val="VerbatimChar"/>
        </w:rPr>
        <w:t xml:space="preserve">  +----+   +--------+    v    +--------+       +--------+       +--------+</w:t>
      </w:r>
      <w:r>
        <w:br/>
      </w:r>
      <w:r>
        <w:rPr>
          <w:rStyle w:val="VerbatimChar"/>
        </w:rPr>
        <w:t xml:space="preserve">  | PC |--&gt;| IF/ID  |--------&gt;| ID/EX  |------&gt;| EX/MEM |------&gt;| MEM/WB |</w:t>
      </w:r>
      <w:r>
        <w:br/>
      </w:r>
      <w:r>
        <w:rPr>
          <w:rStyle w:val="VerbatimChar"/>
        </w:rPr>
        <w:t xml:space="preserve">  +----+   +--------+         +--------+       +--------+       +--------+</w:t>
      </w:r>
      <w:r>
        <w:br/>
      </w:r>
      <w:r>
        <w:rPr>
          <w:rStyle w:val="VerbatimChar"/>
        </w:rPr>
        <w:t xml:space="preserve">     ^         ^ Flush             |                |                |</w:t>
      </w:r>
      <w:r>
        <w:br/>
      </w:r>
      <w:r>
        <w:rPr>
          <w:rStyle w:val="VerbatimChar"/>
        </w:rPr>
        <w:t xml:space="preserve">     |         |                   v                |                |</w:t>
      </w:r>
      <w:r>
        <w:br/>
      </w:r>
      <w:r>
        <w:rPr>
          <w:rStyle w:val="VerbatimChar"/>
        </w:rPr>
        <w:t xml:space="preserve">     |    +----+-----+      +-------------+         |                |</w:t>
      </w:r>
      <w:r>
        <w:br/>
      </w:r>
      <w:r>
        <w:rPr>
          <w:rStyle w:val="VerbatimChar"/>
        </w:rPr>
        <w:t xml:space="preserve">     |    |  BRANCH  |      |  ForwardA   |&lt;--------+                |</w:t>
      </w:r>
      <w:r>
        <w:br/>
      </w:r>
      <w:r>
        <w:rPr>
          <w:rStyle w:val="VerbatimChar"/>
        </w:rPr>
        <w:t xml:space="preserve">     |    |  COMPARE |      |    MUX      |&lt;-------------------------+</w:t>
      </w:r>
      <w:r>
        <w:br/>
      </w:r>
      <w:r>
        <w:rPr>
          <w:rStyle w:val="VerbatimChar"/>
        </w:rPr>
        <w:t xml:space="preserve">     |    |  (in ID) |      +------+------+         |                |</w:t>
      </w:r>
      <w:r>
        <w:br/>
      </w:r>
      <w:r>
        <w:rPr>
          <w:rStyle w:val="VerbatimChar"/>
        </w:rPr>
        <w:t xml:space="preserve">     |    +----+-----+             v                |                |</w:t>
      </w:r>
      <w:r>
        <w:br/>
      </w:r>
      <w:r>
        <w:rPr>
          <w:rStyle w:val="VerbatimChar"/>
        </w:rPr>
        <w:t xml:space="preserve">     |         |                +-----+             |                |</w:t>
      </w:r>
      <w:r>
        <w:br/>
      </w:r>
      <w:r>
        <w:rPr>
          <w:rStyle w:val="VerbatimChar"/>
        </w:rPr>
        <w:t xml:space="preserve">     +---------+                | ALU |             |                |</w:t>
      </w:r>
      <w:r>
        <w:br/>
      </w:r>
      <w:r>
        <w:rPr>
          <w:rStyle w:val="VerbatimChar"/>
        </w:rPr>
        <w:t xml:space="preserve">       PCSrc                    +-----+             |                |</w:t>
      </w:r>
      <w:r>
        <w:br/>
      </w:r>
      <w:r>
        <w:rPr>
          <w:rStyle w:val="VerbatimChar"/>
        </w:rPr>
        <w:t xml:space="preserve">                                   ^                |                |</w:t>
      </w:r>
      <w:r>
        <w:br/>
      </w:r>
      <w:r>
        <w:rPr>
          <w:rStyle w:val="VerbatimChar"/>
        </w:rPr>
        <w:t xml:space="preserve">                             +-----+-------+        |                |</w:t>
      </w:r>
      <w:r>
        <w:br/>
      </w:r>
      <w:r>
        <w:rPr>
          <w:rStyle w:val="VerbatimChar"/>
        </w:rPr>
        <w:t xml:space="preserve">                             |  ForwardB   |&lt;-------+                |</w:t>
      </w:r>
      <w:r>
        <w:br/>
      </w:r>
      <w:r>
        <w:rPr>
          <w:rStyle w:val="VerbatimChar"/>
        </w:rPr>
        <w:t xml:space="preserve">                             |    MUX      |&lt;------------------------+</w:t>
      </w:r>
      <w:r>
        <w:br/>
      </w:r>
      <w:r>
        <w:rPr>
          <w:rStyle w:val="VerbatimChar"/>
        </w:rPr>
        <w:t xml:space="preserve">                             +-------------+</w:t>
      </w:r>
      <w:r>
        <w:br/>
      </w:r>
      <w:r>
        <w:br/>
      </w:r>
      <w:r>
        <w:rPr>
          <w:rStyle w:val="VerbatimChar"/>
        </w:rPr>
        <w:t xml:space="preserve">   ForwardC / ForwardD muxes feed the ID-stage branch comparator from</w:t>
      </w:r>
      <w:r>
        <w:br/>
      </w:r>
      <w:r>
        <w:rPr>
          <w:rStyle w:val="VerbatimChar"/>
        </w:rPr>
        <w:t xml:space="preserve">   EX/MEM (not drawn; same shape as the ForwardA / ForwardB muxes).</w:t>
      </w:r>
    </w:p>
    <w:p>
      <w:pPr>
        <w:pStyle w:val="FirstParagraph"/>
      </w:pPr>
      <w:r>
        <w:t xml:space="preserve">Three new blocks, all combinational except the latch-control they drive: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1677"/>
        <w:gridCol w:w="4085"/>
        <w:gridCol w:w="1964"/>
        <w:gridCol w:w="1341"/>
      </w:tblGrid>
      <w:tr>
        <w:trPr>
          <w:tblHeader w:val="true"/>
        </w:trPr>
        <w:tc>
          <w:tcPr>
            <w:tcW w:w="167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Block</w:t>
            </w:r>
          </w:p>
        </w:tc>
        <w:tc>
          <w:tcPr>
            <w:tcW w:w="408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Inputs</w:t>
            </w:r>
          </w:p>
        </w:tc>
        <w:tc>
          <w:tcPr>
            <w:tcW w:w="196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Outputs</w:t>
            </w:r>
          </w:p>
        </w:tc>
        <w:tc>
          <w:tcPr>
            <w:tcW w:w="134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Where it lives</w:t>
            </w:r>
          </w:p>
        </w:tc>
      </w:tr>
      <w:tr>
        <w:tc>
          <w:tcPr>
            <w:tcW w:w="1677" w:type="dxa"/>
          </w:tcPr>
          <w:p>
            <w:pPr>
              <w:pStyle w:val="Compact"/>
              <w:jc w:val="left"/>
            </w:pPr>
            <w:r>
              <w:t xml:space="preserve">Forwarding unit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EX/MEM.RegisterRd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EX/MEM.RegWrite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MEM/WB.RegisterRd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MEM/WB.RegWrite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ID/EX.RegisterRs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ID/EX.RegisterRt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ForwardA[1:0]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ForwardB[1:0]</w:t>
            </w:r>
          </w:p>
        </w:tc>
        <w:tc>
          <w:tcPr>
            <w:tcW w:w="1341" w:type="dxa"/>
          </w:tcPr>
          <w:p>
            <w:pPr>
              <w:pStyle w:val="Compact"/>
              <w:jc w:val="left"/>
            </w:pPr>
            <w:r>
              <w:t xml:space="preserve">EX stage</w:t>
            </w:r>
          </w:p>
        </w:tc>
      </w:tr>
      <w:tr>
        <w:tc>
          <w:tcPr>
            <w:tcW w:w="1677" w:type="dxa"/>
          </w:tcPr>
          <w:p>
            <w:pPr>
              <w:pStyle w:val="Compact"/>
              <w:jc w:val="left"/>
            </w:pPr>
            <w:r>
              <w:t xml:space="preserve">Hazard-detection unit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ID/EX.MemRead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ID/EX.RegisterRt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IF/ID.RegisterRs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IF/ID.RegisterRt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</w:t>
            </w:r>
          </w:p>
        </w:tc>
        <w:tc>
          <w:tcPr>
            <w:tcW w:w="1341" w:type="dxa"/>
          </w:tcPr>
          <w:p>
            <w:pPr>
              <w:pStyle w:val="Compact"/>
              <w:jc w:val="left"/>
            </w:pPr>
            <w:r>
              <w:t xml:space="preserve">ID stage</w:t>
            </w:r>
          </w:p>
        </w:tc>
      </w:tr>
      <w:tr>
        <w:tc>
          <w:tcPr>
            <w:tcW w:w="1677" w:type="dxa"/>
          </w:tcPr>
          <w:p>
            <w:pPr>
              <w:pStyle w:val="Compact"/>
              <w:jc w:val="left"/>
            </w:pPr>
            <w:r>
              <w:t xml:space="preserve">Branch resolution</w:t>
            </w:r>
          </w:p>
        </w:tc>
        <w:tc>
          <w:tcPr>
            <w:tcW w:w="4085" w:type="dxa"/>
          </w:tcPr>
          <w:p>
            <w:pPr>
              <w:pStyle w:val="Compact"/>
              <w:jc w:val="left"/>
            </w:pPr>
            <w:r>
              <w:t xml:space="preserve">ID-stage comparator +</w:t>
            </w:r>
            <w:r>
              <w:t xml:space="preserve"> </w:t>
            </w:r>
            <w:r>
              <w:rPr>
                <w:rStyle w:val="VerbatimChar"/>
              </w:rPr>
              <w:t xml:space="preserve">ForwardC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ForwardD</w:t>
            </w:r>
          </w:p>
        </w:tc>
        <w:tc>
          <w:tcPr>
            <w:tcW w:w="1964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PCSrc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Flush</w:t>
            </w:r>
          </w:p>
        </w:tc>
        <w:tc>
          <w:tcPr>
            <w:tcW w:w="1341" w:type="dxa"/>
          </w:tcPr>
          <w:p>
            <w:pPr>
              <w:pStyle w:val="Compact"/>
              <w:jc w:val="left"/>
            </w:pPr>
            <w:r>
              <w:t xml:space="preserve">ID stage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21"/>
    <w:bookmarkStart w:id="25" w:name="X81221b8660b1997dfb0337a904d170f4c1b4c89"/>
    <w:p>
      <w:pPr>
        <w:pStyle w:val="Heading2"/>
      </w:pPr>
      <w:r>
        <w:t xml:space="preserve">3. Forwarding unit — truth table</w:t>
      </w:r>
    </w:p>
    <w:p>
      <w:pPr>
        <w:pStyle w:val="FirstParagraph"/>
      </w:pPr>
      <w:r>
        <w:rPr>
          <w:rStyle w:val="VerbatimChar"/>
        </w:rPr>
        <w:t xml:space="preserve">ForwardA</w:t>
      </w:r>
      <w:r>
        <w:t xml:space="preserve"> </w:t>
      </w:r>
      <w:r>
        <w:t xml:space="preserve">selects the first ALU operand;</w:t>
      </w:r>
      <w:r>
        <w:t xml:space="preserve"> </w:t>
      </w:r>
      <w:r>
        <w:rPr>
          <w:rStyle w:val="VerbatimChar"/>
        </w:rPr>
        <w:t xml:space="preserve">ForwardB</w:t>
      </w:r>
      <w:r>
        <w:t xml:space="preserve"> </w:t>
      </w:r>
      <w:r>
        <w:t xml:space="preserve">the second. Both are 2-bit.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2316"/>
        <w:gridCol w:w="6753"/>
      </w:tblGrid>
      <w:tr>
        <w:trPr>
          <w:tblHeader w:val="true"/>
        </w:trPr>
        <w:tc>
          <w:tcPr>
            <w:tcW w:w="23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ForwardA</w:t>
            </w:r>
          </w:p>
        </w:tc>
        <w:tc>
          <w:tcPr>
            <w:tcW w:w="675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Source selected</w:t>
            </w:r>
          </w:p>
        </w:tc>
      </w:tr>
      <w:tr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>
            <w:tcW w:w="6753" w:type="dxa"/>
          </w:tcPr>
          <w:p>
            <w:pPr>
              <w:pStyle w:val="Compact"/>
              <w:jc w:val="left"/>
            </w:pPr>
            <w:r>
              <w:t xml:space="preserve">Register file (</w:t>
            </w:r>
            <w:r>
              <w:rPr>
                <w:rStyle w:val="VerbatimChar"/>
              </w:rPr>
              <w:t xml:space="preserve">ID/EX.RegisterRs</w:t>
            </w:r>
            <w:r>
              <w:t xml:space="preserve"> </w:t>
            </w:r>
            <w:r>
              <w:t xml:space="preserve">value read in ID)</w:t>
            </w:r>
          </w:p>
        </w:tc>
      </w:tr>
      <w:tr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>
            <w:tcW w:w="675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EX/MEM.ALUResult</w:t>
            </w:r>
            <w:r>
              <w:t xml:space="preserve"> </w:t>
            </w:r>
            <w:r>
              <w:t xml:space="preserve">— the immediately preceding instruction</w:t>
            </w:r>
          </w:p>
        </w:tc>
      </w:tr>
      <w:tr>
        <w:tc>
          <w:tcPr>
            <w:tcW w:w="231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>
            <w:tcW w:w="6753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MEM/WB</w:t>
            </w:r>
            <w:r>
              <w:t xml:space="preserve"> </w:t>
            </w:r>
            <w:r>
              <w:t xml:space="preserve">write-back value — two instructions back</w:t>
            </w:r>
          </w:p>
        </w:tc>
      </w:tr>
    </w:tbl>
    <w:p>
      <w:pPr>
        <w:pStyle w:val="BodyText"/>
      </w:pPr>
      <w:r>
        <w:rPr>
          <w:bCs/>
          <w:b/>
        </w:rPr>
        <w:t xml:space="preserve">Truth table (rows evaluated top to bottom; the first matching row wins — this ordering</w:t>
      </w:r>
      <w:r>
        <w:rPr>
          <w:bCs/>
          <w:b/>
        </w:rPr>
        <w:t xml:space="preserve"> </w:t>
      </w:r>
      <w:r>
        <w:rPr>
          <w:iCs/>
          <w:i/>
          <w:bCs/>
          <w:b/>
        </w:rPr>
        <w:t xml:space="preserve">is</w:t>
      </w:r>
      <w:r>
        <w:rPr>
          <w:bCs/>
          <w:b/>
        </w:rPr>
        <w:t xml:space="preserve"> </w:t>
      </w:r>
      <w:r>
        <w:rPr>
          <w:bCs/>
          <w:b/>
        </w:rPr>
        <w:t xml:space="preserve">the priority rule):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880"/>
        <w:gridCol w:w="1216"/>
        <w:gridCol w:w="1084"/>
        <w:gridCol w:w="1374"/>
        <w:gridCol w:w="1173"/>
        <w:gridCol w:w="1084"/>
        <w:gridCol w:w="1374"/>
        <w:gridCol w:w="880"/>
      </w:tblGrid>
      <w:tr>
        <w:trPr>
          <w:tblHeader w:val="true"/>
        </w:trPr>
        <w:tc>
          <w:tcPr>
            <w:tcW w:w="8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w="121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EX/MEM.RegWrite</w:t>
            </w:r>
          </w:p>
        </w:tc>
        <w:tc>
          <w:tcPr>
            <w:tcW w:w="10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EX/MEM.Rd ≠ 0</w:t>
            </w:r>
          </w:p>
        </w:tc>
        <w:tc>
          <w:tcPr>
            <w:tcW w:w="13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EX/MEM.Rd = ID/EX.Rs</w:t>
            </w:r>
          </w:p>
        </w:tc>
        <w:tc>
          <w:tcPr>
            <w:tcW w:w="117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MEM/WB.RegWrite</w:t>
            </w:r>
          </w:p>
        </w:tc>
        <w:tc>
          <w:tcPr>
            <w:tcW w:w="108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MEM/WB.Rd ≠ 0</w:t>
            </w:r>
          </w:p>
        </w:tc>
        <w:tc>
          <w:tcPr>
            <w:tcW w:w="1374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MEM/WB.Rd = ID/EX.Rs</w:t>
            </w:r>
          </w:p>
        </w:tc>
        <w:tc>
          <w:tcPr>
            <w:tcW w:w="880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ForwardA</w:t>
            </w:r>
          </w:p>
        </w:tc>
      </w:tr>
      <w:tr>
        <w:tc>
          <w:tcPr>
            <w:tcW w:w="880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216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84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374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173" w:type="dxa"/>
          </w:tcPr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>
            <w:tcW w:w="1084" w:type="dxa"/>
          </w:tcPr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>
            <w:tcW w:w="1374" w:type="dxa"/>
          </w:tcPr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>
            <w:tcW w:w="88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10</w:t>
            </w:r>
          </w:p>
        </w:tc>
      </w:tr>
      <w:tr>
        <w:tc>
          <w:tcPr>
            <w:tcW w:w="880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216" w:type="dxa"/>
          </w:tcPr>
          <w:p>
            <w:pPr>
              <w:pStyle w:val="Compact"/>
              <w:jc w:val="left"/>
            </w:pPr>
            <w:r>
              <w:t xml:space="preserve">0 or match fails</w:t>
            </w:r>
          </w:p>
        </w:tc>
        <w:tc>
          <w:tcPr>
            <w:tcW w:w="108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374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1173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084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374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88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01</w:t>
            </w:r>
          </w:p>
        </w:tc>
      </w:tr>
      <w:tr>
        <w:tc>
          <w:tcPr>
            <w:tcW w:w="880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216" w:type="dxa"/>
          </w:tcPr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>
            <w:tcW w:w="1084" w:type="dxa"/>
          </w:tcPr>
          <w:p>
            <w:pPr>
              <w:pStyle w:val="Compact"/>
            </w:pPr>
          </w:p>
        </w:tc>
        <w:tc>
          <w:tcPr>
            <w:tcW w:w="1374" w:type="dxa"/>
          </w:tcPr>
          <w:p>
            <w:pPr>
              <w:pStyle w:val="Compact"/>
            </w:pPr>
          </w:p>
        </w:tc>
        <w:tc>
          <w:tcPr>
            <w:tcW w:w="1173" w:type="dxa"/>
          </w:tcPr>
          <w:p>
            <w:pPr>
              <w:pStyle w:val="Compact"/>
            </w:pPr>
          </w:p>
        </w:tc>
        <w:tc>
          <w:tcPr>
            <w:tcW w:w="1084" w:type="dxa"/>
          </w:tcPr>
          <w:p>
            <w:pPr>
              <w:pStyle w:val="Compact"/>
            </w:pPr>
          </w:p>
        </w:tc>
        <w:tc>
          <w:tcPr>
            <w:tcW w:w="1374" w:type="dxa"/>
          </w:tcPr>
          <w:p>
            <w:pPr>
              <w:pStyle w:val="Compact"/>
            </w:pPr>
          </w:p>
        </w:tc>
        <w:tc>
          <w:tcPr>
            <w:tcW w:w="880" w:type="dxa"/>
          </w:tcPr>
          <w:p>
            <w:pPr>
              <w:pStyle w:val="Compact"/>
              <w:jc w:val="left"/>
            </w:pPr>
            <w:r>
              <w:rPr>
                <w:rStyle w:val="VerbatimChar"/>
                <w:bCs/>
                <w:b/>
              </w:rPr>
              <w:t xml:space="preserve">00</w:t>
            </w:r>
          </w:p>
        </w:tc>
      </w:tr>
    </w:tbl>
    <w:p>
      <w:pPr>
        <w:pStyle w:val="BodyText"/>
      </w:pPr>
      <w:r>
        <w:rPr>
          <w:rStyle w:val="VerbatimChar"/>
        </w:rPr>
        <w:t xml:space="preserve">ForwardB</w:t>
      </w:r>
      <w:r>
        <w:t xml:space="preserve"> </w:t>
      </w:r>
      <w:r>
        <w:t xml:space="preserve">is the identical table with</w:t>
      </w:r>
      <w:r>
        <w:t xml:space="preserve"> </w:t>
      </w:r>
      <w:r>
        <w:rPr>
          <w:rStyle w:val="VerbatimChar"/>
        </w:rPr>
        <w:t xml:space="preserve">ID/EX.Rt</w:t>
      </w:r>
      <w:r>
        <w:t xml:space="preserve"> </w:t>
      </w:r>
      <w:r>
        <w:t xml:space="preserve">substituted for</w:t>
      </w:r>
      <w:r>
        <w:t xml:space="preserve"> </w:t>
      </w:r>
      <w:r>
        <w:rPr>
          <w:rStyle w:val="VerbatimChar"/>
        </w:rPr>
        <w:t xml:space="preserve">ID/EX.Rs</w:t>
      </w:r>
      <w:r>
        <w:t xml:space="preserve">.</w:t>
      </w:r>
    </w:p>
    <w:bookmarkStart w:id="22" w:name="X606191c23dded6335e857cb1b0d0de001f911ac"/>
    <w:p>
      <w:pPr>
        <w:pStyle w:val="Heading3"/>
      </w:pPr>
      <w:r>
        <w:t xml:space="preserve">As Boolean equations (what you actually wire in Logisim)</w:t>
      </w:r>
    </w:p>
    <w:p>
      <w:pPr>
        <w:pStyle w:val="SourceCode"/>
      </w:pPr>
      <w:r>
        <w:rPr>
          <w:rStyle w:val="VerbatimChar"/>
        </w:rPr>
        <w:t xml:space="preserve">EXhitA  = EX/MEM.RegWrite  AND  (EX/MEM.Rd != 0)  AND  (EX/MEM.Rd = ID/EX.Rs)</w:t>
      </w:r>
      <w:r>
        <w:br/>
      </w:r>
      <w:r>
        <w:rPr>
          <w:rStyle w:val="VerbatimChar"/>
        </w:rPr>
        <w:t xml:space="preserve">WBhitA  = MEM/WB.RegWrite  AND  (MEM/WB.Rd != 0)  AND  (MEM/WB.Rd = ID/EX.Rs)</w:t>
      </w:r>
      <w:r>
        <w:br/>
      </w:r>
      <w:r>
        <w:br/>
      </w:r>
      <w:r>
        <w:rPr>
          <w:rStyle w:val="VerbatimChar"/>
        </w:rPr>
        <w:t xml:space="preserve">ForwardA[1] = EXhitA</w:t>
      </w:r>
      <w:r>
        <w:br/>
      </w:r>
      <w:r>
        <w:rPr>
          <w:rStyle w:val="VerbatimChar"/>
        </w:rPr>
        <w:t xml:space="preserve">ForwardA[0] = WBhitA  AND  EXhitA'          &lt;- the priority term. Do not omit it.</w:t>
      </w:r>
    </w:p>
    <w:bookmarkEnd w:id="22"/>
    <w:bookmarkStart w:id="23" w:name="Xf12bc16eb1921cdc5846797d9e8cbd11a66ab3c"/>
    <w:p>
      <w:pPr>
        <w:pStyle w:val="Heading3"/>
      </w:pPr>
      <w:r>
        <w:t xml:space="preserve">The priority rule, and why it is the graded trap</w:t>
      </w:r>
    </w:p>
    <w:p>
      <w:pPr>
        <w:pStyle w:val="FirstParagraph"/>
      </w:pPr>
      <w:r>
        <w:t xml:space="preserve">Row 1 must be checked</w:t>
      </w:r>
      <w:r>
        <w:t xml:space="preserve"> </w:t>
      </w:r>
      <w:r>
        <w:rPr>
          <w:bCs/>
          <w:b/>
        </w:rPr>
        <w:t xml:space="preserve">before</w:t>
      </w:r>
      <w:r>
        <w:t xml:space="preserve"> </w:t>
      </w:r>
      <w:r>
        <w:t xml:space="preserve">row 2. When two instructions in flight both write the same register, the one in EX/MEM is the</w:t>
      </w:r>
      <w:r>
        <w:t xml:space="preserve"> </w:t>
      </w:r>
      <w:r>
        <w:rPr>
          <w:iCs/>
          <w:i/>
        </w:rPr>
        <w:t xml:space="preserve">newer</w:t>
      </w:r>
      <w:r>
        <w:t xml:space="preserve"> </w:t>
      </w:r>
      <w:r>
        <w:t xml:space="preserve">one and its value is the architecturally correct one.</w:t>
      </w:r>
    </w:p>
    <w:p>
      <w:pPr>
        <w:pStyle w:val="SourceCode"/>
      </w:pPr>
      <w:r>
        <w:rPr>
          <w:rStyle w:val="VerbatimChar"/>
        </w:rPr>
        <w:t xml:space="preserve">ADDI R1, R0, 111      &lt;- older, will be in MEM/WB</w:t>
      </w:r>
      <w:r>
        <w:br/>
      </w:r>
      <w:r>
        <w:rPr>
          <w:rStyle w:val="VerbatimChar"/>
        </w:rPr>
        <w:t xml:space="preserve">ADDI R1, R0, 222      &lt;- newer, will be in EX/MEM</w:t>
      </w:r>
      <w:r>
        <w:br/>
      </w:r>
      <w:r>
        <w:rPr>
          <w:rStyle w:val="VerbatimChar"/>
        </w:rPr>
        <w:t xml:space="preserve">ADD  R2, R1, R0       &lt;- must read 222</w:t>
      </w:r>
    </w:p>
    <w:p>
      <w:pPr>
        <w:pStyle w:val="FirstParagraph"/>
      </w:pPr>
      <w:r>
        <w:t xml:space="preserve">Invert the priority and this returns 111 — silently, with no crash. It passes every single-dependence test. The instructor notes for this project say explicitly that a three-instruction dependency chain will be used to probe for exactly this at the defence. Test vector</w:t>
      </w:r>
      <w:r>
        <w:t xml:space="preserve"> </w:t>
      </w:r>
      <w:r>
        <w:rPr>
          <w:bCs/>
          <w:b/>
        </w:rPr>
        <w:t xml:space="preserve">V6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tests/hazard_test_vectors.py</w:t>
      </w:r>
      <w:r>
        <w:t xml:space="preserve"> </w:t>
      </w:r>
      <w:r>
        <w:t xml:space="preserve">is that chain.</w:t>
      </w:r>
    </w:p>
    <w:bookmarkEnd w:id="23"/>
    <w:bookmarkStart w:id="24" w:name="what-must-not-appear-in-this-table"/>
    <w:p>
      <w:pPr>
        <w:pStyle w:val="Heading3"/>
      </w:pPr>
      <w:r>
        <w:t xml:space="preserve">What must NOT appear in this table</w:t>
      </w:r>
    </w:p>
    <w:p>
      <w:pPr>
        <w:pStyle w:val="FirstParagraph"/>
      </w:pPr>
      <w:r>
        <w:t xml:space="preserve">There is no row for "EX/MEM holds a load." A load's data does not exist until the end of MEM, so the EX/MEM latch holds only its computed</w:t>
      </w:r>
      <w:r>
        <w:t xml:space="preserve"> </w:t>
      </w:r>
      <w:r>
        <w:rPr>
          <w:iCs/>
          <w:i/>
        </w:rPr>
        <w:t xml:space="preserve">address</w:t>
      </w:r>
      <w:r>
        <w:t xml:space="preserve">, not its data. Forwarding that address as if it were data is the error Project 3 section M warns about — it produces a plausible-looking wrong number rather than a crash. The hazard-detection unit exists precisely so this row can never be reached, and the simulator asserts on it.</w:t>
      </w:r>
    </w:p>
    <w:p>
      <w:r>
        <w:pict>
          <ns1:rect style="width:0;height:1.5pt" ns2:hralign="center" ns2:hrstd="t" ns2:hr="t"/>
        </w:pict>
      </w:r>
    </w:p>
    <w:bookmarkEnd w:id="24"/>
    <w:bookmarkEnd w:id="25"/>
    <w:bookmarkStart w:id="28" w:name="X4815b6ccc2f86f5394102ca05706aeb91d1801e"/>
    <w:p>
      <w:pPr>
        <w:pStyle w:val="Heading2"/>
      </w:pPr>
      <w:r>
        <w:t xml:space="preserve">4. Hazard-detection unit — truth table</w:t>
      </w:r>
    </w:p>
    <w:p>
      <w:pPr>
        <w:pStyle w:val="FirstParagraph"/>
      </w:pPr>
      <w:r>
        <w:t xml:space="preserve">Fires only for the load-use case.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881"/>
        <w:gridCol w:w="1325"/>
        <w:gridCol w:w="1268"/>
        <w:gridCol w:w="2356"/>
        <w:gridCol w:w="2356"/>
        <w:gridCol w:w="881"/>
      </w:tblGrid>
      <w:tr>
        <w:trPr>
          <w:tblHeader w:val="true"/>
        </w:trPr>
        <w:tc>
          <w:tcPr>
            <w:tcW w:w="88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#</w:t>
            </w:r>
          </w:p>
        </w:tc>
        <w:tc>
          <w:tcPr>
            <w:tcW w:w="132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ID/EX.MemRead</w:t>
            </w:r>
          </w:p>
        </w:tc>
        <w:tc>
          <w:tcPr>
            <w:tcW w:w="1268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ID/EX.Rt ≠ 0</w:t>
            </w:r>
          </w:p>
        </w:tc>
        <w:tc>
          <w:tcPr>
            <w:tcW w:w="23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ID/EX.Rt = IF/ID.Rs</w:t>
            </w:r>
            <w:r>
              <w:rPr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IF/ID</w:t>
            </w:r>
            <w:r>
              <w:rPr>
                <w:b/>
              </w:rPr>
              <w:t xml:space="preserve"> </w:t>
            </w:r>
            <w:r>
              <w:rPr>
                <w:b/>
                <w:iCs/>
                <w:i/>
              </w:rPr>
              <w:t xml:space="preserve">uses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Rs</w:t>
            </w:r>
          </w:p>
        </w:tc>
        <w:tc>
          <w:tcPr>
            <w:tcW w:w="235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  <w:rStyle w:val="VerbatimChar"/>
              </w:rPr>
              <w:t xml:space="preserve">ID/EX.Rt = IF/ID.Rt</w:t>
            </w:r>
            <w:r>
              <w:rPr>
                <w:b/>
              </w:rPr>
              <w:t xml:space="preserve"> </w:t>
            </w:r>
            <w:r>
              <w:rPr>
                <w:bCs/>
                <w:b/>
              </w:rPr>
              <w:t xml:space="preserve">and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IF/ID</w:t>
            </w:r>
            <w:r>
              <w:rPr>
                <w:b/>
              </w:rPr>
              <w:t xml:space="preserve"> </w:t>
            </w:r>
            <w:r>
              <w:rPr>
                <w:b/>
                <w:iCs/>
                <w:i/>
              </w:rPr>
              <w:t xml:space="preserve">uses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 xml:space="preserve">Rt</w:t>
            </w:r>
          </w:p>
        </w:tc>
        <w:tc>
          <w:tcPr>
            <w:tcW w:w="88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Stall</w:t>
            </w:r>
          </w:p>
        </w:tc>
      </w:tr>
      <w:tr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32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356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356" w:type="dxa"/>
          </w:tcPr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w="1325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1268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356" w:type="dxa"/>
          </w:tcPr>
          <w:p>
            <w:pPr>
              <w:pStyle w:val="Compact"/>
              <w:jc w:val="left"/>
            </w:pPr>
            <w:r>
              <w:t xml:space="preserve">×</w:t>
            </w:r>
          </w:p>
        </w:tc>
        <w:tc>
          <w:tcPr>
            <w:tcW w:w="2356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</w:tr>
      <w:tr>
        <w:tc>
          <w:tcPr>
            <w:tcW w:w="881" w:type="dxa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w="1325" w:type="dxa"/>
          </w:tcPr>
          <w:p>
            <w:pPr>
              <w:pStyle w:val="Compact"/>
              <w:jc w:val="left"/>
            </w:pPr>
            <w:r>
              <w:t xml:space="preserve">otherwise</w:t>
            </w:r>
          </w:p>
        </w:tc>
        <w:tc>
          <w:tcPr>
            <w:tcW w:w="1268" w:type="dxa"/>
          </w:tcPr>
          <w:p>
            <w:pPr>
              <w:pStyle w:val="Compact"/>
            </w:pPr>
          </w:p>
        </w:tc>
        <w:tc>
          <w:tcPr>
            <w:tcW w:w="2356" w:type="dxa"/>
          </w:tcPr>
          <w:p>
            <w:pPr>
              <w:pStyle w:val="Compact"/>
            </w:pPr>
          </w:p>
        </w:tc>
        <w:tc>
          <w:tcPr>
            <w:tcW w:w="2356" w:type="dxa"/>
          </w:tcPr>
          <w:p>
            <w:pPr>
              <w:pStyle w:val="Compact"/>
            </w:pPr>
          </w:p>
        </w:tc>
        <w:tc>
          <w:tcPr>
            <w:tcW w:w="881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Stall = ID/EX.MemRead  AND  (ID/EX.Rt != 0)</w:t>
      </w:r>
      <w:r>
        <w:br/>
      </w:r>
      <w:r>
        <w:rPr>
          <w:rStyle w:val="VerbatimChar"/>
        </w:rPr>
        <w:t xml:space="preserve">         AND  [ (UsesRs  AND  (ID/EX.Rt = IF/ID.Rs)) + (UsesRt  AND  (ID/EX.Rt = IF/ID.Rt)) ]</w:t>
      </w:r>
    </w:p>
    <w:bookmarkStart w:id="26" w:name="X2c18d1181b87e00341703d1a8444155eb934965"/>
    <w:p>
      <w:pPr>
        <w:pStyle w:val="Heading3"/>
      </w:pPr>
      <w:r>
        <w:t xml:space="preserve">The</w:t>
      </w:r>
      <w:r>
        <w:t xml:space="preserve"> </w:t>
      </w:r>
      <w:r>
        <w:rPr>
          <w:rStyle w:val="VerbatimChar"/>
        </w:rPr>
        <w:t xml:space="preserve">UsesRs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UsesRt</w:t>
      </w:r>
      <w:r>
        <w:t xml:space="preserve"> </w:t>
      </w:r>
      <w:r>
        <w:t xml:space="preserve">decode — the subtlety H&amp;P's figure hides</w:t>
      </w:r>
    </w:p>
    <w:p>
      <w:pPr>
        <w:pStyle w:val="FirstParagraph"/>
      </w:pPr>
      <w:r>
        <w:t xml:space="preserve">H&amp;P's textbook figure compares against</w:t>
      </w:r>
      <w:r>
        <w:t xml:space="preserve"> </w:t>
      </w:r>
      <w:r>
        <w:rPr>
          <w:rStyle w:val="VerbatimChar"/>
        </w:rPr>
        <w:t xml:space="preserve">IF/ID.RegisterRs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IF/ID.RegisterRt</w:t>
      </w:r>
      <w:r>
        <w:t xml:space="preserve"> </w:t>
      </w:r>
      <w:r>
        <w:t xml:space="preserve">unconditionally. That is a simplification that produces</w:t>
      </w:r>
      <w:r>
        <w:t xml:space="preserve"> </w:t>
      </w:r>
      <w:r>
        <w:rPr>
          <w:bCs/>
          <w:b/>
        </w:rPr>
        <w:t xml:space="preserve">false stalls</w:t>
      </w:r>
      <w:r>
        <w:t xml:space="preserve"> </w:t>
      </w:r>
      <w:r>
        <w:t xml:space="preserve">on real instruction mixes, because not every instruction reads both fields: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2462"/>
        <w:gridCol w:w="1345"/>
        <w:gridCol w:w="1345"/>
        <w:gridCol w:w="1076"/>
        <w:gridCol w:w="2839"/>
      </w:tblGrid>
      <w:tr>
        <w:trPr>
          <w:tblHeader w:val="true"/>
        </w:trPr>
        <w:tc>
          <w:tcPr>
            <w:tcW w:w="24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Instruction</w:t>
            </w:r>
          </w:p>
        </w:tc>
        <w:tc>
          <w:tcPr>
            <w:tcW w:w="13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Reads Rs?</w:t>
            </w:r>
          </w:p>
        </w:tc>
        <w:tc>
          <w:tcPr>
            <w:tcW w:w="134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Reads Rt?</w:t>
            </w:r>
          </w:p>
        </w:tc>
        <w:tc>
          <w:tcPr>
            <w:tcW w:w="107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Writes</w:t>
            </w:r>
          </w:p>
        </w:tc>
        <w:tc>
          <w:tcPr>
            <w:tcW w:w="283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Note</w:t>
            </w: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ADD/SUB/AND/OR/SLT rd,rs,rt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rd</w:t>
            </w:r>
          </w:p>
        </w:tc>
        <w:tc>
          <w:tcPr>
            <w:tcW w:w="2839" w:type="dxa"/>
          </w:tcPr>
          <w:p>
            <w:pPr>
              <w:pStyle w:val="Compact"/>
            </w:pP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ADDI rt,rs,imm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</w:t>
            </w:r>
            <w:r>
              <w:t xml:space="preserve"> </w:t>
            </w:r>
            <w:r>
              <w:t xml:space="preserve">is the</w:t>
            </w:r>
            <w:r>
              <w:t xml:space="preserve"> </w:t>
            </w:r>
            <w:r>
              <w:rPr>
                <w:iCs/>
                <w:i/>
              </w:rPr>
              <w:t xml:space="preserve">destination</w:t>
            </w:r>
            <w:r>
              <w:t xml:space="preserve">, not a source</w:t>
            </w: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 rt,imm(rs)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</w:t>
            </w:r>
          </w:p>
        </w:tc>
        <w:tc>
          <w:tcPr>
            <w:tcW w:w="2839" w:type="dxa"/>
          </w:tcPr>
          <w:p>
            <w:pPr>
              <w:pStyle w:val="Compact"/>
            </w:pP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 rt,imm(rs)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yes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83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rt</w:t>
            </w:r>
            <w:r>
              <w:t xml:space="preserve"> </w:t>
            </w:r>
            <w:r>
              <w:t xml:space="preserve">is the store</w:t>
            </w:r>
            <w:r>
              <w:t xml:space="preserve"> </w:t>
            </w:r>
            <w:r>
              <w:rPr>
                <w:bCs/>
                <w:b/>
              </w:rPr>
              <w:t xml:space="preserve">data</w:t>
            </w:r>
            <w:r>
              <w:t xml:space="preserve">, a real source</w:t>
            </w: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BEQ/BNE rs,rt,L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839" w:type="dxa"/>
          </w:tcPr>
          <w:p>
            <w:pPr>
              <w:pStyle w:val="Compact"/>
            </w:pPr>
          </w:p>
        </w:tc>
      </w:tr>
      <w:tr>
        <w:tc>
          <w:tcPr>
            <w:tcW w:w="24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NOP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w="1345" w:type="dxa"/>
          </w:tcPr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>
            <w:tcW w:w="1076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>
            <w:tcW w:w="2839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Two consequences your team must be able to state at the defence: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ADDI</w:t>
      </w:r>
      <w:r>
        <w:rPr>
          <w:bCs/>
          <w:b/>
        </w:rP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LW</w:t>
      </w:r>
      <w:r>
        <w:rPr>
          <w:bCs/>
          <w:b/>
        </w:rPr>
        <w:t xml:space="preserve"> </w:t>
      </w:r>
      <w:r>
        <w:rPr>
          <w:bCs/>
          <w:b/>
        </w:rPr>
        <w:t xml:space="preserve">into the same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rt</w:t>
      </w:r>
      <w:r>
        <w:t xml:space="preserve"> </w:t>
      </w:r>
      <w:r>
        <w:t xml:space="preserve">is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a hazard — the</w:t>
      </w:r>
      <w:r>
        <w:t xml:space="preserve"> </w:t>
      </w:r>
      <w:r>
        <w:rPr>
          <w:rStyle w:val="VerbatimChar"/>
        </w:rPr>
        <w:t xml:space="preserve">ADDI</w:t>
      </w:r>
      <w:r>
        <w:t xml:space="preserve"> </w:t>
      </w:r>
      <w:r>
        <w:t xml:space="preserve">overwrites that register, it does not read it. An HDU without the</w:t>
      </w:r>
      <w:r>
        <w:t xml:space="preserve"> </w:t>
      </w:r>
      <w:r>
        <w:rPr>
          <w:rStyle w:val="VerbatimChar"/>
        </w:rPr>
        <w:t xml:space="preserve">UsesRt</w:t>
      </w:r>
      <w:r>
        <w:t xml:space="preserve"> </w:t>
      </w:r>
      <w:r>
        <w:t xml:space="preserve">term stalls here for nothing.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SW</w:t>
      </w:r>
      <w:r>
        <w:rPr>
          <w:bCs/>
          <w:b/>
        </w:rPr>
        <w:t xml:space="preserve"> </w:t>
      </w:r>
      <w:r>
        <w:rPr>
          <w:bCs/>
          <w:b/>
        </w:rPr>
        <w:t xml:space="preserve">after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LW</w:t>
      </w:r>
      <w:r>
        <w:t xml:space="preserve"> </w:t>
      </w:r>
      <w:r>
        <w:rPr>
          <w:iCs/>
          <w:i/>
        </w:rPr>
        <w:t xml:space="preserve">is</w:t>
      </w:r>
      <w:r>
        <w:t xml:space="preserve"> </w:t>
      </w:r>
      <w:r>
        <w:t xml:space="preserve">a hazard on the store data. An HDU that only checks</w:t>
      </w:r>
      <w:r>
        <w:t xml:space="preserve"> </w:t>
      </w:r>
      <w:r>
        <w:rPr>
          <w:rStyle w:val="VerbatimChar"/>
        </w:rPr>
        <w:t xml:space="preserve">Rs</w:t>
      </w:r>
      <w:r>
        <w:t xml:space="preserve"> </w:t>
      </w:r>
      <w:r>
        <w:t xml:space="preserve">misses it entirely and stores garbage. Test vector</w:t>
      </w:r>
      <w:r>
        <w:t xml:space="preserve"> </w:t>
      </w:r>
      <w:r>
        <w:rPr>
          <w:bCs/>
          <w:b/>
        </w:rPr>
        <w:t xml:space="preserve">V7</w:t>
      </w:r>
      <w:r>
        <w:t xml:space="preserve"> </w:t>
      </w:r>
      <w:r>
        <w:t xml:space="preserve">covers this.</w:t>
      </w:r>
    </w:p>
    <w:bookmarkEnd w:id="26"/>
    <w:bookmarkStart w:id="27" w:name="X70bffee0c1200abcd7153e5385e4559696be959"/>
    <w:p>
      <w:pPr>
        <w:pStyle w:val="Heading3"/>
      </w:pPr>
      <w:r>
        <w:t xml:space="preserve">What the stall physically does — three simultaneous actions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2059"/>
        <w:gridCol w:w="3383"/>
        <w:gridCol w:w="3627"/>
      </w:tblGrid>
      <w:tr>
        <w:trPr>
          <w:tblHeader w:val="true"/>
        </w:trPr>
        <w:tc>
          <w:tcPr>
            <w:tcW w:w="20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Signal</w:t>
            </w:r>
          </w:p>
        </w:tc>
        <w:tc>
          <w:tcPr>
            <w:tcW w:w="33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  <w:tc>
          <w:tcPr>
            <w:tcW w:w="3627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Effect</w:t>
            </w:r>
          </w:p>
        </w:tc>
      </w:tr>
      <w:tr>
        <w:tc>
          <w:tcPr>
            <w:tcW w:w="20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PCWrite = 0</w:t>
            </w:r>
          </w:p>
        </w:tc>
        <w:tc>
          <w:tcPr>
            <w:tcW w:w="3383" w:type="dxa"/>
          </w:tcPr>
          <w:p>
            <w:pPr>
              <w:pStyle w:val="Compact"/>
              <w:jc w:val="left"/>
            </w:pPr>
            <w:r>
              <w:t xml:space="preserve">PC holds its value</w:t>
            </w:r>
          </w:p>
        </w:tc>
        <w:tc>
          <w:tcPr>
            <w:tcW w:w="3627" w:type="dxa"/>
          </w:tcPr>
          <w:p>
            <w:pPr>
              <w:pStyle w:val="Compact"/>
              <w:jc w:val="left"/>
            </w:pPr>
            <w:r>
              <w:t xml:space="preserve">the same instruction is re-fetched</w:t>
            </w:r>
          </w:p>
        </w:tc>
      </w:tr>
      <w:tr>
        <w:tc>
          <w:tcPr>
            <w:tcW w:w="20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IF/ID.Write = 0</w:t>
            </w:r>
          </w:p>
        </w:tc>
        <w:tc>
          <w:tcPr>
            <w:tcW w:w="3383" w:type="dxa"/>
          </w:tcPr>
          <w:p>
            <w:pPr>
              <w:pStyle w:val="Compact"/>
              <w:jc w:val="left"/>
            </w:pPr>
            <w:r>
              <w:t xml:space="preserve">IF/ID latch holds</w:t>
            </w:r>
          </w:p>
        </w:tc>
        <w:tc>
          <w:tcPr>
            <w:tcW w:w="3627" w:type="dxa"/>
          </w:tcPr>
          <w:p>
            <w:pPr>
              <w:pStyle w:val="Compact"/>
              <w:jc w:val="left"/>
            </w:pPr>
            <w:r>
              <w:t xml:space="preserve">the consumer stays in ID for another cycle</w:t>
            </w:r>
          </w:p>
        </w:tc>
      </w:tr>
      <w:tr>
        <w:tc>
          <w:tcPr>
            <w:tcW w:w="2059" w:type="dxa"/>
          </w:tcPr>
          <w:p>
            <w:pPr>
              <w:pStyle w:val="Compact"/>
              <w:jc w:val="left"/>
            </w:pPr>
            <w:r>
              <w:t xml:space="preserve">control-mux → 0</w:t>
            </w:r>
          </w:p>
        </w:tc>
        <w:tc>
          <w:tcPr>
            <w:tcW w:w="3383" w:type="dxa"/>
          </w:tcPr>
          <w:p>
            <w:pPr>
              <w:pStyle w:val="Compact"/>
              <w:jc w:val="left"/>
            </w:pPr>
            <w:r>
              <w:t xml:space="preserve">all control signals into ID/EX zeroed</w:t>
            </w:r>
          </w:p>
        </w:tc>
        <w:tc>
          <w:tcPr>
            <w:tcW w:w="3627" w:type="dxa"/>
          </w:tcPr>
          <w:p>
            <w:pPr>
              <w:pStyle w:val="Compact"/>
              <w:jc w:val="left"/>
            </w:pPr>
            <w:r>
              <w:t xml:space="preserve">a</w:t>
            </w:r>
            <w:r>
              <w:t xml:space="preserve"> </w:t>
            </w:r>
            <w:r>
              <w:rPr>
                <w:bCs/>
                <w:b/>
              </w:rPr>
              <w:t xml:space="preserve">bubble</w:t>
            </w:r>
            <w:r>
              <w:t xml:space="preserve"> </w:t>
            </w:r>
            <w:r>
              <w:t xml:space="preserve">enters EX</w:t>
            </w:r>
          </w:p>
        </w:tc>
      </w:tr>
    </w:tbl>
    <w:p>
      <w:pPr>
        <w:pStyle w:val="BodyText"/>
      </w:pPr>
      <w:r>
        <w:t xml:space="preserve">The bubble is what makes the stall cost exactly one cycle. One cycle later the load is in MEM/WB and the ordinary</w:t>
      </w:r>
      <w:r>
        <w:t xml:space="preserve"> </w:t>
      </w:r>
      <w:r>
        <w:rPr>
          <w:rStyle w:val="VerbatimChar"/>
        </w:rPr>
        <w:t xml:space="preserve">ForwardA/B = 01</w:t>
      </w:r>
      <w:r>
        <w:t xml:space="preserve"> </w:t>
      </w:r>
      <w:r>
        <w:t xml:space="preserve">path resolves the dependence normally — the load-use hazard is</w:t>
      </w:r>
      <w:r>
        <w:t xml:space="preserve"> </w:t>
      </w:r>
      <w:r>
        <w:rPr>
          <w:iCs/>
          <w:i/>
        </w:rPr>
        <w:t xml:space="preserve">converted into</w:t>
      </w:r>
      <w:r>
        <w:t xml:space="preserve"> </w:t>
      </w:r>
      <w:r>
        <w:t xml:space="preserve">a distance-2 hazard, not eliminated.</w:t>
      </w:r>
    </w:p>
    <w:p>
      <w:r>
        <w:pict>
          <ns1:rect style="width:0;height:1.5pt" ns2:hralign="center" ns2:hrstd="t" ns2:hr="t"/>
        </w:pict>
      </w:r>
    </w:p>
    <w:bookmarkEnd w:id="27"/>
    <w:bookmarkEnd w:id="28"/>
    <w:bookmarkStart w:id="29" w:name="X1351205e0a79c77a51a640d726b349ce9894d24"/>
    <w:p>
      <w:pPr>
        <w:pStyle w:val="Heading2"/>
      </w:pPr>
      <w:r>
        <w:t xml:space="preserve">5. Branch resolution in ID</w:t>
      </w:r>
    </w:p>
    <w:p>
      <w:pPr>
        <w:pStyle w:val="FirstParagraph"/>
      </w:pPr>
      <w:r>
        <w:t xml:space="preserve">Moving the comparator into ID cuts the taken-branch penalty from three cycles to one, but creates a new class of data hazard, because ID is two stages earlier than EX.</w:t>
      </w:r>
    </w:p>
    <w:p>
      <w:pPr>
        <w:pStyle w:val="BodyText"/>
      </w:pPr>
      <w:r>
        <w:t xml:space="preserve">Branch in ID at cycle</w:t>
      </w:r>
      <w:r>
        <w:t xml:space="preserve"> </w:t>
      </w:r>
      <w:r>
        <w:rPr>
          <w:iCs/>
          <w:i/>
        </w:rPr>
        <w:t xml:space="preserve">t</w:t>
      </w:r>
      <w:r>
        <w:t xml:space="preserve">. What is where: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1883"/>
        <w:gridCol w:w="1713"/>
        <w:gridCol w:w="2676"/>
        <w:gridCol w:w="2796"/>
      </w:tblGrid>
      <w:tr>
        <w:trPr>
          <w:tblHeader w:val="true"/>
        </w:trPr>
        <w:tc>
          <w:tcPr>
            <w:tcW w:w="188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Instruction</w:t>
            </w:r>
          </w:p>
        </w:tc>
        <w:tc>
          <w:tcPr>
            <w:tcW w:w="171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Stage at cycle</w:t>
            </w:r>
            <w:r>
              <w:rPr>
                <w:b/>
              </w:rPr>
              <w:t xml:space="preserve"> </w:t>
            </w:r>
            <w:r>
              <w:rPr>
                <w:b/>
                <w:iCs/>
                <w:i/>
              </w:rPr>
              <w:t xml:space="preserve">t</w:t>
            </w:r>
          </w:p>
        </w:tc>
        <w:tc>
          <w:tcPr>
            <w:tcW w:w="267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Its result is…</w:t>
            </w:r>
          </w:p>
        </w:tc>
        <w:tc>
          <w:tcPr>
            <w:tcW w:w="27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Action</w:t>
            </w:r>
          </w:p>
        </w:tc>
      </w:tr>
      <w:tr>
        <w:tc>
          <w:tcPr>
            <w:tcW w:w="1883" w:type="dxa"/>
          </w:tcPr>
          <w:p>
            <w:pPr>
              <w:pStyle w:val="Compact"/>
              <w:jc w:val="left"/>
            </w:pPr>
            <w:r>
              <w:t xml:space="preserve">b−1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2676" w:type="dxa"/>
          </w:tcPr>
          <w:p>
            <w:pPr>
              <w:pStyle w:val="Compact"/>
              <w:jc w:val="left"/>
            </w:pPr>
            <w:r>
              <w:t xml:space="preserve">not computed yet</w:t>
            </w:r>
          </w:p>
        </w:tc>
        <w:tc>
          <w:tcPr>
            <w:tcW w:w="2796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stall 1 cycle</w:t>
            </w:r>
          </w:p>
        </w:tc>
      </w:tr>
      <w:tr>
        <w:tc>
          <w:tcPr>
            <w:tcW w:w="1883" w:type="dxa"/>
          </w:tcPr>
          <w:p>
            <w:pPr>
              <w:pStyle w:val="Compact"/>
              <w:jc w:val="left"/>
            </w:pPr>
            <w:r>
              <w:t xml:space="preserve">b−2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t xml:space="preserve">MEM (in EX/MEM)</w:t>
            </w:r>
          </w:p>
        </w:tc>
        <w:tc>
          <w:tcPr>
            <w:tcW w:w="2676" w:type="dxa"/>
          </w:tcPr>
          <w:p>
            <w:pPr>
              <w:pStyle w:val="Compact"/>
              <w:jc w:val="left"/>
            </w:pPr>
            <w:r>
              <w:t xml:space="preserve">in the EX/MEM latch</w:t>
            </w:r>
          </w:p>
        </w:tc>
        <w:tc>
          <w:tcPr>
            <w:tcW w:w="2796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forward EX/MEM → ID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ForwardC</w:t>
            </w:r>
            <w:r>
              <w:t xml:space="preserve">/</w:t>
            </w:r>
            <w:r>
              <w:rPr>
                <w:rStyle w:val="VerbatimChar"/>
              </w:rPr>
              <w:t xml:space="preserve">ForwardD</w:t>
            </w:r>
            <w:r>
              <w:t xml:space="preserve">)</w:t>
            </w:r>
          </w:p>
        </w:tc>
      </w:tr>
      <w:tr>
        <w:tc>
          <w:tcPr>
            <w:tcW w:w="1883" w:type="dxa"/>
          </w:tcPr>
          <w:p>
            <w:pPr>
              <w:pStyle w:val="Compact"/>
              <w:jc w:val="left"/>
            </w:pPr>
            <w:r>
              <w:t xml:space="preserve">b−2, and it is a</w:t>
            </w:r>
            <w:r>
              <w:t xml:space="preserve"> </w:t>
            </w:r>
            <w:r>
              <w:rPr>
                <w:rStyle w:val="VerbatimChar"/>
              </w:rPr>
              <w:t xml:space="preserve">LW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2676" w:type="dxa"/>
          </w:tcPr>
          <w:p>
            <w:pPr>
              <w:pStyle w:val="Compact"/>
              <w:jc w:val="left"/>
            </w:pPr>
            <w:r>
              <w:t xml:space="preserve">not available until end of MEM</w:t>
            </w:r>
          </w:p>
        </w:tc>
        <w:tc>
          <w:tcPr>
            <w:tcW w:w="2796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stall 1 cycle</w:t>
            </w:r>
          </w:p>
        </w:tc>
      </w:tr>
      <w:tr>
        <w:tc>
          <w:tcPr>
            <w:tcW w:w="1883" w:type="dxa"/>
          </w:tcPr>
          <w:p>
            <w:pPr>
              <w:pStyle w:val="Compact"/>
              <w:jc w:val="left"/>
            </w:pPr>
            <w:r>
              <w:t xml:space="preserve">b−1, and it is a</w:t>
            </w:r>
            <w:r>
              <w:t xml:space="preserve"> </w:t>
            </w:r>
            <w:r>
              <w:rPr>
                <w:rStyle w:val="VerbatimChar"/>
              </w:rPr>
              <w:t xml:space="preserve">LW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2676" w:type="dxa"/>
          </w:tcPr>
          <w:p>
            <w:pPr>
              <w:pStyle w:val="Compact"/>
              <w:jc w:val="left"/>
            </w:pPr>
            <w:r>
              <w:t xml:space="preserve">two cycles away</w:t>
            </w:r>
          </w:p>
        </w:tc>
        <w:tc>
          <w:tcPr>
            <w:tcW w:w="2796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stall 2 cycles</w:t>
            </w:r>
            <w:r>
              <w:t xml:space="preserve"> </w:t>
            </w:r>
            <w:r>
              <w:t xml:space="preserve">(one, then one more)</w:t>
            </w:r>
          </w:p>
        </w:tc>
      </w:tr>
      <w:tr>
        <w:tc>
          <w:tcPr>
            <w:tcW w:w="1883" w:type="dxa"/>
          </w:tcPr>
          <w:p>
            <w:pPr>
              <w:pStyle w:val="Compact"/>
              <w:jc w:val="left"/>
            </w:pPr>
            <w:r>
              <w:t xml:space="preserve">b−3</w:t>
            </w:r>
          </w:p>
        </w:tc>
        <w:tc>
          <w:tcPr>
            <w:tcW w:w="1713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2676" w:type="dxa"/>
          </w:tcPr>
          <w:p>
            <w:pPr>
              <w:pStyle w:val="Compact"/>
              <w:jc w:val="left"/>
            </w:pPr>
            <w:r>
              <w:t xml:space="preserve">already written to the RF this cycle</w:t>
            </w:r>
          </w:p>
        </w:tc>
        <w:tc>
          <w:tcPr>
            <w:tcW w:w="2796" w:type="dxa"/>
          </w:tcPr>
          <w:p>
            <w:pPr>
              <w:pStyle w:val="Compact"/>
              <w:jc w:val="left"/>
            </w:pPr>
            <w:r>
              <w:t xml:space="preserve">nothing — read the RF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BranchStall = IsBranch  AND </w:t>
      </w:r>
      <w:r>
        <w:br/>
      </w:r>
      <w:r>
        <w:rPr>
          <w:rStyle w:val="VerbatimChar"/>
        </w:rPr>
        <w:t xml:space="preserve">   [ (ID/EX.RegWrite   AND  (ID/EX.Rd  != 0)  AND  (ID/EX.Rd  = Rs + ID/EX.Rd  = Rt))</w:t>
      </w:r>
      <w:r>
        <w:br/>
      </w:r>
      <w:r>
        <w:rPr>
          <w:rStyle w:val="VerbatimChar"/>
        </w:rPr>
        <w:t xml:space="preserve">   + (EX/MEM.MemRead   AND  (EX/MEM.Rd != 0)  AND  (EX/MEM.Rd = Rs + EX/MEM.Rd = Rt)) ]</w:t>
      </w:r>
      <w:r>
        <w:br/>
      </w:r>
      <w:r>
        <w:br/>
      </w:r>
      <w:r>
        <w:rPr>
          <w:rStyle w:val="VerbatimChar"/>
        </w:rPr>
        <w:t xml:space="preserve">ForwardC = EX/MEM.RegWrite  AND  (EX/MEM.Rd != 0)  AND  (EX/MEM.Rd = IF/ID.Rs)  AND  BranchStall'</w:t>
      </w:r>
      <w:r>
        <w:br/>
      </w:r>
      <w:r>
        <w:rPr>
          <w:rStyle w:val="VerbatimChar"/>
        </w:rPr>
        <w:t xml:space="preserve">ForwardD = EX/MEM.RegWrite  AND  (EX/MEM.Rd != 0)  AND  (EX/MEM.Rd = IF/ID.Rt)  AND  BranchStall'</w:t>
      </w:r>
    </w:p>
    <w:p>
      <w:pPr>
        <w:pStyle w:val="FirstParagraph"/>
      </w:pPr>
      <w:r>
        <w:t xml:space="preserve">Note the two-stall case needs no special logic: after the first stall the load has advanced from EX to MEM, the second condition now matches, and the unit stalls again. The correct behaviour falls out of re-evaluating the same combinational logic each cycle.</w:t>
      </w:r>
    </w:p>
    <w:p>
      <w:pPr>
        <w:pStyle w:val="BodyText"/>
      </w:pPr>
      <w:r>
        <w:rPr>
          <w:bCs/>
          <w:b/>
        </w:rPr>
        <w:t xml:space="preserve">Flush.</w:t>
      </w:r>
      <w:r>
        <w:t xml:space="preserve"> </w:t>
      </w:r>
      <w:r>
        <w:t xml:space="preserve">When the comparator says taken, the instruction fetched in the same cycle is on the wrong path. Clear IF/ID (</w:t>
      </w:r>
      <w:r>
        <w:rPr>
          <w:rStyle w:val="VerbatimChar"/>
        </w:rPr>
        <w:t xml:space="preserve">IF.Flush = 1</w:t>
      </w:r>
      <w:r>
        <w:t xml:space="preserve">) and load the PC with the target. Cost: exactly one cycle. When the comparator says</w:t>
      </w:r>
      <w:r>
        <w:t xml:space="preserve"> </w:t>
      </w:r>
      <w:r>
        <w:rPr>
          <w:iCs/>
          <w:i/>
        </w:rPr>
        <w:t xml:space="preserve">not</w:t>
      </w:r>
      <w:r>
        <w:t xml:space="preserve"> </w:t>
      </w:r>
      <w:r>
        <w:t xml:space="preserve">taken, do nothing — the sequential instruction already in IF/ID is correct. A pipeline that flushes unconditionally passes a taken-branch test and fails a not-taken one; vectors</w:t>
      </w:r>
      <w:r>
        <w:t xml:space="preserve"> </w:t>
      </w:r>
      <w:r>
        <w:rPr>
          <w:bCs/>
          <w:b/>
        </w:rPr>
        <w:t xml:space="preserve">V4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V5</w:t>
      </w:r>
      <w:r>
        <w:t xml:space="preserve"> </w:t>
      </w:r>
      <w:r>
        <w:t xml:space="preserve">are that pair.</w:t>
      </w:r>
    </w:p>
    <w:p>
      <w:r>
        <w:pict>
          <ns1:rect style="width:0;height:1.5pt" ns2:hralign="center" ns2:hrstd="t" ns2:hr="t"/>
        </w:pict>
      </w:r>
    </w:p>
    <w:bookmarkEnd w:id="29"/>
    <w:bookmarkStart w:id="30" w:name="Xae013dfd9c54864e11d5371a3bce9b22a3e1bf5"/>
    <w:p>
      <w:pPr>
        <w:pStyle w:val="Heading2"/>
      </w:pPr>
      <w:r>
        <w:t xml:space="preserve">6. Hazard classification scheme for the report</w:t>
      </w:r>
    </w:p>
    <w:p>
      <w:pPr>
        <w:pStyle w:val="FirstParagraph"/>
      </w:pPr>
      <w:r>
        <w:t xml:space="preserve">Project 3 section L requires a per-hazard classification table. These are the categories, fixed now so Week 2's instrumentation emits them directly: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2662"/>
        <w:gridCol w:w="2501"/>
        <w:gridCol w:w="1141"/>
        <w:gridCol w:w="2765"/>
      </w:tblGrid>
      <w:tr>
        <w:trPr>
          <w:tblHeader w:val="true"/>
        </w:trPr>
        <w:tc>
          <w:tcPr>
            <w:tcW w:w="2662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Class</w:t>
            </w:r>
          </w:p>
        </w:tc>
        <w:tc>
          <w:tcPr>
            <w:tcW w:w="250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Trigger</w:t>
            </w:r>
          </w:p>
        </w:tc>
        <w:tc>
          <w:tcPr>
            <w:tcW w:w="1141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Cost</w:t>
            </w:r>
          </w:p>
        </w:tc>
        <w:tc>
          <w:tcPr>
            <w:tcW w:w="276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Resolved by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 forwarded EX/MEM→EX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distance-1 ALU dependence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ForwardA/B =</w:t>
            </w:r>
            <w:r>
              <w:t xml:space="preserve"> </w:t>
            </w:r>
            <w:r>
              <w:rPr>
                <w:rStyle w:val="VerbatimChar"/>
              </w:rPr>
              <w:t xml:space="preserve">10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 forwarded MEM/WB→EX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distance-2 dependence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ForwardA/B =</w:t>
            </w:r>
            <w:r>
              <w:t xml:space="preserve"> </w:t>
            </w:r>
            <w:r>
              <w:rPr>
                <w:rStyle w:val="VerbatimChar"/>
              </w:rPr>
              <w:t xml:space="preserve">01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RAW forwarded EX/MEM→ID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branch operand from b−2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ForwardC/D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LOAD-USE stall required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HDU fires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bubble, then MEM/WB forward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BRANCH-DATA stall required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branch operand not ready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1 or 2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bubble, then EX/MEM→ID forward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CONTROL flush (taken branch)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comparator says taken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IF/ID cleared</w:t>
            </w:r>
          </w:p>
        </w:tc>
      </w:tr>
      <w:tr>
        <w:tc>
          <w:tcPr>
            <w:tcW w:w="2662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 hazard</w:t>
            </w:r>
          </w:p>
        </w:tc>
        <w:tc>
          <w:tcPr>
            <w:tcW w:w="2501" w:type="dxa"/>
          </w:tcPr>
          <w:p>
            <w:pPr>
              <w:pStyle w:val="Compact"/>
              <w:jc w:val="left"/>
            </w:pPr>
            <w:r>
              <w:t xml:space="preserve">independent instruction</w:t>
            </w:r>
          </w:p>
        </w:tc>
        <w:tc>
          <w:tcPr>
            <w:tcW w:w="1141" w:type="dxa"/>
          </w:tcPr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>
            <w:tcW w:w="2765" w:type="dxa"/>
          </w:tcPr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r>
        <w:pict>
          <ns1:rect style="width:0;height:1.5pt" ns2:hralign="center" ns2:hrstd="t" ns2:hr="t"/>
        </w:pict>
      </w:r>
    </w:p>
    <w:bookmarkEnd w:id="30"/>
    <w:bookmarkStart w:id="34" w:name="Xffdee19a391066393a2c2b2f683ed6b5d9a551a"/>
    <w:p>
      <w:pPr>
        <w:pStyle w:val="Heading2"/>
      </w:pPr>
      <w:r>
        <w:t xml:space="preserve">7. Hand traces to carry into Week 2</w:t>
      </w:r>
    </w:p>
    <w:p>
      <w:pPr>
        <w:pStyle w:val="FirstParagraph"/>
      </w:pPr>
      <w:r>
        <w:t xml:space="preserve">Do these on paper before running anything. They are the acceptance criteria.</w:t>
      </w:r>
    </w:p>
    <w:bookmarkStart w:id="31" w:name="X4fe880545e646f8508c9db626abe49efaa5b51e"/>
    <w:p>
      <w:pPr>
        <w:pStyle w:val="Heading3"/>
      </w:pPr>
      <w:r>
        <w:t xml:space="preserve">Trace 1 — the worked example from Project 3 section F</w:t>
      </w:r>
    </w:p>
    <w:p>
      <w:pPr>
        <w:pStyle w:val="SourceCode"/>
      </w:pPr>
      <w:r>
        <w:rPr>
          <w:rStyle w:val="VerbatimChar"/>
        </w:rPr>
        <w:t xml:space="preserve">ADD R1, R2, R3</w:t>
      </w:r>
      <w:r>
        <w:br/>
      </w:r>
      <w:r>
        <w:rPr>
          <w:rStyle w:val="VerbatimChar"/>
        </w:rPr>
        <w:t xml:space="preserve">SUB R4, R1, R5      &lt;- RAW dist-1 on R1</w:t>
      </w:r>
      <w:r>
        <w:br/>
      </w:r>
      <w:r>
        <w:rPr>
          <w:rStyle w:val="VerbatimChar"/>
        </w:rPr>
        <w:t xml:space="preserve">AND R6, R4, R1      &lt;- RAW dist-1 on R4, dist-2 on R1</w:t>
      </w:r>
      <w:r>
        <w:br/>
      </w:r>
      <w:r>
        <w:rPr>
          <w:rStyle w:val="VerbatimChar"/>
        </w:rPr>
        <w:t xml:space="preserve">OR  R7, R6, R1      &lt;- RAW dist-1 on R6, dist-3 on R1 (register file)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1646"/>
        <w:gridCol w:w="896"/>
        <w:gridCol w:w="896"/>
        <w:gridCol w:w="896"/>
        <w:gridCol w:w="959"/>
        <w:gridCol w:w="959"/>
        <w:gridCol w:w="959"/>
        <w:gridCol w:w="959"/>
        <w:gridCol w:w="896"/>
      </w:tblGrid>
      <w:tr>
        <w:trPr>
          <w:tblHeader w:val="true"/>
        </w:trPr>
        <w:tc>
          <w:tcPr>
            <w:tcW w:w="164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Cycle</w:t>
            </w:r>
          </w:p>
        </w:tc>
        <w:tc>
          <w:tcPr>
            <w:tcW w:w="8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tcPr>
            <w:tcW w:w="8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tcPr>
            <w:tcW w:w="8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tcPr>
            <w:tcW w:w="9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tcPr>
            <w:tcW w:w="9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tcPr>
            <w:tcW w:w="9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tcPr>
            <w:tcW w:w="959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tcPr>
            <w:tcW w:w="896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</w:t>
            </w: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959" w:type="dxa"/>
          </w:tcPr>
          <w:p>
            <w:pPr>
              <w:pStyle w:val="Compact"/>
            </w:pPr>
          </w:p>
        </w:tc>
        <w:tc>
          <w:tcPr>
            <w:tcW w:w="959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959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896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ForwardA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10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</w:tr>
      <w:tr>
        <w:tc>
          <w:tcPr>
            <w:tcW w:w="1646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ForwardB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896" w:type="dxa"/>
          </w:tcPr>
          <w:p>
            <w:pPr>
              <w:pStyle w:val="Compact"/>
            </w:pP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01</w:t>
            </w:r>
          </w:p>
        </w:tc>
        <w:tc>
          <w:tcPr>
            <w:tcW w:w="959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00</w:t>
            </w:r>
          </w:p>
        </w:tc>
        <w:tc>
          <w:tcPr>
            <w:tcW w:w="896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Four instructions,</w:t>
      </w:r>
      <w:r>
        <w:t xml:space="preserve"> </w:t>
      </w:r>
      <w:r>
        <w:rPr>
          <w:bCs/>
          <w:b/>
        </w:rPr>
        <w:t xml:space="preserve">zero stalls</w:t>
      </w:r>
      <w:r>
        <w:t xml:space="preserve">, 8 cycles, CPI = 2.00 (dominated by fill; the steady-state contribution is 0 stalls/instruction). Note</w:t>
      </w:r>
      <w:r>
        <w:t xml:space="preserve"> </w:t>
      </w:r>
      <w:r>
        <w:rPr>
          <w:rStyle w:val="VerbatimChar"/>
        </w:rPr>
        <w:t xml:space="preserve">AND</w:t>
      </w:r>
      <w:r>
        <w:t xml:space="preserve">'s</w:t>
      </w:r>
      <w:r>
        <w:t xml:space="preserve"> </w:t>
      </w:r>
      <w:r>
        <w:rPr>
          <w:rStyle w:val="VerbatimChar"/>
        </w:rPr>
        <w:t xml:space="preserve">ForwardB = 01</w:t>
      </w:r>
      <w:r>
        <w:t xml:space="preserve"> </w:t>
      </w:r>
      <w:r>
        <w:t xml:space="preserve">— that is Fact B in action — and</w:t>
      </w:r>
      <w:r>
        <w:t xml:space="preserve"> </w:t>
      </w:r>
      <w:r>
        <w:rPr>
          <w:rStyle w:val="VerbatimChar"/>
        </w:rPr>
        <w:t xml:space="preserve">OR</w:t>
      </w:r>
      <w:r>
        <w:t xml:space="preserve">'s</w:t>
      </w:r>
      <w:r>
        <w:t xml:space="preserve"> </w:t>
      </w:r>
      <w:r>
        <w:rPr>
          <w:rStyle w:val="VerbatimChar"/>
        </w:rPr>
        <w:t xml:space="preserve">ForwardB = 00</w:t>
      </w:r>
      <w:r>
        <w:t xml:space="preserve">, which is Fact C.</w:t>
      </w:r>
    </w:p>
    <w:bookmarkEnd w:id="31"/>
    <w:bookmarkStart w:id="32" w:name="X10597613edd9f28bfafd7e41e1a9d72a38749fb"/>
    <w:p>
      <w:pPr>
        <w:pStyle w:val="Heading3"/>
      </w:pPr>
      <w:r>
        <w:t xml:space="preserve">Trace 2 — replace the first instruction with a load</w:t>
      </w:r>
    </w:p>
    <w:p>
      <w:pPr>
        <w:pStyle w:val="SourceCode"/>
      </w:pPr>
      <w:r>
        <w:rPr>
          <w:rStyle w:val="VerbatimChar"/>
        </w:rPr>
        <w:t xml:space="preserve">LW  R1, 0(R2)</w:t>
      </w:r>
      <w:r>
        <w:br/>
      </w:r>
      <w:r>
        <w:rPr>
          <w:rStyle w:val="VerbatimChar"/>
        </w:rPr>
        <w:t xml:space="preserve">SUB R4, R1, R5      &lt;- LOAD-USE</w:t>
      </w:r>
      <w:r>
        <w:br/>
      </w:r>
      <w:r>
        <w:rPr>
          <w:rStyle w:val="VerbatimChar"/>
        </w:rPr>
        <w:t xml:space="preserve">AND R6, R4, R1</w:t>
      </w:r>
      <w:r>
        <w:br/>
      </w:r>
      <w:r>
        <w:rPr>
          <w:rStyle w:val="VerbatimChar"/>
        </w:rPr>
        <w:t xml:space="preserve">OR  R7, R6, R1</w:t>
      </w:r>
    </w:p>
    <w:tbl>
      <w:tblPr>
        <w:tblStyle w:val="Table"/>
        <w:tblW w:type="dxa" w:w="9070"/>
        <w:tblLook w:firstRow="1" w:lastRow="0" w:firstColumn="0" w:lastColumn="0" w:noHBand="0" w:noVBand="0" w:val="0020"/>
        <w:jc w:val="start"/>
      </w:tblPr>
      <w:tblGrid>
        <w:gridCol w:w="1475"/>
        <w:gridCol w:w="843"/>
        <w:gridCol w:w="843"/>
        <w:gridCol w:w="843"/>
        <w:gridCol w:w="843"/>
        <w:gridCol w:w="843"/>
        <w:gridCol w:w="843"/>
        <w:gridCol w:w="843"/>
        <w:gridCol w:w="843"/>
        <w:gridCol w:w="843"/>
      </w:tblGrid>
      <w:tr>
        <w:trPr>
          <w:tblHeader w:val="true"/>
        </w:trPr>
        <w:tc>
          <w:tcPr>
            <w:tcW w:w="1475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Cycle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1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2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3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4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5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6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7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8</w:t>
            </w:r>
          </w:p>
        </w:tc>
        <w:tc>
          <w:tcPr>
            <w:tcW w:w="843" w:type="dxa"/>
            <w:shd w:val="clear" w:color="auto" w:fill="D9E2F3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9</w:t>
            </w: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LW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SUB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ID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AND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IF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OR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IF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EX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MEM</w:t>
            </w: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WB</w:t>
            </w: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Stall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</w:tr>
      <w:tr>
        <w:tc>
          <w:tcPr>
            <w:tcW w:w="1475" w:type="dxa"/>
          </w:tcPr>
          <w:p>
            <w:pPr>
              <w:pStyle w:val="Compact"/>
              <w:jc w:val="left"/>
            </w:pPr>
            <w:r>
              <w:t xml:space="preserve">bubble in EX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  <w:jc w:val="left"/>
            </w:pPr>
            <w:r>
              <w:t xml:space="preserve">✓</w:t>
            </w: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  <w:tc>
          <w:tcPr>
            <w:tcW w:w="843" w:type="dxa"/>
          </w:tcPr>
          <w:p>
            <w:pPr>
              <w:pStyle w:val="Compact"/>
            </w:pPr>
          </w:p>
        </w:tc>
      </w:tr>
    </w:tbl>
    <w:p>
      <w:pPr>
        <w:pStyle w:val="BodyText"/>
      </w:pPr>
      <w:r>
        <w:rPr>
          <w:bCs/>
          <w:b/>
        </w:rPr>
        <w:t xml:space="preserve">Exactly one stall.</w:t>
      </w:r>
      <w:r>
        <w:t xml:space="preserve"> </w:t>
      </w:r>
      <w:r>
        <w:t xml:space="preserve">9 cycles instead of 8. Stall contribution to CPI = 1 stall / 4 instructions =</w:t>
      </w:r>
      <w:r>
        <w:t xml:space="preserve"> </w:t>
      </w:r>
      <w:r>
        <w:rPr>
          <w:bCs/>
          <w:b/>
        </w:rPr>
        <w:t xml:space="preserve">0.25</w:t>
      </w:r>
      <w:r>
        <w:t xml:space="preserve"> </w:t>
      </w:r>
      <w:r>
        <w:t xml:space="preserve">— the precise number Project 3 section F says the report must show cycle by cycle.</w:t>
      </w:r>
    </w:p>
    <w:bookmarkEnd w:id="32"/>
    <w:bookmarkStart w:id="33" w:name="X8cdf95ef8cd8ba47bd1fc0b071567b8831c7a28"/>
    <w:p>
      <w:pPr>
        <w:pStyle w:val="Heading3"/>
      </w:pPr>
      <w:r>
        <w:t xml:space="preserve">Trace 3 — the load-use bubble is not a NOP the assembler inserted</w:t>
      </w:r>
    </w:p>
    <w:p>
      <w:pPr>
        <w:pStyle w:val="FirstParagraph"/>
      </w:pPr>
      <w:r>
        <w:t xml:space="preserve">Worth stating explicitly in the report, because the two look identical in a pipeline diagram and are architecturally different things: the Project-2 NOP occupies a slot in the</w:t>
      </w:r>
      <w:r>
        <w:t xml:space="preserve"> </w:t>
      </w:r>
      <w:r>
        <w:rPr>
          <w:iCs/>
          <w:i/>
        </w:rPr>
        <w:t xml:space="preserve">instruction memory</w:t>
      </w:r>
      <w:r>
        <w:t xml:space="preserve"> </w:t>
      </w:r>
      <w:r>
        <w:t xml:space="preserve">and is fetched, decoded and retired like any instruction. The Project-3 bubble is created by the hazard-detection unit</w:t>
      </w:r>
      <w:r>
        <w:t xml:space="preserve"> </w:t>
      </w:r>
      <w:r>
        <w:rPr>
          <w:iCs/>
          <w:i/>
        </w:rPr>
        <w:t xml:space="preserve">inside the pipeline</w:t>
      </w:r>
      <w:r>
        <w:t xml:space="preserve">, occupies no instruction-memory slot, and never retires. This distinction is what makes the two CPI figures in the Week 2 results non-comparable, and is discussed there.</w:t>
      </w:r>
    </w:p>
    <w:p>
      <w:r>
        <w:pict>
          <ns1:rect style="width:0;height:1.5pt" ns2:hralign="center" ns2:hrstd="t" ns2:hr="t"/>
        </w:pict>
      </w:r>
    </w:p>
    <w:bookmarkEnd w:id="33"/>
    <w:bookmarkEnd w:id="34"/>
    <w:bookmarkStart w:id="35" w:name="X5b9956794eda63266d001629bc0c53c40dae972"/>
    <w:p>
      <w:pPr>
        <w:pStyle w:val="Heading2"/>
      </w:pPr>
      <w:r>
        <w:t xml:space="preserve">8. Week 1 checklist</w:t>
      </w:r>
    </w:p>
    <w:p>
      <w:pPr>
        <w:numPr>
          <w:ilvl w:val="0"/>
          <w:numId w:val="1002"/>
        </w:numPr>
        <w:pStyle w:val="Compact"/>
      </w:pPr>
      <w:r>
        <w:t xml:space="preserve">☒ Timing convention fixed and justified (§1)</w:t>
      </w:r>
    </w:p>
    <w:p>
      <w:pPr>
        <w:numPr>
          <w:ilvl w:val="0"/>
          <w:numId w:val="1002"/>
        </w:numPr>
        <w:pStyle w:val="Compact"/>
      </w:pPr>
      <w:r>
        <w:t xml:space="preserve">☒ Datapath extension diagram (§2)</w:t>
      </w:r>
    </w:p>
    <w:p>
      <w:pPr>
        <w:numPr>
          <w:ilvl w:val="0"/>
          <w:numId w:val="1002"/>
        </w:numPr>
        <w:pStyle w:val="Compact"/>
      </w:pPr>
      <w:r>
        <w:t xml:space="preserve">☒ Forwarding-unit truth table + Boolean equations + priority rule (§3)</w:t>
      </w:r>
    </w:p>
    <w:p>
      <w:pPr>
        <w:numPr>
          <w:ilvl w:val="0"/>
          <w:numId w:val="1002"/>
        </w:numPr>
        <w:pStyle w:val="Compact"/>
      </w:pPr>
      <w:r>
        <w:t xml:space="preserve">☒ Hazard-detection-unit truth table +</w:t>
      </w:r>
      <w:r>
        <w:t xml:space="preserve"> </w:t>
      </w:r>
      <w:r>
        <w:rPr>
          <w:rStyle w:val="VerbatimChar"/>
        </w:rPr>
        <w:t xml:space="preserve">UsesRs</w:t>
      </w:r>
      <w:r>
        <w:t xml:space="preserve">/</w:t>
      </w:r>
      <w:r>
        <w:rPr>
          <w:rStyle w:val="VerbatimChar"/>
        </w:rPr>
        <w:t xml:space="preserve">UsesRt</w:t>
      </w:r>
      <w:r>
        <w:t xml:space="preserve"> </w:t>
      </w:r>
      <w:r>
        <w:t xml:space="preserve">decode (§4)</w:t>
      </w:r>
    </w:p>
    <w:p>
      <w:pPr>
        <w:numPr>
          <w:ilvl w:val="0"/>
          <w:numId w:val="1002"/>
        </w:numPr>
        <w:pStyle w:val="Compact"/>
      </w:pPr>
      <w:r>
        <w:t xml:space="preserve">☒ Branch resolution + flush logic (§5)</w:t>
      </w:r>
    </w:p>
    <w:p>
      <w:pPr>
        <w:numPr>
          <w:ilvl w:val="0"/>
          <w:numId w:val="1002"/>
        </w:numPr>
        <w:pStyle w:val="Compact"/>
      </w:pPr>
      <w:r>
        <w:t xml:space="preserve">☒ Hazard classification scheme fixed (§6)</w:t>
      </w:r>
    </w:p>
    <w:p>
      <w:pPr>
        <w:numPr>
          <w:ilvl w:val="0"/>
          <w:numId w:val="1002"/>
        </w:numPr>
        <w:pStyle w:val="Compact"/>
      </w:pPr>
      <w:r>
        <w:t xml:space="preserve">☒ Three hand traces with expected cycle counts (§7)</w:t>
      </w:r>
    </w:p>
    <w:p>
      <w:pPr>
        <w:numPr>
          <w:ilvl w:val="0"/>
          <w:numId w:val="1002"/>
        </w:numPr>
        <w:pStyle w:val="Compact"/>
      </w:pPr>
      <w:r>
        <w:t xml:space="preserve">☐ Paper-review presentation delivered — see</w:t>
      </w:r>
      <w:r>
        <w:t xml:space="preserve"> </w:t>
      </w:r>
      <w:r>
        <w:rPr>
          <w:rStyle w:val="VerbatimChar"/>
        </w:rPr>
        <w:t xml:space="preserve">week1_paper_review_slides.md</w:t>
      </w:r>
    </w:p>
    <w:p>
      <w:pPr>
        <w:numPr>
          <w:ilvl w:val="0"/>
          <w:numId w:val="1002"/>
        </w:numPr>
        <w:pStyle w:val="Compact"/>
      </w:pPr>
      <w:r>
        <w:t xml:space="preserve">☐ Project proposal submitted — see</w:t>
      </w:r>
      <w:r>
        <w:t xml:space="preserve"> </w:t>
      </w:r>
      <w:r>
        <w:rPr>
          <w:rStyle w:val="VerbatimChar"/>
        </w:rPr>
        <w:t xml:space="preserve">week1_proposal.md</w:t>
      </w:r>
    </w:p>
    <w:p>
      <w:pPr>
        <w:numPr>
          <w:ilvl w:val="0"/>
          <w:numId w:val="1002"/>
        </w:numPr>
        <w:pStyle w:val="Compact"/>
      </w:pPr>
      <w:r>
        <w:t xml:space="preserve">☐ Team seed received from instructor and recorded on the proposal</w:t>
      </w:r>
    </w:p>
    <w:p>
      <w:pPr>
        <w:numPr>
          <w:ilvl w:val="0"/>
          <w:numId w:val="1002"/>
        </w:numPr>
        <w:pStyle w:val="Compact"/>
      </w:pPr>
      <w:r>
        <w:t xml:space="preserve">☐ Repository initialised, AI-use declaration started</w:t>
      </w:r>
    </w:p>
    <w:bookmarkEnd w:id="3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pacing w:after="120" w:line="264" w:lineRule="auto"/>
    </w:pPr>
    <w:name w:val="Normal"/>
    <w:qFormat/>
    <w:rPr>
      <w:rFonts w:ascii="Calibri" w:cs="Calibri" w:hAnsi="Calibri"/>
      <w:sz w:val="21"/>
      <w:szCs w:val="21"/>
    </w:rPr>
  </w:style>
  <w:style w:styleId="BodyText" w:type="paragraph">
    <w:name w:val="Body Text"/>
    <w:basedOn w:val="Normal"/>
    <w:link w:val="BodyTextChar"/>
    <w:pPr>
      <w:spacing w:after="120" w:line="264" w:lineRule="auto"/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spacing w:after="120" w:before="280"/>
      <w:keepNext/>
      <w:keepNext/>
      <w:keepLines/>
      <w:spacing w:after="0" w:before="480"/>
      <w:outlineLvl w:val="0"/>
    </w:pPr>
    <w:rPr>
      <w:rFonts w:ascii="Calibri Light" w:cs="Calibri Light" w:hAnsi="Calibri Light"/>
      <w:color w:val="1F3864"/>
      <w:sz w:val="32"/>
      <w:szCs w:val="32"/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spacing w:after="120" w:before="280"/>
      <w:keepNext/>
      <w:keepNext/>
      <w:keepLines/>
      <w:spacing w:after="0" w:before="200"/>
      <w:outlineLvl w:val="1"/>
    </w:pPr>
    <w:rPr>
      <w:rFonts w:ascii="Calibri Light" w:cs="Calibri Light" w:hAnsi="Calibri Light"/>
      <w:color w:val="2E5496"/>
      <w:sz w:val="26"/>
      <w:szCs w:val="26"/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spacing w:after="120" w:before="280"/>
      <w:keepNext/>
      <w:keepNext/>
      <w:keepLines/>
      <w:spacing w:after="0" w:before="200"/>
      <w:outlineLvl w:val="2"/>
    </w:pPr>
    <w:rPr>
      <w:rFonts w:ascii="Calibri Light" w:cs="Calibri Light" w:hAnsi="Calibri Light"/>
      <w:color w:val="2E5496"/>
      <w:sz w:val="23"/>
      <w:szCs w:val="23"/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spacing w:after="120" w:before="280"/>
      <w:keepNext/>
      <w:keepNext/>
      <w:keepLines/>
      <w:spacing w:after="0" w:before="200"/>
      <w:outlineLvl w:val="3"/>
    </w:pPr>
    <w:rPr>
      <w:rFonts w:ascii="Calibri Light" w:cs="Calibri Light" w:hAnsi="Calibri Light"/>
      <w:color w:val="44546A"/>
      <w:sz w:val="21"/>
      <w:szCs w:val="21"/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pPr>
      <w:spacing w:after="20" w:before="20" w:line="240" w:lineRule="auto"/>
    </w:pPr>
    <w:rPr>
      <w:sz w:val="19"/>
      <w:szCs w:val="19"/>
    </w:rPr>
    <w:name w:val="Table"/>
    <w:basedOn w:val="TableNormal"/>
    <w:semiHidden/>
    <w:unhideWhenUsed/>
    <w:qFormat/>
    <w:tblStylePr w:type="firstRow">
      <w:trPr>
        <w:jc w:val="left"/>
      </w:trPr>
      <w:tcPr>
        <w:vAlign w:val="bottom"/>
        <w:tcBorders>
          <w:bottom w:val="single"/>
        </w:tcBorders>
      </w:tcPr>
    </w:tblStylePr>
    <w:tblPr>
      <w:tblBorders>
        <w:top w:color="B4C6E7" w:space="0" w:sz="4" w:val="single"/>
        <w:left w:color="B4C6E7" w:space="0" w:sz="4" w:val="single"/>
        <w:bottom w:color="B4C6E7" w:space="0" w:sz="4" w:val="single"/>
        <w:right w:color="B4C6E7" w:space="0" w:sz="4" w:val="single"/>
        <w:insideH w:color="B4C6E7" w:space="0" w:sz="4" w:val="single"/>
        <w:insideV w:color="B4C6E7" w:space="0" w:sz="4" w:val="single"/>
      </w:tblBorders>
      <w:tblCellMar>
        <w:top w:type="dxa" w:w="60"/>
        <w:left w:type="dxa" w:w="90"/>
        <w:bottom w:type="dxa" w:w="60"/>
        <w:right w:type="dxa" w:w="90"/>
      </w:tblCellMar>
    </w:tbl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cs="Consolas" w:hAnsi="Consolas"/>
      <w:sz w:val="15"/>
      <w:szCs w:val="15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pPr>
      <w:wordWrap w:val="0"/>
      <w:spacing w:after="60" w:before="60" w:line="240" w:lineRule="auto"/>
      <w:ind w:left="120"/>
      <w:shd w:color="auto" w:fill="F5F7FA" w:val="clear"/>
    </w:pPr>
    <w:rPr>
      <w:rFonts w:ascii="Consolas" w:cs="Consolas" w:hAnsi="Consolas"/>
      <w:sz w:val="15"/>
      <w:szCs w:val="15"/>
    </w:r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1 - Hand-Designed Control Logic</dc:title>
  <dc:creator>CPEN 438 / CPEN 315 - Advanced Computer Architecture - University of Ghana, Legon</dc:creator>
  <cp:keywords/>
  <dcterms:created xsi:type="dcterms:W3CDTF">2026-08-19T12:09:03Z</dcterms:created>
  <dcterms:modified xsi:type="dcterms:W3CDTF">2026-08-19T12:09:03Z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Project 3 - Hazard Watch</vt:lpwstr>
  </property>
  <property fmtid="{D5CDD505-2E9C-101B-9397-08002B2CF9AE}" pid="3" name="subtitle">
    <vt:lpwstr>Forwarding unit, hazard-detection unit and branch resolution</vt:lpwstr>
  </property>
</Properties>
</file>