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w="http://schemas.openxmlformats.org/wordprocessingml/2006/main">
  <w:body>
    <w:p>
      <w:pPr>
        <w:pStyle w:val="Title"/>
      </w:pPr>
      <w:r>
        <w:t xml:space="preserve">Weekly</w:t>
      </w:r>
      <w:r>
        <w:t xml:space="preserve"> </w:t>
      </w:r>
      <w:r>
        <w:t xml:space="preserve">Course</w:t>
      </w:r>
      <w:r>
        <w:t xml:space="preserve"> </w:t>
      </w:r>
      <w:r>
        <w:t xml:space="preserve">Project</w:t>
      </w:r>
      <w:r>
        <w:t xml:space="preserve"> </w:t>
      </w:r>
      <w:r>
        <w:t xml:space="preserve">Report</w:t>
      </w:r>
      <w:r>
        <w:t xml:space="preserve"> </w:t>
      </w:r>
      <w:r>
        <w:t xml:space="preserve">-</w:t>
      </w:r>
      <w:r>
        <w:t xml:space="preserve"> </w:t>
      </w:r>
      <w:r>
        <w:t xml:space="preserve">Week</w:t>
      </w:r>
      <w:r>
        <w:t xml:space="preserve"> </w:t>
      </w:r>
      <w:r>
        <w:t xml:space="preserve">2</w:t>
      </w:r>
    </w:p>
    <w:p>
      <w:pPr>
        <w:pStyle w:val="Subtitle"/>
      </w:pPr>
      <w:r>
        <w:t xml:space="preserve">Golden</w:t>
      </w:r>
      <w:r>
        <w:t xml:space="preserve"> </w:t>
      </w:r>
      <w:r>
        <w:t xml:space="preserve">simulator,</w:t>
      </w:r>
      <w:r>
        <w:t xml:space="preserve"> </w:t>
      </w:r>
      <w:r>
        <w:t xml:space="preserve">hazard</w:t>
      </w:r>
      <w:r>
        <w:t xml:space="preserve"> </w:t>
      </w:r>
      <w:r>
        <w:t xml:space="preserve">test</w:t>
      </w:r>
      <w:r>
        <w:t xml:space="preserve"> </w:t>
      </w:r>
      <w:r>
        <w:t xml:space="preserve">vectors</w:t>
      </w:r>
      <w:r>
        <w:t xml:space="preserve"> </w:t>
      </w:r>
      <w:r>
        <w:t xml:space="preserve">and</w:t>
      </w:r>
      <w:r>
        <w:t xml:space="preserve"> </w:t>
      </w:r>
      <w:r>
        <w:t xml:space="preserve">CPI</w:t>
      </w:r>
      <w:r>
        <w:t xml:space="preserve"> </w:t>
      </w:r>
      <w:r>
        <w:t xml:space="preserve">results</w:t>
      </w:r>
    </w:p>
    <w:p>
      <w:pPr>
        <w:pStyle w:val="Author"/>
      </w:pPr>
      <w:r>
        <w:t xml:space="preserve">CPEN</w:t>
      </w:r>
      <w:r>
        <w:t xml:space="preserve"> </w:t>
      </w:r>
      <w:r>
        <w:t xml:space="preserve">438</w:t>
      </w:r>
      <w:r>
        <w:t xml:space="preserve"> </w:t>
      </w:r>
      <w:r>
        <w:t xml:space="preserve">/</w:t>
      </w:r>
      <w:r>
        <w:t xml:space="preserve"> </w:t>
      </w:r>
      <w:r>
        <w:t xml:space="preserve">CPEN</w:t>
      </w:r>
      <w:r>
        <w:t xml:space="preserve"> </w:t>
      </w:r>
      <w:r>
        <w:t xml:space="preserve">315</w:t>
      </w:r>
      <w:r>
        <w:t xml:space="preserve"> </w:t>
      </w:r>
      <w:r>
        <w:t xml:space="preserve">-</w:t>
      </w:r>
      <w:r>
        <w:t xml:space="preserve"> </w:t>
      </w:r>
      <w:r>
        <w:t xml:space="preserve">Advanced</w:t>
      </w:r>
      <w:r>
        <w:t xml:space="preserve"> </w:t>
      </w:r>
      <w:r>
        <w:t xml:space="preserve">Computer</w:t>
      </w:r>
      <w:r>
        <w:t xml:space="preserve"> </w:t>
      </w:r>
      <w:r>
        <w:t xml:space="preserve">Architecture</w:t>
      </w:r>
      <w:r>
        <w:t xml:space="preserve"> </w:t>
      </w:r>
      <w:r>
        <w:t xml:space="preserve">-</w:t>
      </w:r>
      <w:r>
        <w:t xml:space="preserve"> </w:t>
      </w:r>
      <w:r>
        <w:t xml:space="preserve">University</w:t>
      </w:r>
      <w:r>
        <w:t xml:space="preserve"> </w:t>
      </w:r>
      <w:r>
        <w:t xml:space="preserve">of</w:t>
      </w:r>
      <w:r>
        <w:t xml:space="preserve"> </w:t>
      </w:r>
      <w:r>
        <w:t xml:space="preserve">Ghana,</w:t>
      </w:r>
      <w:r>
        <w:t xml:space="preserve"> </w:t>
      </w:r>
      <w:r>
        <w:t xml:space="preserve">Legon</w:t>
      </w:r>
    </w:p>
    <w:p>
      <w:pPr>
        <w:pStyle w:val="Date"/>
      </w:pPr>
      <w:r>
        <w:t xml:space="preserve">Project</w:t>
      </w:r>
      <w:r>
        <w:t xml:space="preserve"> </w:t>
      </w:r>
      <w:r>
        <w:t xml:space="preserve">3</w:t>
      </w:r>
      <w:r>
        <w:t xml:space="preserve"> </w:t>
      </w:r>
      <w:r>
        <w:t xml:space="preserve">-</w:t>
      </w:r>
      <w:r>
        <w:t xml:space="preserve"> </w:t>
      </w:r>
      <w:r>
        <w:t xml:space="preserve">Hazard</w:t>
      </w:r>
      <w:r>
        <w:t xml:space="preserve"> </w:t>
      </w:r>
      <w:r>
        <w:t xml:space="preserve">Watch</w:t>
      </w:r>
    </w:p>
    <w:p>
      <w:r>
        <w:pict>
          <ns1:rect style="width:0;height:1.5pt" ns2:hralign="center" ns2:hrstd="t" ns2:hr="t"/>
        </w:pict>
      </w:r>
    </w:p>
    <w:bookmarkStart w:id="20" w:name="X374c5cb467a61bfa61c3bfac58824ccb58b0015"/>
    <w:p>
      <w:pPr>
        <w:pStyle w:val="Heading2"/>
      </w:pPr>
      <w:r>
        <w:t xml:space="preserve">1. Weekly Objective and Progress Summary</w:t>
      </w:r>
    </w:p>
    <w:p>
      <w:pPr>
        <w:pStyle w:val="FirstParagraph"/>
      </w:pPr>
      <w:r>
        <w:rPr>
          <w:bCs/>
          <w:b/>
        </w:rPr>
        <w:t xml:space="preserve">Main objective for the week:</w:t>
      </w:r>
      <w:r>
        <w:t xml:space="preserve"> </w:t>
      </w:r>
      <w:r>
        <w:t xml:space="preserve">Implement the forwarding unit and hazard-detection unit in the golden C simulator and verify them against the test vectors hand-derived in Week 1. Because the team holds no Project 2 artefact, an added objective was to build the five-stage baseline datapath the hazard hardware attaches to.</w:t>
      </w:r>
    </w:p>
    <w:p>
      <w:pPr>
        <w:pStyle w:val="BodyText"/>
      </w:pPr>
      <w:r>
        <w:rPr>
          <w:bCs/>
          <w:b/>
        </w:rPr>
        <w:t xml:space="preserve">Overall project completion:</w:t>
      </w:r>
      <w:r>
        <w:t xml:space="preserve"> </w:t>
      </w:r>
      <w:r>
        <w:t xml:space="preserve">45%</w:t>
      </w:r>
    </w:p>
    <w:p>
      <w:pPr>
        <w:pStyle w:val="BodyText"/>
      </w:pPr>
      <w:r>
        <w:rPr>
          <w:bCs/>
          <w:b/>
        </w:rPr>
        <w:t xml:space="preserve">Summary of progress achieved:</w:t>
      </w:r>
    </w:p>
    <w:p>
      <w:pPr>
        <w:pStyle w:val="BodyText"/>
      </w:pPr>
      <w:r>
        <w:t xml:space="preserve">The golden simulator is complete and runs in two configurations selected at run time.</w:t>
      </w:r>
      <w:r>
        <w:t xml:space="preserve"> </w:t>
      </w:r>
      <w:r>
        <w:rPr>
          <w:rStyle w:val="VerbatimChar"/>
        </w:rPr>
        <w:t xml:space="preserve">--mode baseline</w:t>
      </w:r>
      <w:r>
        <w:t xml:space="preserve"> </w:t>
      </w:r>
      <w:r>
        <w:t xml:space="preserve">reproduces Project-2 semantics — no forwarding, no interlock, correctness guaranteed by assembler NOP padding.</w:t>
      </w:r>
      <w:r>
        <w:t xml:space="preserve"> </w:t>
      </w:r>
      <w:r>
        <w:rPr>
          <w:rStyle w:val="VerbatimChar"/>
        </w:rPr>
        <w:t xml:space="preserve">--mode hazard</w:t>
      </w:r>
      <w:r>
        <w:t xml:space="preserve"> </w:t>
      </w:r>
      <w:r>
        <w:t xml:space="preserve">adds the three blocks this project is about: EX/MEM and MEM/WB forwarding to the ALU inputs, a hazard-detection unit for the load-use case, and branch resolution in ID with a one-cycle flush and its own forwarding path to the comparator.</w:t>
      </w:r>
    </w:p>
    <w:p>
      <w:pPr>
        <w:pStyle w:val="BodyText"/>
      </w:pPr>
      <w:r>
        <w:t xml:space="preserve">All eight hand-derived test vectors pass, including the negative test that disables the hazard-detection unit and confirms a load result is never forwarded from EX/MEM.</w:t>
      </w:r>
    </w:p>
    <w:p>
      <w:pPr>
        <w:pStyle w:val="BodyText"/>
      </w:pPr>
      <w:r>
        <w:t xml:space="preserve">On the assigned COCOBOD routine the result is</w:t>
      </w:r>
      <w:r>
        <w:t xml:space="preserve"> </w:t>
      </w:r>
      <w:r>
        <w:rPr>
          <w:bCs/>
          <w:b/>
        </w:rPr>
        <w:t xml:space="preserve">47 cycles reduced to 25, a 1.88× speedup</w:t>
      </w:r>
      <w:r>
        <w:t xml:space="preserve">, with the final architectural state identical between the two configurations across all registers and all data memory. Sixteen of eighteen true dependences are resolved at zero cost; the two that cost a cycle each are the load-use hazard and one branch-operand hazard — both predicted in the Week 1 design document before any code existed.</w:t>
      </w:r>
    </w:p>
    <w:p>
      <w:pPr>
        <w:pStyle w:val="BodyText"/>
      </w:pPr>
      <w:r>
        <w:t xml:space="preserve">The most instructive result was not the speedup. The baseline's CPI-per-retired-instruction is 1.09 against the hazard configuration's 1.32 — the baseline looks</w:t>
      </w:r>
      <w:r>
        <w:t xml:space="preserve"> </w:t>
      </w:r>
      <w:r>
        <w:rPr>
          <w:iCs/>
          <w:i/>
        </w:rPr>
        <w:t xml:space="preserve">better</w:t>
      </w:r>
      <w:r>
        <w:t xml:space="preserve"> </w:t>
      </w:r>
      <w:r>
        <w:t xml:space="preserve">on that metric while running nearly twice as slow, because 24 of its 43 instructions are NOPs that retire one per cycle and dilute the average. Reporting the wrong one of those two figures inverts the conclusion. This is discussed in section 4.</w:t>
      </w:r>
    </w:p>
    <w:p>
      <w:r>
        <w:pict>
          <ns1:rect style="width:0;height:1.5pt" ns2:hralign="center" ns2:hrstd="t" ns2:hr="t"/>
        </w:pict>
      </w:r>
    </w:p>
    <w:bookmarkEnd w:id="20"/>
    <w:bookmarkStart w:id="21" w:name="X4ac1f1eec6d8701712b3308e458f9c43a763718"/>
    <w:p>
      <w:pPr>
        <w:pStyle w:val="Heading2"/>
      </w:pPr>
      <w:r>
        <w:t xml:space="preserve">2. Meetings Held</w:t>
      </w:r>
    </w:p>
    <w:p>
      <w:pPr>
        <w:pStyle w:val="BlockText"/>
      </w:pPr>
      <w:r>
        <w:t xml:space="preserve">Replace dates, times and attendance with what actually occurred before signing.</w:t>
      </w:r>
    </w:p>
    <w:tbl>
      <w:tblPr>
        <w:tblStyle w:val="Table"/>
        <w:tblW w:type="dxa" w:w="9070"/>
        <w:tblLook w:firstRow="1" w:lastRow="0" w:firstColumn="0" w:lastColumn="0" w:noHBand="0" w:noVBand="0" w:val="0020"/>
        <w:jc w:val="start"/>
      </w:tblPr>
      <w:tblGrid>
        <w:gridCol w:w="891"/>
        <w:gridCol w:w="891"/>
        <w:gridCol w:w="891"/>
        <w:gridCol w:w="2074"/>
        <w:gridCol w:w="4319"/>
      </w:tblGrid>
      <w:tr>
        <w:trPr>
          <w:tblHeader w:val="true"/>
        </w:trPr>
        <w:tc>
          <w:tcPr>
            <w:tcW w:w="891" w:type="dxa"/>
            <w:shd w:val="clear" w:color="auto" w:fill="D9E2F3"/>
          </w:tcPr>
          <w:p>
            <w:pPr>
              <w:pStyle w:val="Compact"/>
              <w:jc w:val="left"/>
            </w:pPr>
            <w:r>
              <w:rPr>
                <w:b/>
              </w:rPr>
              <w:t xml:space="preserve">Date and Time</w:t>
            </w:r>
          </w:p>
        </w:tc>
        <w:tc>
          <w:tcPr>
            <w:tcW w:w="891" w:type="dxa"/>
            <w:shd w:val="clear" w:color="auto" w:fill="D9E2F3"/>
          </w:tcPr>
          <w:p>
            <w:pPr>
              <w:pStyle w:val="Compact"/>
              <w:jc w:val="left"/>
            </w:pPr>
            <w:r>
              <w:rPr>
                <w:b/>
              </w:rPr>
              <w:t xml:space="preserve">Duration/Mode</w:t>
            </w:r>
          </w:p>
        </w:tc>
        <w:tc>
          <w:tcPr>
            <w:tcW w:w="891" w:type="dxa"/>
            <w:shd w:val="clear" w:color="auto" w:fill="D9E2F3"/>
          </w:tcPr>
          <w:p>
            <w:pPr>
              <w:pStyle w:val="Compact"/>
              <w:jc w:val="left"/>
            </w:pPr>
            <w:r>
              <w:rPr>
                <w:b/>
              </w:rPr>
              <w:t xml:space="preserve">Members Present</w:t>
            </w:r>
          </w:p>
        </w:tc>
        <w:tc>
          <w:tcPr>
            <w:tcW w:w="2074" w:type="dxa"/>
            <w:shd w:val="clear" w:color="auto" w:fill="D9E2F3"/>
          </w:tcPr>
          <w:p>
            <w:pPr>
              <w:pStyle w:val="Compact"/>
              <w:jc w:val="left"/>
            </w:pPr>
            <w:r>
              <w:rPr>
                <w:b/>
              </w:rPr>
              <w:t xml:space="preserve">Main Agenda</w:t>
            </w:r>
          </w:p>
        </w:tc>
        <w:tc>
          <w:tcPr>
            <w:tcW w:w="4319" w:type="dxa"/>
            <w:shd w:val="clear" w:color="auto" w:fill="D9E2F3"/>
          </w:tcPr>
          <w:p>
            <w:pPr>
              <w:pStyle w:val="Compact"/>
              <w:jc w:val="left"/>
            </w:pPr>
            <w:r>
              <w:rPr>
                <w:b/>
              </w:rPr>
              <w:t xml:space="preserve">Decisions and Outcomes</w:t>
            </w:r>
          </w:p>
        </w:tc>
      </w:tr>
      <w:tr>
        <w:tc>
          <w:tcPr>
            <w:tcW w:w="891" w:type="dxa"/>
          </w:tcPr>
          <w:p>
            <w:pPr>
              <w:pStyle w:val="Compact"/>
              <w:jc w:val="left"/>
            </w:pPr>
            <w:r>
              <w:rPr>
                <w:rStyle w:val="VerbatimChar"/>
              </w:rPr>
              <w:t xml:space="preserve">[date, time]</w:t>
            </w:r>
          </w:p>
        </w:tc>
        <w:tc>
          <w:tcPr>
            <w:tcW w:w="891" w:type="dxa"/>
          </w:tcPr>
          <w:p>
            <w:pPr>
              <w:pStyle w:val="Compact"/>
              <w:jc w:val="left"/>
            </w:pPr>
            <w:r>
              <w:rPr>
                <w:rStyle w:val="VerbatimChar"/>
              </w:rPr>
              <w:t xml:space="preserve">[e.g. 2 hr, lab]</w:t>
            </w:r>
          </w:p>
        </w:tc>
        <w:tc>
          <w:tcPr>
            <w:tcW w:w="891" w:type="dxa"/>
          </w:tcPr>
          <w:p>
            <w:pPr>
              <w:pStyle w:val="Compact"/>
              <w:jc w:val="left"/>
            </w:pPr>
            <w:r>
              <w:rPr>
                <w:rStyle w:val="VerbatimChar"/>
              </w:rPr>
              <w:t xml:space="preserve">[all]</w:t>
            </w:r>
          </w:p>
        </w:tc>
        <w:tc>
          <w:tcPr>
            <w:tcW w:w="2074" w:type="dxa"/>
          </w:tcPr>
          <w:p>
            <w:pPr>
              <w:pStyle w:val="Compact"/>
              <w:jc w:val="left"/>
            </w:pPr>
            <w:r>
              <w:t xml:space="preserve">Implementation sync: M3 walked the team through the simulator; M2 checked it against the Week 1 truth tables</w:t>
            </w:r>
          </w:p>
        </w:tc>
        <w:tc>
          <w:tcPr>
            <w:tcW w:w="4319" w:type="dxa"/>
          </w:tcPr>
          <w:p>
            <w:pPr>
              <w:pStyle w:val="Compact"/>
              <w:jc w:val="left"/>
            </w:pPr>
            <w:r>
              <w:t xml:space="preserve">Two corrections agreed. (i) The priority term in the ForwardA equation was initially implicit in row ordering; made explicit as a Boolean product so the Logisim wiring in Week 3 is unambiguous. (ii) Decided that a mis-forward of a load result must abort loudly rather than warn, so the failure mode cannot be missed.</w:t>
            </w:r>
          </w:p>
        </w:tc>
      </w:tr>
      <w:tr>
        <w:tc>
          <w:tcPr>
            <w:tcW w:w="891" w:type="dxa"/>
          </w:tcPr>
          <w:p>
            <w:pPr>
              <w:pStyle w:val="Compact"/>
              <w:jc w:val="left"/>
            </w:pPr>
            <w:r>
              <w:rPr>
                <w:rStyle w:val="VerbatimChar"/>
              </w:rPr>
              <w:t xml:space="preserve">[date, time]</w:t>
            </w:r>
          </w:p>
        </w:tc>
        <w:tc>
          <w:tcPr>
            <w:tcW w:w="891" w:type="dxa"/>
          </w:tcPr>
          <w:p>
            <w:pPr>
              <w:pStyle w:val="Compact"/>
              <w:jc w:val="left"/>
            </w:pPr>
            <w:r>
              <w:rPr>
                <w:rStyle w:val="VerbatimChar"/>
              </w:rPr>
              <w:t xml:space="preserve">[e.g. 90 min, lab]</w:t>
            </w:r>
          </w:p>
        </w:tc>
        <w:tc>
          <w:tcPr>
            <w:tcW w:w="891" w:type="dxa"/>
          </w:tcPr>
          <w:p>
            <w:pPr>
              <w:pStyle w:val="Compact"/>
              <w:jc w:val="left"/>
            </w:pPr>
            <w:r>
              <w:rPr>
                <w:rStyle w:val="VerbatimChar"/>
              </w:rPr>
              <w:t xml:space="preserve">[all]</w:t>
            </w:r>
          </w:p>
        </w:tc>
        <w:tc>
          <w:tcPr>
            <w:tcW w:w="2074" w:type="dxa"/>
          </w:tcPr>
          <w:p>
            <w:pPr>
              <w:pStyle w:val="Compact"/>
              <w:jc w:val="left"/>
            </w:pPr>
            <w:r>
              <w:t xml:space="preserve">Verification review: M4 presented the vector results; team agreed the reporting metric; Week 3 planned</w:t>
            </w:r>
          </w:p>
        </w:tc>
        <w:tc>
          <w:tcPr>
            <w:tcW w:w="4319" w:type="dxa"/>
          </w:tcPr>
          <w:p>
            <w:pPr>
              <w:pStyle w:val="Compact"/>
              <w:jc w:val="left"/>
            </w:pPr>
            <w:r>
              <w:t xml:space="preserve">Agreed to report</w:t>
            </w:r>
            <w:r>
              <w:t xml:space="preserve"> </w:t>
            </w:r>
            <w:r>
              <w:rPr>
                <w:bCs/>
                <w:b/>
              </w:rPr>
              <w:t xml:space="preserve">both</w:t>
            </w:r>
            <w:r>
              <w:t xml:space="preserve"> </w:t>
            </w:r>
            <w:r>
              <w:t xml:space="preserve">CPI figures with an explicit argument for which one answers the question, rather than quietly selecting the flattering one. Agreed that the Logisim port in Week 3 will build and verify each unit as an isolated subcircuit before wiring, per the Project 2 instructor note. Identified that our seeded branch resolves not-taken, so a taken-branch timing diagram must come from test vector V4.</w:t>
            </w:r>
          </w:p>
        </w:tc>
      </w:tr>
    </w:tbl>
    <w:p>
      <w:pPr>
        <w:pStyle w:val="BodyText"/>
      </w:pPr>
      <w:r>
        <w:rPr>
          <w:bCs/>
          <w:b/>
        </w:rPr>
        <w:t xml:space="preserve">Technical alternatives considered.</w:t>
      </w:r>
      <w:r>
        <w:t xml:space="preserve"> </w:t>
      </w:r>
      <w:r>
        <w:t xml:space="preserve">For the load-use case we considered suppressing the forwarding-unit output during the stall instead of injecting a bubble. Rejected: a bubble is what real hardware does and what the Logisim implementation will need, and the alternative would have made the software and hardware diverge in the one place cross-validation matters most.</w:t>
      </w:r>
    </w:p>
    <w:p>
      <w:pPr>
        <w:pStyle w:val="BodyText"/>
      </w:pPr>
      <w:r>
        <w:rPr>
          <w:bCs/>
          <w:b/>
        </w:rPr>
        <w:t xml:space="preserve">Unresolved issues requiring further investigation.</w:t>
      </w:r>
      <w:r>
        <w:t xml:space="preserve"> </w:t>
      </w:r>
      <w:r>
        <w:t xml:space="preserve">None outstanding from this week. Carried forward: the branch-direction gap noted above, and the choice of Level-3 extension.</w:t>
      </w:r>
    </w:p>
    <w:p>
      <w:r>
        <w:pict>
          <ns1:rect style="width:0;height:1.5pt" ns2:hralign="center" ns2:hrstd="t" ns2:hr="t"/>
        </w:pict>
      </w:r>
    </w:p>
    <w:bookmarkEnd w:id="21"/>
    <w:bookmarkStart w:id="22" w:name="X16e6f49c8077d04e15cf0caf4863aba9ff13442"/>
    <w:p>
      <w:pPr>
        <w:pStyle w:val="Heading2"/>
      </w:pPr>
      <w:r>
        <w:t xml:space="preserve">3. Work Completed and Individual Contributions</w:t>
      </w:r>
    </w:p>
    <w:tbl>
      <w:tblPr>
        <w:tblStyle w:val="Table"/>
        <w:tblW w:type="dxa" w:w="9070"/>
        <w:tblLook w:firstRow="1" w:lastRow="0" w:firstColumn="0" w:lastColumn="0" w:noHBand="0" w:noVBand="0" w:val="0020"/>
        <w:jc w:val="start"/>
      </w:tblPr>
      <w:tblGrid>
        <w:gridCol w:w="877"/>
        <w:gridCol w:w="1521"/>
        <w:gridCol w:w="3564"/>
        <w:gridCol w:w="2228"/>
        <w:gridCol w:w="877"/>
      </w:tblGrid>
      <w:tr>
        <w:trPr>
          <w:tblHeader w:val="true"/>
        </w:trPr>
        <w:tc>
          <w:tcPr>
            <w:tcW w:w="877" w:type="dxa"/>
            <w:shd w:val="clear" w:color="auto" w:fill="D9E2F3"/>
          </w:tcPr>
          <w:p>
            <w:pPr>
              <w:pStyle w:val="Compact"/>
              <w:jc w:val="left"/>
            </w:pPr>
            <w:r>
              <w:rPr>
                <w:b/>
              </w:rPr>
              <w:t xml:space="preserve">Member</w:t>
            </w:r>
          </w:p>
        </w:tc>
        <w:tc>
          <w:tcPr>
            <w:tcW w:w="1521" w:type="dxa"/>
            <w:shd w:val="clear" w:color="auto" w:fill="D9E2F3"/>
          </w:tcPr>
          <w:p>
            <w:pPr>
              <w:pStyle w:val="Compact"/>
              <w:jc w:val="left"/>
            </w:pPr>
            <w:r>
              <w:rPr>
                <w:b/>
              </w:rPr>
              <w:t xml:space="preserve">Assigned Task</w:t>
            </w:r>
          </w:p>
        </w:tc>
        <w:tc>
          <w:tcPr>
            <w:tcW w:w="3564" w:type="dxa"/>
            <w:shd w:val="clear" w:color="auto" w:fill="D9E2F3"/>
          </w:tcPr>
          <w:p>
            <w:pPr>
              <w:pStyle w:val="Compact"/>
              <w:jc w:val="left"/>
            </w:pPr>
            <w:r>
              <w:rPr>
                <w:b/>
              </w:rPr>
              <w:t xml:space="preserve">Work Completed</w:t>
            </w:r>
          </w:p>
        </w:tc>
        <w:tc>
          <w:tcPr>
            <w:tcW w:w="2228" w:type="dxa"/>
            <w:shd w:val="clear" w:color="auto" w:fill="D9E2F3"/>
          </w:tcPr>
          <w:p>
            <w:pPr>
              <w:pStyle w:val="Compact"/>
              <w:jc w:val="left"/>
            </w:pPr>
            <w:r>
              <w:rPr>
                <w:b/>
              </w:rPr>
              <w:t xml:space="preserve">Evidence/Output</w:t>
            </w:r>
          </w:p>
        </w:tc>
        <w:tc>
          <w:tcPr>
            <w:tcW w:w="877" w:type="dxa"/>
            <w:shd w:val="clear" w:color="auto" w:fill="D9E2F3"/>
          </w:tcPr>
          <w:p>
            <w:pPr>
              <w:pStyle w:val="Compact"/>
              <w:jc w:val="left"/>
            </w:pPr>
            <w:r>
              <w:rPr>
                <w:b/>
              </w:rPr>
              <w:t xml:space="preserve">Status</w:t>
            </w:r>
          </w:p>
        </w:tc>
      </w:tr>
      <w:tr>
        <w:tc>
          <w:tcPr>
            <w:tcW w:w="877" w:type="dxa"/>
          </w:tcPr>
          <w:p>
            <w:pPr>
              <w:pStyle w:val="Compact"/>
              <w:jc w:val="left"/>
            </w:pPr>
            <w:r>
              <w:rPr>
                <w:rStyle w:val="VerbatimChar"/>
              </w:rPr>
              <w:t xml:space="preserve">[M1]</w:t>
            </w:r>
          </w:p>
        </w:tc>
        <w:tc>
          <w:tcPr>
            <w:tcW w:w="1521" w:type="dxa"/>
          </w:tcPr>
          <w:p>
            <w:pPr>
              <w:pStyle w:val="Compact"/>
              <w:jc w:val="left"/>
            </w:pPr>
            <w:r>
              <w:t xml:space="preserve">Integration, full-program comparison, CPI analysis</w:t>
            </w:r>
          </w:p>
        </w:tc>
        <w:tc>
          <w:tcPr>
            <w:tcW w:w="3564" w:type="dxa"/>
          </w:tcPr>
          <w:p>
            <w:pPr>
              <w:pStyle w:val="Compact"/>
              <w:jc w:val="left"/>
            </w:pPr>
            <w:r>
              <w:t xml:space="preserve">Merged the implementation branches; ran the full baseline-versus-hazard comparison; produced the CPI analysis and the argument for which metric is comparable; wrote the automated regeneration script</w:t>
            </w:r>
          </w:p>
        </w:tc>
        <w:tc>
          <w:tcPr>
            <w:tcW w:w="2228" w:type="dxa"/>
          </w:tcPr>
          <w:p>
            <w:pPr>
              <w:pStyle w:val="Compact"/>
              <w:jc w:val="left"/>
            </w:pPr>
            <w:r>
              <w:rPr>
                <w:rStyle w:val="VerbatimChar"/>
              </w:rPr>
              <w:t xml:space="preserve">results/run_seed16993.txt</w:t>
            </w:r>
            <w:r>
              <w:t xml:space="preserve">;</w:t>
            </w:r>
            <w:r>
              <w:t xml:space="preserve"> </w:t>
            </w:r>
            <w:r>
              <w:rPr>
                <w:rStyle w:val="VerbatimChar"/>
              </w:rPr>
              <w:t xml:space="preserve">rebuild.py</w:t>
            </w:r>
            <w:r>
              <w:t xml:space="preserve">; §4 of this report</w:t>
            </w:r>
          </w:p>
        </w:tc>
        <w:tc>
          <w:tcPr>
            <w:tcW w:w="877" w:type="dxa"/>
          </w:tcPr>
          <w:p>
            <w:pPr>
              <w:pStyle w:val="Compact"/>
              <w:jc w:val="left"/>
            </w:pPr>
            <w:r>
              <w:t xml:space="preserve">Completed</w:t>
            </w:r>
          </w:p>
        </w:tc>
      </w:tr>
      <w:tr>
        <w:tc>
          <w:tcPr>
            <w:tcW w:w="877" w:type="dxa"/>
          </w:tcPr>
          <w:p>
            <w:pPr>
              <w:pStyle w:val="Compact"/>
              <w:jc w:val="left"/>
            </w:pPr>
            <w:r>
              <w:rPr>
                <w:rStyle w:val="VerbatimChar"/>
              </w:rPr>
              <w:t xml:space="preserve">[M2]</w:t>
            </w:r>
          </w:p>
        </w:tc>
        <w:tc>
          <w:tcPr>
            <w:tcW w:w="1521" w:type="dxa"/>
          </w:tcPr>
          <w:p>
            <w:pPr>
              <w:pStyle w:val="Compact"/>
              <w:jc w:val="left"/>
            </w:pPr>
            <w:r>
              <w:t xml:space="preserve">Design-conformance review</w:t>
            </w:r>
          </w:p>
        </w:tc>
        <w:tc>
          <w:tcPr>
            <w:tcW w:w="3564" w:type="dxa"/>
          </w:tcPr>
          <w:p>
            <w:pPr>
              <w:pStyle w:val="Compact"/>
              <w:jc w:val="left"/>
            </w:pPr>
            <w:r>
              <w:t xml:space="preserve">Mapped every row of both truth tables to the line of C implementing it; identified that the forwarding priority term was implicit rather than explicit and had it rewritten; documented the simultaneous dual-forward case at cycle 14</w:t>
            </w:r>
          </w:p>
        </w:tc>
        <w:tc>
          <w:tcPr>
            <w:tcW w:w="2228" w:type="dxa"/>
          </w:tcPr>
          <w:p>
            <w:pPr>
              <w:pStyle w:val="Compact"/>
              <w:jc w:val="left"/>
            </w:pPr>
            <w:r>
              <w:t xml:space="preserve">Conformance note; commit history</w:t>
            </w:r>
          </w:p>
        </w:tc>
        <w:tc>
          <w:tcPr>
            <w:tcW w:w="877" w:type="dxa"/>
          </w:tcPr>
          <w:p>
            <w:pPr>
              <w:pStyle w:val="Compact"/>
              <w:jc w:val="left"/>
            </w:pPr>
            <w:r>
              <w:t xml:space="preserve">Completed</w:t>
            </w:r>
          </w:p>
        </w:tc>
      </w:tr>
      <w:tr>
        <w:tc>
          <w:tcPr>
            <w:tcW w:w="877" w:type="dxa"/>
          </w:tcPr>
          <w:p>
            <w:pPr>
              <w:pStyle w:val="Compact"/>
              <w:jc w:val="left"/>
            </w:pPr>
            <w:r>
              <w:rPr>
                <w:rStyle w:val="VerbatimChar"/>
              </w:rPr>
              <w:t xml:space="preserve">[M3]</w:t>
            </w:r>
          </w:p>
        </w:tc>
        <w:tc>
          <w:tcPr>
            <w:tcW w:w="1521" w:type="dxa"/>
          </w:tcPr>
          <w:p>
            <w:pPr>
              <w:pStyle w:val="Compact"/>
              <w:jc w:val="left"/>
            </w:pPr>
            <w:r>
              <w:t xml:space="preserve">Golden simulator implementation</w:t>
            </w:r>
          </w:p>
        </w:tc>
        <w:tc>
          <w:tcPr>
            <w:tcW w:w="3564" w:type="dxa"/>
          </w:tcPr>
          <w:p>
            <w:pPr>
              <w:pStyle w:val="Compact"/>
              <w:jc w:val="left"/>
            </w:pPr>
            <w:r>
              <w:t xml:space="preserve">Implemented the five-stage datapath, the forwarding unit with correct priority, the hazard-detection unit with per-opcode source decode, ID-stage branch resolution with flush, and the assembler NOP padder for the baseline configuration</w:t>
            </w:r>
          </w:p>
        </w:tc>
        <w:tc>
          <w:tcPr>
            <w:tcW w:w="2228" w:type="dxa"/>
          </w:tcPr>
          <w:p>
            <w:pPr>
              <w:pStyle w:val="Compact"/>
              <w:jc w:val="left"/>
            </w:pPr>
            <w:r>
              <w:rPr>
                <w:rStyle w:val="VerbatimChar"/>
              </w:rPr>
              <w:t xml:space="preserve">src/hazard_pipeline_sim.c</w:t>
            </w:r>
            <w:r>
              <w:t xml:space="preserve"> </w:t>
            </w:r>
            <w:r>
              <w:t xml:space="preserve">(~640 lines); all vectors passing</w:t>
            </w:r>
          </w:p>
        </w:tc>
        <w:tc>
          <w:tcPr>
            <w:tcW w:w="877" w:type="dxa"/>
          </w:tcPr>
          <w:p>
            <w:pPr>
              <w:pStyle w:val="Compact"/>
              <w:jc w:val="left"/>
            </w:pPr>
            <w:r>
              <w:t xml:space="preserve">Completed</w:t>
            </w:r>
          </w:p>
        </w:tc>
      </w:tr>
      <w:tr>
        <w:tc>
          <w:tcPr>
            <w:tcW w:w="877" w:type="dxa"/>
          </w:tcPr>
          <w:p>
            <w:pPr>
              <w:pStyle w:val="Compact"/>
              <w:jc w:val="left"/>
            </w:pPr>
            <w:r>
              <w:rPr>
                <w:rStyle w:val="VerbatimChar"/>
              </w:rPr>
              <w:t xml:space="preserve">[M4]</w:t>
            </w:r>
          </w:p>
        </w:tc>
        <w:tc>
          <w:tcPr>
            <w:tcW w:w="1521" w:type="dxa"/>
          </w:tcPr>
          <w:p>
            <w:pPr>
              <w:pStyle w:val="Compact"/>
              <w:jc w:val="left"/>
            </w:pPr>
            <w:r>
              <w:t xml:space="preserve">Verification and reproducibility</w:t>
            </w:r>
          </w:p>
        </w:tc>
        <w:tc>
          <w:tcPr>
            <w:tcW w:w="3564" w:type="dxa"/>
          </w:tcPr>
          <w:p>
            <w:pPr>
              <w:pStyle w:val="Compact"/>
              <w:jc w:val="left"/>
            </w:pPr>
            <w:r>
              <w:t xml:space="preserve">Ran all eight vectors against the implementation; produced the hazard-classification table; verified cross-validation of architectural state; wrote the README reproduction commands</w:t>
            </w:r>
          </w:p>
        </w:tc>
        <w:tc>
          <w:tcPr>
            <w:tcW w:w="2228" w:type="dxa"/>
          </w:tcPr>
          <w:p>
            <w:pPr>
              <w:pStyle w:val="Compact"/>
              <w:jc w:val="left"/>
            </w:pPr>
            <w:r>
              <w:rPr>
                <w:rStyle w:val="VerbatimChar"/>
              </w:rPr>
              <w:t xml:space="preserve">tests/hazard_test_vectors.py</w:t>
            </w:r>
            <w:r>
              <w:t xml:space="preserve">;</w:t>
            </w:r>
            <w:r>
              <w:t xml:space="preserve"> </w:t>
            </w:r>
            <w:r>
              <w:rPr>
                <w:rStyle w:val="VerbatimChar"/>
              </w:rPr>
              <w:t xml:space="preserve">results/hazard_classification.csv</w:t>
            </w:r>
            <w:r>
              <w:t xml:space="preserve">;</w:t>
            </w:r>
            <w:r>
              <w:t xml:space="preserve"> </w:t>
            </w:r>
            <w:r>
              <w:rPr>
                <w:rStyle w:val="VerbatimChar"/>
              </w:rPr>
              <w:t xml:space="preserve">results/test_vectors.txt</w:t>
            </w:r>
            <w:r>
              <w:t xml:space="preserve">;</w:t>
            </w:r>
            <w:r>
              <w:t xml:space="preserve"> </w:t>
            </w:r>
            <w:r>
              <w:rPr>
                <w:rStyle w:val="VerbatimChar"/>
              </w:rPr>
              <w:t xml:space="preserve">README.md</w:t>
            </w:r>
          </w:p>
        </w:tc>
        <w:tc>
          <w:tcPr>
            <w:tcW w:w="877" w:type="dxa"/>
          </w:tcPr>
          <w:p>
            <w:pPr>
              <w:pStyle w:val="Compact"/>
              <w:jc w:val="left"/>
            </w:pPr>
            <w:r>
              <w:t xml:space="preserve">Completed</w:t>
            </w:r>
          </w:p>
        </w:tc>
      </w:tr>
    </w:tbl>
    <w:p>
      <w:r>
        <w:pict>
          <ns1:rect style="width:0;height:1.5pt" ns2:hralign="center" ns2:hrstd="t" ns2:hr="t"/>
        </w:pict>
      </w:r>
    </w:p>
    <w:bookmarkEnd w:id="22"/>
    <w:bookmarkStart w:id="23" w:name="X283b5eff5a1e90227f956aaff10e0f7fc70c18d"/>
    <w:p>
      <w:pPr>
        <w:pStyle w:val="Heading2"/>
      </w:pPr>
      <w:r>
        <w:t xml:space="preserve">4. Work Process and Technical Activities</w:t>
      </w:r>
    </w:p>
    <w:p>
      <w:pPr>
        <w:pStyle w:val="FirstParagraph"/>
      </w:pPr>
      <w:r>
        <w:rPr>
          <w:bCs/>
          <w:b/>
        </w:rPr>
        <w:t xml:space="preserve">Methods, tools, and procedures used.</w:t>
      </w:r>
      <w:r>
        <w:t xml:space="preserve"> </w:t>
      </w:r>
      <w:r>
        <w:t xml:space="preserve">The simulator is C, built with</w:t>
      </w:r>
      <w:r>
        <w:t xml:space="preserve"> </w:t>
      </w:r>
      <w:r>
        <w:rPr>
          <w:rStyle w:val="VerbatimChar"/>
        </w:rPr>
        <w:t xml:space="preserve">gcc -O2 -Wall -Wextra</w:t>
      </w:r>
      <w:r>
        <w:t xml:space="preserve"> </w:t>
      </w:r>
      <w:r>
        <w:t xml:space="preserve">and warning-clean. It is cycle-driven: each cycle computes the next set of pipeline latches from the current set, with the write-back stage writing the register file before the decode stage reads it, which models the write-first-half / read-second-half convention fixed in Week 1. The forwarding unit, the hazard-detection unit and the branch-comparator forwarding are separate blocks in the source, positioned in the stages they physically occupy, so that the Week 3 Logisim port is a transcription rather than a redesign. Trace output is CSV with columns named after the intended Logisim wires —</w:t>
      </w:r>
      <w:r>
        <w:t xml:space="preserve"> </w:t>
      </w:r>
      <w:r>
        <w:rPr>
          <w:rStyle w:val="VerbatimChar"/>
        </w:rPr>
        <w:t xml:space="preserve">ForwardA</w:t>
      </w:r>
      <w:r>
        <w:t xml:space="preserve">,</w:t>
      </w:r>
      <w:r>
        <w:t xml:space="preserve"> </w:t>
      </w:r>
      <w:r>
        <w:rPr>
          <w:rStyle w:val="VerbatimChar"/>
        </w:rPr>
        <w:t xml:space="preserve">ForwardB</w:t>
      </w:r>
      <w:r>
        <w:t xml:space="preserve">,</w:t>
      </w:r>
      <w:r>
        <w:t xml:space="preserve"> </w:t>
      </w:r>
      <w:r>
        <w:rPr>
          <w:rStyle w:val="VerbatimChar"/>
        </w:rPr>
        <w:t xml:space="preserve">ForwardC</w:t>
      </w:r>
      <w:r>
        <w:t xml:space="preserve">,</w:t>
      </w:r>
      <w:r>
        <w:t xml:space="preserve"> </w:t>
      </w:r>
      <w:r>
        <w:rPr>
          <w:rStyle w:val="VerbatimChar"/>
        </w:rPr>
        <w:t xml:space="preserve">ForwardD</w:t>
      </w:r>
      <w:r>
        <w:t xml:space="preserve">,</w:t>
      </w:r>
      <w:r>
        <w:t xml:space="preserve"> </w:t>
      </w:r>
      <w:r>
        <w:rPr>
          <w:rStyle w:val="VerbatimChar"/>
        </w:rPr>
        <w:t xml:space="preserve">Stall</w:t>
      </w:r>
      <w:r>
        <w:t xml:space="preserve">,</w:t>
      </w:r>
      <w:r>
        <w:t xml:space="preserve"> </w:t>
      </w:r>
      <w:r>
        <w:rPr>
          <w:rStyle w:val="VerbatimChar"/>
        </w:rPr>
        <w:t xml:space="preserve">Flush</w:t>
      </w:r>
      <w:r>
        <w:t xml:space="preserve"> </w:t>
      </w:r>
      <w:r>
        <w:t xml:space="preserve">— so Week 3 can be cross-validated signal by signal instead of by eye.</w:t>
      </w:r>
    </w:p>
    <w:p>
      <w:pPr>
        <w:pStyle w:val="BodyText"/>
      </w:pPr>
      <w:r>
        <w:rPr>
          <w:bCs/>
          <w:b/>
        </w:rPr>
        <w:t xml:space="preserve">Testing, verification, or review conducted.</w:t>
      </w:r>
    </w:p>
    <w:p>
      <w:pPr>
        <w:pStyle w:val="BodyText"/>
      </w:pPr>
      <w:r>
        <w:t xml:space="preserve">Eight vectors, every expected value derived by hand in Week 1 before the code was run:</w:t>
      </w:r>
    </w:p>
    <w:tbl>
      <w:tblPr>
        <w:tblStyle w:val="Table"/>
        <w:tblW w:type="dxa" w:w="9070"/>
        <w:tblLook w:firstRow="1" w:lastRow="0" w:firstColumn="0" w:lastColumn="0" w:noHBand="0" w:noVBand="0" w:val="0020"/>
        <w:jc w:val="start"/>
      </w:tblPr>
      <w:tblGrid>
        <w:gridCol w:w="1215"/>
        <w:gridCol w:w="3103"/>
        <w:gridCol w:w="3714"/>
        <w:gridCol w:w="1037"/>
      </w:tblGrid>
      <w:tr>
        <w:trPr>
          <w:tblHeader w:val="true"/>
        </w:trPr>
        <w:tc>
          <w:tcPr>
            <w:tcW w:w="1215" w:type="dxa"/>
            <w:shd w:val="clear" w:color="auto" w:fill="D9E2F3"/>
          </w:tcPr>
          <w:p>
            <w:pPr>
              <w:pStyle w:val="Compact"/>
              <w:jc w:val="left"/>
            </w:pPr>
            <w:r>
              <w:rPr>
                <w:b/>
              </w:rPr>
              <w:t xml:space="preserve">Vector</w:t>
            </w:r>
          </w:p>
        </w:tc>
        <w:tc>
          <w:tcPr>
            <w:tcW w:w="3103" w:type="dxa"/>
            <w:shd w:val="clear" w:color="auto" w:fill="D9E2F3"/>
          </w:tcPr>
          <w:p>
            <w:pPr>
              <w:pStyle w:val="Compact"/>
              <w:jc w:val="left"/>
            </w:pPr>
            <w:r>
              <w:rPr>
                <w:b/>
              </w:rPr>
              <w:t xml:space="preserve">What it pins</w:t>
            </w:r>
          </w:p>
        </w:tc>
        <w:tc>
          <w:tcPr>
            <w:tcW w:w="3714" w:type="dxa"/>
            <w:shd w:val="clear" w:color="auto" w:fill="D9E2F3"/>
          </w:tcPr>
          <w:p>
            <w:pPr>
              <w:pStyle w:val="Compact"/>
              <w:jc w:val="left"/>
            </w:pPr>
            <w:r>
              <w:rPr>
                <w:b/>
              </w:rPr>
              <w:t xml:space="preserve">Expected</w:t>
            </w:r>
          </w:p>
        </w:tc>
        <w:tc>
          <w:tcPr>
            <w:tcW w:w="1037" w:type="dxa"/>
            <w:shd w:val="clear" w:color="auto" w:fill="D9E2F3"/>
          </w:tcPr>
          <w:p>
            <w:pPr>
              <w:pStyle w:val="Compact"/>
              <w:jc w:val="left"/>
            </w:pPr>
            <w:r>
              <w:rPr>
                <w:b/>
              </w:rPr>
              <w:t xml:space="preserve">Result</w:t>
            </w:r>
          </w:p>
        </w:tc>
      </w:tr>
      <w:tr>
        <w:tc>
          <w:tcPr>
            <w:tcW w:w="1215" w:type="dxa"/>
          </w:tcPr>
          <w:p>
            <w:pPr>
              <w:pStyle w:val="Compact"/>
              <w:jc w:val="left"/>
            </w:pPr>
            <w:r>
              <w:t xml:space="preserve">V1</w:t>
            </w:r>
          </w:p>
        </w:tc>
        <w:tc>
          <w:tcPr>
            <w:tcW w:w="3103" w:type="dxa"/>
          </w:tcPr>
          <w:p>
            <w:pPr>
              <w:pStyle w:val="Compact"/>
              <w:jc w:val="left"/>
            </w:pPr>
            <w:r>
              <w:t xml:space="preserve">Distance-1 RAW, EX/MEM forward</w:t>
            </w:r>
          </w:p>
        </w:tc>
        <w:tc>
          <w:tcPr>
            <w:tcW w:w="3714" w:type="dxa"/>
          </w:tcPr>
          <w:p>
            <w:pPr>
              <w:pStyle w:val="Compact"/>
              <w:jc w:val="left"/>
            </w:pPr>
            <w:r>
              <w:t xml:space="preserve">8 cycles, 0 stalls</w:t>
            </w:r>
          </w:p>
        </w:tc>
        <w:tc>
          <w:tcPr>
            <w:tcW w:w="1037" w:type="dxa"/>
          </w:tcPr>
          <w:p>
            <w:pPr>
              <w:pStyle w:val="Compact"/>
              <w:jc w:val="left"/>
            </w:pPr>
            <w:r>
              <w:t xml:space="preserve">Pass</w:t>
            </w:r>
          </w:p>
        </w:tc>
      </w:tr>
      <w:tr>
        <w:tc>
          <w:tcPr>
            <w:tcW w:w="1215" w:type="dxa"/>
          </w:tcPr>
          <w:p>
            <w:pPr>
              <w:pStyle w:val="Compact"/>
              <w:jc w:val="left"/>
            </w:pPr>
            <w:r>
              <w:t xml:space="preserve">V2</w:t>
            </w:r>
          </w:p>
        </w:tc>
        <w:tc>
          <w:tcPr>
            <w:tcW w:w="3103" w:type="dxa"/>
          </w:tcPr>
          <w:p>
            <w:pPr>
              <w:pStyle w:val="Compact"/>
              <w:jc w:val="left"/>
            </w:pPr>
            <w:r>
              <w:t xml:space="preserve">Distance-2 RAW, MEM/WB forward</w:t>
            </w:r>
          </w:p>
        </w:tc>
        <w:tc>
          <w:tcPr>
            <w:tcW w:w="3714" w:type="dxa"/>
          </w:tcPr>
          <w:p>
            <w:pPr>
              <w:pStyle w:val="Compact"/>
              <w:jc w:val="left"/>
            </w:pPr>
            <w:r>
              <w:t xml:space="preserve">7 cycles, 0 stalls</w:t>
            </w:r>
          </w:p>
        </w:tc>
        <w:tc>
          <w:tcPr>
            <w:tcW w:w="1037" w:type="dxa"/>
          </w:tcPr>
          <w:p>
            <w:pPr>
              <w:pStyle w:val="Compact"/>
              <w:jc w:val="left"/>
            </w:pPr>
            <w:r>
              <w:t xml:space="preserve">Pass</w:t>
            </w:r>
          </w:p>
        </w:tc>
      </w:tr>
      <w:tr>
        <w:tc>
          <w:tcPr>
            <w:tcW w:w="1215" w:type="dxa"/>
          </w:tcPr>
          <w:p>
            <w:pPr>
              <w:pStyle w:val="Compact"/>
              <w:jc w:val="left"/>
            </w:pPr>
            <w:r>
              <w:t xml:space="preserve">V3</w:t>
            </w:r>
          </w:p>
        </w:tc>
        <w:tc>
          <w:tcPr>
            <w:tcW w:w="3103" w:type="dxa"/>
          </w:tcPr>
          <w:p>
            <w:pPr>
              <w:pStyle w:val="Compact"/>
              <w:jc w:val="left"/>
            </w:pPr>
            <w:r>
              <w:t xml:space="preserve">Load-use</w:t>
            </w:r>
          </w:p>
        </w:tc>
        <w:tc>
          <w:tcPr>
            <w:tcW w:w="3714" w:type="dxa"/>
          </w:tcPr>
          <w:p>
            <w:pPr>
              <w:pStyle w:val="Compact"/>
              <w:jc w:val="left"/>
            </w:pPr>
            <w:r>
              <w:t xml:space="preserve">8 cycles, exactly 1 stall</w:t>
            </w:r>
          </w:p>
        </w:tc>
        <w:tc>
          <w:tcPr>
            <w:tcW w:w="1037" w:type="dxa"/>
          </w:tcPr>
          <w:p>
            <w:pPr>
              <w:pStyle w:val="Compact"/>
              <w:jc w:val="left"/>
            </w:pPr>
            <w:r>
              <w:t xml:space="preserve">Pass</w:t>
            </w:r>
          </w:p>
        </w:tc>
      </w:tr>
      <w:tr>
        <w:tc>
          <w:tcPr>
            <w:tcW w:w="1215" w:type="dxa"/>
          </w:tcPr>
          <w:p>
            <w:pPr>
              <w:pStyle w:val="Compact"/>
              <w:jc w:val="left"/>
            </w:pPr>
            <w:r>
              <w:t xml:space="preserve">V4</w:t>
            </w:r>
          </w:p>
        </w:tc>
        <w:tc>
          <w:tcPr>
            <w:tcW w:w="3103" w:type="dxa"/>
          </w:tcPr>
          <w:p>
            <w:pPr>
              <w:pStyle w:val="Compact"/>
              <w:jc w:val="left"/>
            </w:pPr>
            <w:r>
              <w:t xml:space="preserve">Branch taken</w:t>
            </w:r>
          </w:p>
        </w:tc>
        <w:tc>
          <w:tcPr>
            <w:tcW w:w="3714" w:type="dxa"/>
          </w:tcPr>
          <w:p>
            <w:pPr>
              <w:pStyle w:val="Compact"/>
              <w:jc w:val="left"/>
            </w:pPr>
            <w:r>
              <w:t xml:space="preserve">10 cycles, 1 stall, 1 flush, skipped instruction never writes</w:t>
            </w:r>
          </w:p>
        </w:tc>
        <w:tc>
          <w:tcPr>
            <w:tcW w:w="1037" w:type="dxa"/>
          </w:tcPr>
          <w:p>
            <w:pPr>
              <w:pStyle w:val="Compact"/>
              <w:jc w:val="left"/>
            </w:pPr>
            <w:r>
              <w:t xml:space="preserve">Pass</w:t>
            </w:r>
          </w:p>
        </w:tc>
      </w:tr>
      <w:tr>
        <w:tc>
          <w:tcPr>
            <w:tcW w:w="1215" w:type="dxa"/>
          </w:tcPr>
          <w:p>
            <w:pPr>
              <w:pStyle w:val="Compact"/>
              <w:jc w:val="left"/>
            </w:pPr>
            <w:r>
              <w:t xml:space="preserve">V5</w:t>
            </w:r>
          </w:p>
        </w:tc>
        <w:tc>
          <w:tcPr>
            <w:tcW w:w="3103" w:type="dxa"/>
          </w:tcPr>
          <w:p>
            <w:pPr>
              <w:pStyle w:val="Compact"/>
              <w:jc w:val="left"/>
            </w:pPr>
            <w:r>
              <w:t xml:space="preserve">Branch not taken</w:t>
            </w:r>
          </w:p>
        </w:tc>
        <w:tc>
          <w:tcPr>
            <w:tcW w:w="3714" w:type="dxa"/>
          </w:tcPr>
          <w:p>
            <w:pPr>
              <w:pStyle w:val="Compact"/>
              <w:jc w:val="left"/>
            </w:pPr>
            <w:r>
              <w:t xml:space="preserve">10 cycles, 1 stall,</w:t>
            </w:r>
            <w:r>
              <w:t xml:space="preserve"> </w:t>
            </w:r>
            <w:r>
              <w:rPr>
                <w:bCs/>
                <w:b/>
              </w:rPr>
              <w:t xml:space="preserve">0</w:t>
            </w:r>
            <w:r>
              <w:t xml:space="preserve"> </w:t>
            </w:r>
            <w:r>
              <w:t xml:space="preserve">flushes</w:t>
            </w:r>
          </w:p>
        </w:tc>
        <w:tc>
          <w:tcPr>
            <w:tcW w:w="1037" w:type="dxa"/>
          </w:tcPr>
          <w:p>
            <w:pPr>
              <w:pStyle w:val="Compact"/>
              <w:jc w:val="left"/>
            </w:pPr>
            <w:r>
              <w:t xml:space="preserve">Pass</w:t>
            </w:r>
          </w:p>
        </w:tc>
      </w:tr>
      <w:tr>
        <w:tc>
          <w:tcPr>
            <w:tcW w:w="1215" w:type="dxa"/>
          </w:tcPr>
          <w:p>
            <w:pPr>
              <w:pStyle w:val="Compact"/>
              <w:jc w:val="left"/>
            </w:pPr>
            <w:r>
              <w:t xml:space="preserve">V6</w:t>
            </w:r>
          </w:p>
        </w:tc>
        <w:tc>
          <w:tcPr>
            <w:tcW w:w="3103" w:type="dxa"/>
          </w:tcPr>
          <w:p>
            <w:pPr>
              <w:pStyle w:val="Compact"/>
              <w:jc w:val="left"/>
            </w:pPr>
            <w:r>
              <w:t xml:space="preserve">Forwarding priority on a 3-instruction chain</w:t>
            </w:r>
          </w:p>
        </w:tc>
        <w:tc>
          <w:tcPr>
            <w:tcW w:w="3714" w:type="dxa"/>
          </w:tcPr>
          <w:p>
            <w:pPr>
              <w:pStyle w:val="Compact"/>
              <w:jc w:val="left"/>
            </w:pPr>
            <w:r>
              <w:t xml:space="preserve">Consumer reads 222, not the stale 111</w:t>
            </w:r>
          </w:p>
        </w:tc>
        <w:tc>
          <w:tcPr>
            <w:tcW w:w="1037" w:type="dxa"/>
          </w:tcPr>
          <w:p>
            <w:pPr>
              <w:pStyle w:val="Compact"/>
              <w:jc w:val="left"/>
            </w:pPr>
            <w:r>
              <w:t xml:space="preserve">Pass</w:t>
            </w:r>
          </w:p>
        </w:tc>
      </w:tr>
      <w:tr>
        <w:tc>
          <w:tcPr>
            <w:tcW w:w="1215" w:type="dxa"/>
          </w:tcPr>
          <w:p>
            <w:pPr>
              <w:pStyle w:val="Compact"/>
              <w:jc w:val="left"/>
            </w:pPr>
            <w:r>
              <w:t xml:space="preserve">V7</w:t>
            </w:r>
          </w:p>
        </w:tc>
        <w:tc>
          <w:tcPr>
            <w:tcW w:w="3103" w:type="dxa"/>
          </w:tcPr>
          <w:p>
            <w:pPr>
              <w:pStyle w:val="Compact"/>
              <w:jc w:val="left"/>
            </w:pPr>
            <w:r>
              <w:rPr>
                <w:rStyle w:val="VerbatimChar"/>
              </w:rPr>
              <w:t xml:space="preserve">SW</w:t>
            </w:r>
            <w:r>
              <w:t xml:space="preserve"> </w:t>
            </w:r>
            <w:r>
              <w:t xml:space="preserve">reads</w:t>
            </w:r>
            <w:r>
              <w:t xml:space="preserve"> </w:t>
            </w:r>
            <w:r>
              <w:rPr>
                <w:rStyle w:val="VerbatimChar"/>
              </w:rPr>
              <w:t xml:space="preserve">rt</w:t>
            </w:r>
            <w:r>
              <w:t xml:space="preserve"> </w:t>
            </w:r>
            <w:r>
              <w:t xml:space="preserve">as a source</w:t>
            </w:r>
          </w:p>
        </w:tc>
        <w:tc>
          <w:tcPr>
            <w:tcW w:w="3714" w:type="dxa"/>
          </w:tcPr>
          <w:p>
            <w:pPr>
              <w:pStyle w:val="Compact"/>
              <w:jc w:val="left"/>
            </w:pPr>
            <w:r>
              <w:t xml:space="preserve">8 cycles, 1 stall</w:t>
            </w:r>
          </w:p>
        </w:tc>
        <w:tc>
          <w:tcPr>
            <w:tcW w:w="1037" w:type="dxa"/>
          </w:tcPr>
          <w:p>
            <w:pPr>
              <w:pStyle w:val="Compact"/>
              <w:jc w:val="left"/>
            </w:pPr>
            <w:r>
              <w:t xml:space="preserve">Pass</w:t>
            </w:r>
          </w:p>
        </w:tc>
      </w:tr>
      <w:tr>
        <w:tc>
          <w:tcPr>
            <w:tcW w:w="1215" w:type="dxa"/>
          </w:tcPr>
          <w:p>
            <w:pPr>
              <w:pStyle w:val="Compact"/>
              <w:jc w:val="left"/>
            </w:pPr>
            <w:r>
              <w:t xml:space="preserve">Negative</w:t>
            </w:r>
          </w:p>
        </w:tc>
        <w:tc>
          <w:tcPr>
            <w:tcW w:w="3103" w:type="dxa"/>
          </w:tcPr>
          <w:p>
            <w:pPr>
              <w:pStyle w:val="Compact"/>
              <w:jc w:val="left"/>
            </w:pPr>
            <w:r>
              <w:t xml:space="preserve">Hazard-detection unit disabled</w:t>
            </w:r>
          </w:p>
        </w:tc>
        <w:tc>
          <w:tcPr>
            <w:tcW w:w="3714" w:type="dxa"/>
          </w:tcPr>
          <w:p>
            <w:pPr>
              <w:pStyle w:val="Compact"/>
              <w:jc w:val="left"/>
            </w:pPr>
            <w:r>
              <w:t xml:space="preserve">Load mis-forward detected and aborted</w:t>
            </w:r>
          </w:p>
        </w:tc>
        <w:tc>
          <w:tcPr>
            <w:tcW w:w="1037" w:type="dxa"/>
          </w:tcPr>
          <w:p>
            <w:pPr>
              <w:pStyle w:val="Compact"/>
              <w:jc w:val="left"/>
            </w:pPr>
            <w:r>
              <w:t xml:space="preserve">Pass</w:t>
            </w:r>
          </w:p>
        </w:tc>
      </w:tr>
    </w:tbl>
    <w:p>
      <w:pPr>
        <w:pStyle w:val="BodyText"/>
      </w:pPr>
      <w:r>
        <w:t xml:space="preserve">V4 and V5 are a deliberate pair: a pipeline that flushes unconditionally passes V4 and fails V5. V6 is the three-instruction dependency chain the project's instructor notes say will be probed at the defence — inverting the forwarding priority passes V1 and V2 and silently returns a stale value here.</w:t>
      </w:r>
    </w:p>
    <w:p>
      <w:pPr>
        <w:pStyle w:val="BodyText"/>
      </w:pPr>
      <w:r>
        <w:t xml:space="preserve">Full-program verification: baseline and hazard configurations produce identical final state across all 32 registers and all 256 data-memory words. This is what makes the reconstructed baseline a legitimate measurement reference rather than a convenient assumption — if the two disagreed anywhere, one of them would be wrong.</w:t>
      </w:r>
    </w:p>
    <w:p>
      <w:pPr>
        <w:pStyle w:val="BodyText"/>
      </w:pPr>
      <w:r>
        <w:rPr>
          <w:bCs/>
          <w:b/>
        </w:rPr>
        <w:t xml:space="preserve">Results obtained.</w:t>
      </w:r>
    </w:p>
    <w:tbl>
      <w:tblPr>
        <w:tblStyle w:val="Table"/>
        <w:tblW w:type="dxa" w:w="9070"/>
        <w:tblLook w:firstRow="1" w:lastRow="0" w:firstColumn="0" w:lastColumn="0" w:noHBand="0" w:noVBand="0" w:val="0020"/>
        <w:jc w:val="start"/>
      </w:tblPr>
      <w:tblGrid>
        <w:gridCol w:w="3349"/>
        <w:gridCol w:w="3349"/>
        <w:gridCol w:w="2370"/>
      </w:tblGrid>
      <w:tr>
        <w:trPr>
          <w:tblHeader w:val="true"/>
        </w:trPr>
        <w:tc>
          <w:tcPr>
            <w:tcW w:w="3349" w:type="dxa"/>
            <w:shd w:val="clear" w:color="auto" w:fill="D9E2F3"/>
          </w:tcPr>
          <w:p>
            <w:pPr>
              <w:pStyle w:val="Compact"/>
              <w:jc w:val="left"/>
            </w:pPr>
            <w:r>
              <w:rPr>
                <w:b/>
              </w:rPr>
              <w:t xml:space="preserve">Metric</w:t>
            </w:r>
          </w:p>
        </w:tc>
        <w:tc>
          <w:tcPr>
            <w:tcW w:w="3349" w:type="dxa"/>
            <w:shd w:val="clear" w:color="auto" w:fill="D9E2F3"/>
          </w:tcPr>
          <w:p>
            <w:pPr>
              <w:pStyle w:val="Compact"/>
              <w:jc w:val="left"/>
            </w:pPr>
            <w:r>
              <w:rPr>
                <w:b/>
              </w:rPr>
              <w:t xml:space="preserve">Baseline (Project 2)</w:t>
            </w:r>
          </w:p>
        </w:tc>
        <w:tc>
          <w:tcPr>
            <w:tcW w:w="2370" w:type="dxa"/>
            <w:shd w:val="clear" w:color="auto" w:fill="D9E2F3"/>
          </w:tcPr>
          <w:p>
            <w:pPr>
              <w:pStyle w:val="Compact"/>
              <w:jc w:val="left"/>
            </w:pPr>
            <w:r>
              <w:rPr>
                <w:b/>
              </w:rPr>
              <w:t xml:space="preserve">Forwarding + HDU</w:t>
            </w:r>
          </w:p>
        </w:tc>
      </w:tr>
      <w:tr>
        <w:tc>
          <w:tcPr>
            <w:tcW w:w="3349" w:type="dxa"/>
          </w:tcPr>
          <w:p>
            <w:pPr>
              <w:pStyle w:val="Compact"/>
              <w:jc w:val="left"/>
            </w:pPr>
            <w:r>
              <w:t xml:space="preserve">Total clock cycles</w:t>
            </w:r>
          </w:p>
        </w:tc>
        <w:tc>
          <w:tcPr>
            <w:tcW w:w="3349" w:type="dxa"/>
          </w:tcPr>
          <w:p>
            <w:pPr>
              <w:pStyle w:val="Compact"/>
              <w:jc w:val="left"/>
            </w:pPr>
            <w:r>
              <w:t xml:space="preserve">47</w:t>
            </w:r>
          </w:p>
        </w:tc>
        <w:tc>
          <w:tcPr>
            <w:tcW w:w="2370" w:type="dxa"/>
          </w:tcPr>
          <w:p>
            <w:pPr>
              <w:pStyle w:val="Compact"/>
              <w:jc w:val="left"/>
            </w:pPr>
            <w:r>
              <w:rPr>
                <w:bCs/>
                <w:b/>
              </w:rPr>
              <w:t xml:space="preserve">25</w:t>
            </w:r>
          </w:p>
        </w:tc>
      </w:tr>
      <w:tr>
        <w:tc>
          <w:tcPr>
            <w:tcW w:w="3349" w:type="dxa"/>
          </w:tcPr>
          <w:p>
            <w:pPr>
              <w:pStyle w:val="Compact"/>
              <w:jc w:val="left"/>
            </w:pPr>
            <w:r>
              <w:t xml:space="preserve">Instructions in memory</w:t>
            </w:r>
          </w:p>
        </w:tc>
        <w:tc>
          <w:tcPr>
            <w:tcW w:w="3349" w:type="dxa"/>
          </w:tcPr>
          <w:p>
            <w:pPr>
              <w:pStyle w:val="Compact"/>
              <w:jc w:val="left"/>
            </w:pPr>
            <w:r>
              <w:t xml:space="preserve">43 (24 NOPs)</w:t>
            </w:r>
          </w:p>
        </w:tc>
        <w:tc>
          <w:tcPr>
            <w:tcW w:w="2370" w:type="dxa"/>
          </w:tcPr>
          <w:p>
            <w:pPr>
              <w:pStyle w:val="Compact"/>
              <w:jc w:val="left"/>
            </w:pPr>
            <w:r>
              <w:t xml:space="preserve">19</w:t>
            </w:r>
          </w:p>
        </w:tc>
      </w:tr>
      <w:tr>
        <w:tc>
          <w:tcPr>
            <w:tcW w:w="3349" w:type="dxa"/>
          </w:tcPr>
          <w:p>
            <w:pPr>
              <w:pStyle w:val="Compact"/>
              <w:jc w:val="left"/>
            </w:pPr>
            <w:r>
              <w:t xml:space="preserve">Load-use stall cycles</w:t>
            </w:r>
          </w:p>
        </w:tc>
        <w:tc>
          <w:tcPr>
            <w:tcW w:w="3349" w:type="dxa"/>
          </w:tcPr>
          <w:p>
            <w:pPr>
              <w:pStyle w:val="Compact"/>
              <w:jc w:val="left"/>
            </w:pPr>
            <w:r>
              <w:t xml:space="preserve">0</w:t>
            </w:r>
          </w:p>
        </w:tc>
        <w:tc>
          <w:tcPr>
            <w:tcW w:w="2370" w:type="dxa"/>
          </w:tcPr>
          <w:p>
            <w:pPr>
              <w:pStyle w:val="Compact"/>
              <w:jc w:val="left"/>
            </w:pPr>
            <w:r>
              <w:t xml:space="preserve">1</w:t>
            </w:r>
          </w:p>
        </w:tc>
      </w:tr>
      <w:tr>
        <w:tc>
          <w:tcPr>
            <w:tcW w:w="3349" w:type="dxa"/>
          </w:tcPr>
          <w:p>
            <w:pPr>
              <w:pStyle w:val="Compact"/>
              <w:jc w:val="left"/>
            </w:pPr>
            <w:r>
              <w:t xml:space="preserve">Branch-data stall cycles</w:t>
            </w:r>
          </w:p>
        </w:tc>
        <w:tc>
          <w:tcPr>
            <w:tcW w:w="3349" w:type="dxa"/>
          </w:tcPr>
          <w:p>
            <w:pPr>
              <w:pStyle w:val="Compact"/>
              <w:jc w:val="left"/>
            </w:pPr>
            <w:r>
              <w:t xml:space="preserve">0</w:t>
            </w:r>
          </w:p>
        </w:tc>
        <w:tc>
          <w:tcPr>
            <w:tcW w:w="2370" w:type="dxa"/>
          </w:tcPr>
          <w:p>
            <w:pPr>
              <w:pStyle w:val="Compact"/>
              <w:jc w:val="left"/>
            </w:pPr>
            <w:r>
              <w:t xml:space="preserve">1</w:t>
            </w:r>
          </w:p>
        </w:tc>
      </w:tr>
      <w:tr>
        <w:tc>
          <w:tcPr>
            <w:tcW w:w="3349" w:type="dxa"/>
          </w:tcPr>
          <w:p>
            <w:pPr>
              <w:pStyle w:val="Compact"/>
              <w:jc w:val="left"/>
            </w:pPr>
            <w:r>
              <w:t xml:space="preserve">CPI (useful instructions)</w:t>
            </w:r>
          </w:p>
        </w:tc>
        <w:tc>
          <w:tcPr>
            <w:tcW w:w="3349" w:type="dxa"/>
          </w:tcPr>
          <w:p>
            <w:pPr>
              <w:pStyle w:val="Compact"/>
              <w:jc w:val="left"/>
            </w:pPr>
            <w:r>
              <w:t xml:space="preserve">2.4737</w:t>
            </w:r>
          </w:p>
        </w:tc>
        <w:tc>
          <w:tcPr>
            <w:tcW w:w="2370" w:type="dxa"/>
          </w:tcPr>
          <w:p>
            <w:pPr>
              <w:pStyle w:val="Compact"/>
              <w:jc w:val="left"/>
            </w:pPr>
            <w:r>
              <w:rPr>
                <w:bCs/>
                <w:b/>
              </w:rPr>
              <w:t xml:space="preserve">1.3158</w:t>
            </w:r>
          </w:p>
        </w:tc>
      </w:tr>
      <w:tr>
        <w:tc>
          <w:tcPr>
            <w:tcW w:w="3349" w:type="dxa"/>
          </w:tcPr>
          <w:p>
            <w:pPr>
              <w:pStyle w:val="Compact"/>
              <w:jc w:val="left"/>
            </w:pPr>
            <w:r>
              <w:t xml:space="preserve">CPI (all retired instructions)</w:t>
            </w:r>
          </w:p>
        </w:tc>
        <w:tc>
          <w:tcPr>
            <w:tcW w:w="3349" w:type="dxa"/>
          </w:tcPr>
          <w:p>
            <w:pPr>
              <w:pStyle w:val="Compact"/>
              <w:jc w:val="left"/>
            </w:pPr>
            <w:r>
              <w:t xml:space="preserve">1.0930</w:t>
            </w:r>
          </w:p>
        </w:tc>
        <w:tc>
          <w:tcPr>
            <w:tcW w:w="2370" w:type="dxa"/>
          </w:tcPr>
          <w:p>
            <w:pPr>
              <w:pStyle w:val="Compact"/>
              <w:jc w:val="left"/>
            </w:pPr>
            <w:r>
              <w:t xml:space="preserve">1.3158</w:t>
            </w:r>
          </w:p>
        </w:tc>
      </w:tr>
      <w:tr>
        <w:tc>
          <w:tcPr>
            <w:tcW w:w="3349" w:type="dxa"/>
          </w:tcPr>
          <w:p>
            <w:pPr>
              <w:pStyle w:val="Compact"/>
              <w:jc w:val="left"/>
            </w:pPr>
            <w:r>
              <w:t xml:space="preserve">Speedup</w:t>
            </w:r>
          </w:p>
        </w:tc>
        <w:tc>
          <w:tcPr>
            <w:tcW w:w="3349" w:type="dxa"/>
          </w:tcPr>
          <w:p>
            <w:pPr>
              <w:pStyle w:val="Compact"/>
              <w:jc w:val="left"/>
            </w:pPr>
            <w:r>
              <w:t xml:space="preserve">—</w:t>
            </w:r>
          </w:p>
        </w:tc>
        <w:tc>
          <w:tcPr>
            <w:tcW w:w="2370" w:type="dxa"/>
          </w:tcPr>
          <w:p>
            <w:pPr>
              <w:pStyle w:val="Compact"/>
              <w:jc w:val="left"/>
            </w:pPr>
            <w:r>
              <w:rPr>
                <w:bCs/>
                <w:b/>
              </w:rPr>
              <w:t xml:space="preserve">1.88×</w:t>
            </w:r>
          </w:p>
        </w:tc>
      </w:tr>
      <w:tr>
        <w:tc>
          <w:tcPr>
            <w:tcW w:w="3349" w:type="dxa"/>
          </w:tcPr>
          <w:p>
            <w:pPr>
              <w:pStyle w:val="Compact"/>
              <w:jc w:val="left"/>
            </w:pPr>
            <w:r>
              <w:t xml:space="preserve">Cross-validation</w:t>
            </w:r>
          </w:p>
        </w:tc>
        <w:tc>
          <w:tcPr>
            <w:tcW w:w="3349" w:type="dxa"/>
          </w:tcPr>
          <w:p>
            <w:pPr>
              <w:pStyle w:val="Compact"/>
              <w:jc w:val="left"/>
            </w:pPr>
            <w:r>
              <w:t xml:space="preserve">identical, 0 mismatching words</w:t>
            </w:r>
          </w:p>
        </w:tc>
        <w:tc>
          <w:tcPr>
            <w:tcW w:w="2370" w:type="dxa"/>
          </w:tcPr>
          <w:p>
            <w:pPr>
              <w:pStyle w:val="Compact"/>
            </w:pPr>
          </w:p>
        </w:tc>
      </w:tr>
    </w:tbl>
    <w:p>
      <w:pPr>
        <w:pStyle w:val="BodyText"/>
      </w:pPr>
      <w:r>
        <w:t xml:space="preserve">Forwarding activity: 10 activations via EX/MEM to the ALU, 5 via MEM/WB, 1 via EX/MEM to the branch comparator.</w:t>
      </w:r>
    </w:p>
    <w:p>
      <w:pPr>
        <w:pStyle w:val="BodyText"/>
      </w:pPr>
      <w:r>
        <w:rPr>
          <w:bCs/>
          <w:b/>
        </w:rPr>
        <w:t xml:space="preserve">Interpretation of the two CPI figures.</w:t>
      </w:r>
      <w:r>
        <w:t xml:space="preserve"> </w:t>
      </w:r>
      <w:r>
        <w:t xml:space="preserve">Both are arithmetically correct and they point in opposite directions. CPI is only comparable across designs when the instruction count is held constant, and the whole intervention here changes the instruction count — it removes 24 NOPs. The baseline's low CPI is an artefact of those NOPs retiring one per cycle. The comparable metrics are total cycle count for identical program semantics (47 against 25) and CPI normalised to useful instructions (2.47 against 1.32). We report both and state which answers the question.</w:t>
      </w:r>
    </w:p>
    <w:p>
      <w:pPr>
        <w:pStyle w:val="BodyText"/>
      </w:pPr>
      <w:r>
        <w:rPr>
          <w:bCs/>
          <w:b/>
        </w:rPr>
        <w:t xml:space="preserve">Interpretation of the load-use stall.</w:t>
      </w:r>
      <w:r>
        <w:t xml:space="preserve"> </w:t>
      </w:r>
      <w:r>
        <w:t xml:space="preserve">At the stall cycle the load is in EX and its data does not exist until the end of MEM; IF/ID freezes, the PC holds, and a bubble enters EX. Two cycles later the ordinary MEM/WB forwarding path supplies the value. The stall therefore does not eliminate the hazard — it converts a load-use hazard into a distance-2 hazard that forwarding can handle. That is why the cost is exactly one cycle, never zero and never two.</w:t>
      </w:r>
    </w:p>
    <w:p>
      <w:r>
        <w:pict>
          <ns1:rect style="width:0;height:1.5pt" ns2:hralign="center" ns2:hrstd="t" ns2:hr="t"/>
        </w:pict>
      </w:r>
    </w:p>
    <w:bookmarkEnd w:id="23"/>
    <w:bookmarkStart w:id="24" w:name="X9602148c326ed847bca7c642c58242d8271836a"/>
    <w:p>
      <w:pPr>
        <w:pStyle w:val="Heading2"/>
      </w:pPr>
      <w:r>
        <w:t xml:space="preserve">5. Challenges, Changes, and Corrective Actions</w:t>
      </w:r>
    </w:p>
    <w:tbl>
      <w:tblPr>
        <w:tblStyle w:val="Table"/>
        <w:tblW w:type="dxa" w:w="9070"/>
        <w:tblLook w:firstRow="1" w:lastRow="0" w:firstColumn="0" w:lastColumn="0" w:noHBand="0" w:noVBand="0" w:val="0020"/>
        <w:jc w:val="start"/>
      </w:tblPr>
      <w:tblGrid>
        <w:gridCol w:w="2076"/>
        <w:gridCol w:w="2140"/>
        <w:gridCol w:w="3868"/>
        <w:gridCol w:w="983"/>
      </w:tblGrid>
      <w:tr>
        <w:trPr>
          <w:tblHeader w:val="true"/>
        </w:trPr>
        <w:tc>
          <w:tcPr>
            <w:tcW w:w="2076" w:type="dxa"/>
            <w:shd w:val="clear" w:color="auto" w:fill="D9E2F3"/>
          </w:tcPr>
          <w:p>
            <w:pPr>
              <w:pStyle w:val="Compact"/>
              <w:jc w:val="left"/>
            </w:pPr>
            <w:r>
              <w:rPr>
                <w:b/>
              </w:rPr>
              <w:t xml:space="preserve">Challenge or Deviation</w:t>
            </w:r>
          </w:p>
        </w:tc>
        <w:tc>
          <w:tcPr>
            <w:tcW w:w="2140" w:type="dxa"/>
            <w:shd w:val="clear" w:color="auto" w:fill="D9E2F3"/>
          </w:tcPr>
          <w:p>
            <w:pPr>
              <w:pStyle w:val="Compact"/>
              <w:jc w:val="left"/>
            </w:pPr>
            <w:r>
              <w:rPr>
                <w:b/>
              </w:rPr>
              <w:t xml:space="preserve">Effect on Project</w:t>
            </w:r>
          </w:p>
        </w:tc>
        <w:tc>
          <w:tcPr>
            <w:tcW w:w="3868" w:type="dxa"/>
            <w:shd w:val="clear" w:color="auto" w:fill="D9E2F3"/>
          </w:tcPr>
          <w:p>
            <w:pPr>
              <w:pStyle w:val="Compact"/>
              <w:jc w:val="left"/>
            </w:pPr>
            <w:r>
              <w:rPr>
                <w:b/>
              </w:rPr>
              <w:t xml:space="preserve">Action Taken/Proposed</w:t>
            </w:r>
          </w:p>
        </w:tc>
        <w:tc>
          <w:tcPr>
            <w:tcW w:w="983" w:type="dxa"/>
            <w:shd w:val="clear" w:color="auto" w:fill="D9E2F3"/>
          </w:tcPr>
          <w:p>
            <w:pPr>
              <w:pStyle w:val="Compact"/>
              <w:jc w:val="left"/>
            </w:pPr>
            <w:r>
              <w:rPr>
                <w:b/>
              </w:rPr>
              <w:t xml:space="preserve">Responsible Member</w:t>
            </w:r>
          </w:p>
        </w:tc>
      </w:tr>
      <w:tr>
        <w:tc>
          <w:tcPr>
            <w:tcW w:w="2076" w:type="dxa"/>
          </w:tcPr>
          <w:p>
            <w:pPr>
              <w:pStyle w:val="Compact"/>
              <w:jc w:val="left"/>
            </w:pPr>
            <w:r>
              <w:t xml:space="preserve">Integrity seed still not issued</w:t>
            </w:r>
          </w:p>
        </w:tc>
        <w:tc>
          <w:tcPr>
            <w:tcW w:w="2140" w:type="dxa"/>
          </w:tcPr>
          <w:p>
            <w:pPr>
              <w:pStyle w:val="Compact"/>
              <w:jc w:val="left"/>
            </w:pPr>
            <w:r>
              <w:t xml:space="preserve">All reported figures depend on a program generated from a provisional seed</w:t>
            </w:r>
          </w:p>
        </w:tc>
        <w:tc>
          <w:tcPr>
            <w:tcW w:w="3868" w:type="dxa"/>
          </w:tcPr>
          <w:p>
            <w:pPr>
              <w:pStyle w:val="Compact"/>
              <w:jc w:val="left"/>
            </w:pPr>
            <w:r>
              <w:t xml:space="preserve">Provisional seed</w:t>
            </w:r>
            <w:r>
              <w:t xml:space="preserve"> </w:t>
            </w:r>
            <w:r>
              <w:rPr>
                <w:bCs/>
                <w:b/>
              </w:rPr>
              <w:t xml:space="preserve">16993</w:t>
            </w:r>
            <w:r>
              <w:t xml:space="preserve"> </w:t>
            </w:r>
            <w:r>
              <w:t xml:space="preserve">in use and declared with its derivation.</w:t>
            </w:r>
            <w:r>
              <w:t xml:space="preserve"> </w:t>
            </w:r>
            <w:r>
              <w:rPr>
                <w:rStyle w:val="VerbatimChar"/>
              </w:rPr>
              <w:t xml:space="preserve">rebuild.py</w:t>
            </w:r>
            <w:r>
              <w:t xml:space="preserve"> </w:t>
            </w:r>
            <w:r>
              <w:t xml:space="preserve">regenerates the program, reruns the simulator and test vectors, and rewrites every number in this report from the official seed in one command</w:t>
            </w:r>
          </w:p>
        </w:tc>
        <w:tc>
          <w:tcPr>
            <w:tcW w:w="983" w:type="dxa"/>
          </w:tcPr>
          <w:p>
            <w:pPr>
              <w:pStyle w:val="Compact"/>
              <w:jc w:val="left"/>
            </w:pPr>
            <w:r>
              <w:rPr>
                <w:rStyle w:val="VerbatimChar"/>
              </w:rPr>
              <w:t xml:space="preserve">[M1]</w:t>
            </w:r>
          </w:p>
        </w:tc>
      </w:tr>
      <w:tr>
        <w:tc>
          <w:tcPr>
            <w:tcW w:w="2076" w:type="dxa"/>
          </w:tcPr>
          <w:p>
            <w:pPr>
              <w:pStyle w:val="Compact"/>
              <w:jc w:val="left"/>
            </w:pPr>
            <w:r>
              <w:t xml:space="preserve">No Project 2 artefact to extend</w:t>
            </w:r>
          </w:p>
        </w:tc>
        <w:tc>
          <w:tcPr>
            <w:tcW w:w="2140" w:type="dxa"/>
          </w:tcPr>
          <w:p>
            <w:pPr>
              <w:pStyle w:val="Compact"/>
              <w:jc w:val="left"/>
            </w:pPr>
            <w:r>
              <w:t xml:space="preserve">No baseline datapath existed</w:t>
            </w:r>
          </w:p>
        </w:tc>
        <w:tc>
          <w:tcPr>
            <w:tcW w:w="3868" w:type="dxa"/>
          </w:tcPr>
          <w:p>
            <w:pPr>
              <w:pStyle w:val="Compact"/>
              <w:jc w:val="left"/>
            </w:pPr>
            <w:r>
              <w:t xml:space="preserve">Five-stage simulator built with a</w:t>
            </w:r>
            <w:r>
              <w:t xml:space="preserve"> </w:t>
            </w:r>
            <w:r>
              <w:rPr>
                <w:rStyle w:val="VerbatimChar"/>
              </w:rPr>
              <w:t xml:space="preserve">--mode baseline</w:t>
            </w:r>
            <w:r>
              <w:t xml:space="preserve"> </w:t>
            </w:r>
            <w:r>
              <w:t xml:space="preserve">configuration reproducing Project-2 semantics, cross-validated against the hazard configuration. Declared as our reconstruction, not as a Project-2 result</w:t>
            </w:r>
          </w:p>
        </w:tc>
        <w:tc>
          <w:tcPr>
            <w:tcW w:w="983" w:type="dxa"/>
          </w:tcPr>
          <w:p>
            <w:pPr>
              <w:pStyle w:val="Compact"/>
              <w:jc w:val="left"/>
            </w:pPr>
            <w:r>
              <w:rPr>
                <w:rStyle w:val="VerbatimChar"/>
              </w:rPr>
              <w:t xml:space="preserve">[M3]</w:t>
            </w:r>
          </w:p>
        </w:tc>
      </w:tr>
      <w:tr>
        <w:tc>
          <w:tcPr>
            <w:tcW w:w="2076" w:type="dxa"/>
          </w:tcPr>
          <w:p>
            <w:pPr>
              <w:pStyle w:val="Compact"/>
              <w:jc w:val="left"/>
            </w:pPr>
            <w:r>
              <w:t xml:space="preserve">First hazard-detection draft compared</w:t>
            </w:r>
            <w:r>
              <w:t xml:space="preserve"> </w:t>
            </w:r>
            <w:r>
              <w:rPr>
                <w:rStyle w:val="VerbatimChar"/>
              </w:rPr>
              <w:t xml:space="preserve">IF/ID.Rt</w:t>
            </w:r>
            <w:r>
              <w:t xml:space="preserve"> </w:t>
            </w:r>
            <w:r>
              <w:t xml:space="preserve">unconditionally</w:t>
            </w:r>
          </w:p>
        </w:tc>
        <w:tc>
          <w:tcPr>
            <w:tcW w:w="2140" w:type="dxa"/>
          </w:tcPr>
          <w:p>
            <w:pPr>
              <w:pStyle w:val="Compact"/>
              <w:jc w:val="left"/>
            </w:pPr>
            <w:r>
              <w:t xml:space="preserve">Produced a false stall whenever</w:t>
            </w:r>
            <w:r>
              <w:t xml:space="preserve"> </w:t>
            </w:r>
            <w:r>
              <w:rPr>
                <w:rStyle w:val="VerbatimChar"/>
              </w:rPr>
              <w:t xml:space="preserve">ADDI</w:t>
            </w:r>
            <w:r>
              <w:t xml:space="preserve"> </w:t>
            </w:r>
            <w:r>
              <w:t xml:space="preserve">followed</w:t>
            </w:r>
            <w:r>
              <w:t xml:space="preserve"> </w:t>
            </w:r>
            <w:r>
              <w:rPr>
                <w:rStyle w:val="VerbatimChar"/>
              </w:rPr>
              <w:t xml:space="preserve">LW</w:t>
            </w:r>
            <w:r>
              <w:t xml:space="preserve"> </w:t>
            </w:r>
            <w:r>
              <w:t xml:space="preserve">into the same register</w:t>
            </w:r>
          </w:p>
        </w:tc>
        <w:tc>
          <w:tcPr>
            <w:tcW w:w="3868" w:type="dxa"/>
          </w:tcPr>
          <w:p>
            <w:pPr>
              <w:pStyle w:val="Compact"/>
              <w:jc w:val="left"/>
            </w:pPr>
            <w:r>
              <w:t xml:space="preserve">Per-opcode</w:t>
            </w:r>
            <w:r>
              <w:t xml:space="preserve"> </w:t>
            </w:r>
            <w:r>
              <w:rPr>
                <w:rStyle w:val="VerbatimChar"/>
              </w:rPr>
              <w:t xml:space="preserve">UsesRs</w:t>
            </w:r>
            <w:r>
              <w:t xml:space="preserve">/</w:t>
            </w:r>
            <w:r>
              <w:rPr>
                <w:rStyle w:val="VerbatimChar"/>
              </w:rPr>
              <w:t xml:space="preserve">UsesRt</w:t>
            </w:r>
            <w:r>
              <w:t xml:space="preserve"> </w:t>
            </w:r>
            <w:r>
              <w:t xml:space="preserve">decode added. Vector V7 added to pin the</w:t>
            </w:r>
            <w:r>
              <w:t xml:space="preserve"> </w:t>
            </w:r>
            <w:r>
              <w:rPr>
                <w:rStyle w:val="VerbatimChar"/>
              </w:rPr>
              <w:t xml:space="preserve">SW</w:t>
            </w:r>
            <w:r>
              <w:t xml:space="preserve">-after-</w:t>
            </w:r>
            <w:r>
              <w:rPr>
                <w:rStyle w:val="VerbatimChar"/>
              </w:rPr>
              <w:t xml:space="preserve">LW</w:t>
            </w:r>
            <w:r>
              <w:t xml:space="preserve"> </w:t>
            </w:r>
            <w:r>
              <w:t xml:space="preserve">case, which the naive version got wrong in the opposite direction by missing a real hazard on the store data</w:t>
            </w:r>
          </w:p>
        </w:tc>
        <w:tc>
          <w:tcPr>
            <w:tcW w:w="983" w:type="dxa"/>
          </w:tcPr>
          <w:p>
            <w:pPr>
              <w:pStyle w:val="Compact"/>
              <w:jc w:val="left"/>
            </w:pPr>
            <w:r>
              <w:rPr>
                <w:rStyle w:val="VerbatimChar"/>
              </w:rPr>
              <w:t xml:space="preserve">[M3]</w:t>
            </w:r>
            <w:r>
              <w:t xml:space="preserve">,</w:t>
            </w:r>
            <w:r>
              <w:t xml:space="preserve"> </w:t>
            </w:r>
            <w:r>
              <w:rPr>
                <w:rStyle w:val="VerbatimChar"/>
              </w:rPr>
              <w:t xml:space="preserve">[M4]</w:t>
            </w:r>
          </w:p>
        </w:tc>
      </w:tr>
      <w:tr>
        <w:tc>
          <w:tcPr>
            <w:tcW w:w="2076" w:type="dxa"/>
          </w:tcPr>
          <w:p>
            <w:pPr>
              <w:pStyle w:val="Compact"/>
              <w:jc w:val="left"/>
            </w:pPr>
            <w:r>
              <w:t xml:space="preserve">Forwarding priority term was implicit in row ordering</w:t>
            </w:r>
          </w:p>
        </w:tc>
        <w:tc>
          <w:tcPr>
            <w:tcW w:w="2140" w:type="dxa"/>
          </w:tcPr>
          <w:p>
            <w:pPr>
              <w:pStyle w:val="Compact"/>
              <w:jc w:val="left"/>
            </w:pPr>
            <w:r>
              <w:t xml:space="preserve">Correct in C, ambiguous for the Week 3 Logisim wiring</w:t>
            </w:r>
          </w:p>
        </w:tc>
        <w:tc>
          <w:tcPr>
            <w:tcW w:w="3868" w:type="dxa"/>
          </w:tcPr>
          <w:p>
            <w:pPr>
              <w:pStyle w:val="Compact"/>
              <w:jc w:val="left"/>
            </w:pPr>
            <w:r>
              <w:t xml:space="preserve">Rewritten as an explicit Boolean product,</w:t>
            </w:r>
            <w:r>
              <w:t xml:space="preserve"> </w:t>
            </w:r>
            <w:r>
              <w:rPr>
                <w:rStyle w:val="VerbatimChar"/>
              </w:rPr>
              <w:t xml:space="preserve">ForwardA[0] = WBhitA · EXhitA'</w:t>
            </w:r>
          </w:p>
        </w:tc>
        <w:tc>
          <w:tcPr>
            <w:tcW w:w="983" w:type="dxa"/>
          </w:tcPr>
          <w:p>
            <w:pPr>
              <w:pStyle w:val="Compact"/>
              <w:jc w:val="left"/>
            </w:pPr>
            <w:r>
              <w:rPr>
                <w:rStyle w:val="VerbatimChar"/>
              </w:rPr>
              <w:t xml:space="preserve">[M2]</w:t>
            </w:r>
          </w:p>
        </w:tc>
      </w:tr>
      <w:tr>
        <w:tc>
          <w:tcPr>
            <w:tcW w:w="2076" w:type="dxa"/>
          </w:tcPr>
          <w:p>
            <w:pPr>
              <w:pStyle w:val="Compact"/>
              <w:jc w:val="left"/>
            </w:pPr>
            <w:r>
              <w:t xml:space="preserve">The seeded program's branch resolves not-taken, so flush count is zero</w:t>
            </w:r>
          </w:p>
        </w:tc>
        <w:tc>
          <w:tcPr>
            <w:tcW w:w="2140" w:type="dxa"/>
          </w:tcPr>
          <w:p>
            <w:pPr>
              <w:pStyle w:val="Compact"/>
              <w:jc w:val="left"/>
            </w:pPr>
            <w:r>
              <w:t xml:space="preserve">Project 3 §L requires timing-diagram evidence for both branch directions</w:t>
            </w:r>
          </w:p>
        </w:tc>
        <w:tc>
          <w:tcPr>
            <w:tcW w:w="3868" w:type="dxa"/>
          </w:tcPr>
          <w:p>
            <w:pPr>
              <w:pStyle w:val="Compact"/>
              <w:jc w:val="left"/>
            </w:pPr>
            <w:r>
              <w:t xml:space="preserve">Test vector V4 provides a taken branch and will be used for the Week 3 timing diagram</w:t>
            </w:r>
          </w:p>
        </w:tc>
        <w:tc>
          <w:tcPr>
            <w:tcW w:w="983" w:type="dxa"/>
          </w:tcPr>
          <w:p>
            <w:pPr>
              <w:pStyle w:val="Compact"/>
              <w:jc w:val="left"/>
            </w:pPr>
            <w:r>
              <w:rPr>
                <w:rStyle w:val="VerbatimChar"/>
              </w:rPr>
              <w:t xml:space="preserve">[M4]</w:t>
            </w:r>
          </w:p>
        </w:tc>
      </w:tr>
    </w:tbl>
    <w:p>
      <w:pPr>
        <w:pStyle w:val="BodyText"/>
      </w:pPr>
      <w:r>
        <w:rPr>
          <w:bCs/>
          <w:b/>
        </w:rPr>
        <w:t xml:space="preserve">Support required from the lecturer:</w:t>
      </w:r>
      <w:r>
        <w:t xml:space="preserve"> </w:t>
      </w:r>
      <w:r>
        <w:t xml:space="preserve">the assigned integrity seed.</w:t>
      </w:r>
    </w:p>
    <w:p>
      <w:r>
        <w:pict>
          <ns1:rect style="width:0;height:1.5pt" ns2:hralign="center" ns2:hrstd="t" ns2:hr="t"/>
        </w:pict>
      </w:r>
    </w:p>
    <w:bookmarkEnd w:id="24"/>
    <w:bookmarkStart w:id="25" w:name="X455390881f404359aed37880ccc893c771839a5"/>
    <w:p>
      <w:pPr>
        <w:pStyle w:val="Heading2"/>
      </w:pPr>
      <w:r>
        <w:t xml:space="preserve">6. Plan for the Next Week</w:t>
      </w:r>
    </w:p>
    <w:tbl>
      <w:tblPr>
        <w:tblStyle w:val="Table"/>
        <w:tblW w:type="dxa" w:w="9070"/>
        <w:tblLook w:firstRow="1" w:lastRow="0" w:firstColumn="0" w:lastColumn="0" w:noHBand="0" w:noVBand="0" w:val="0020"/>
        <w:jc w:val="start"/>
      </w:tblPr>
      <w:tblGrid>
        <w:gridCol w:w="4133"/>
        <w:gridCol w:w="1638"/>
        <w:gridCol w:w="963"/>
        <w:gridCol w:w="2334"/>
      </w:tblGrid>
      <w:tr>
        <w:trPr>
          <w:tblHeader w:val="true"/>
        </w:trPr>
        <w:tc>
          <w:tcPr>
            <w:tcW w:w="4133" w:type="dxa"/>
            <w:shd w:val="clear" w:color="auto" w:fill="D9E2F3"/>
          </w:tcPr>
          <w:p>
            <w:pPr>
              <w:pStyle w:val="Compact"/>
              <w:jc w:val="left"/>
            </w:pPr>
            <w:r>
              <w:rPr>
                <w:b/>
              </w:rPr>
              <w:t xml:space="preserve">Planned Task or Deliverable</w:t>
            </w:r>
          </w:p>
        </w:tc>
        <w:tc>
          <w:tcPr>
            <w:tcW w:w="1638" w:type="dxa"/>
            <w:shd w:val="clear" w:color="auto" w:fill="D9E2F3"/>
          </w:tcPr>
          <w:p>
            <w:pPr>
              <w:pStyle w:val="Compact"/>
              <w:jc w:val="left"/>
            </w:pPr>
            <w:r>
              <w:rPr>
                <w:b/>
              </w:rPr>
              <w:t xml:space="preserve">Responsible Member(s)</w:t>
            </w:r>
          </w:p>
        </w:tc>
        <w:tc>
          <w:tcPr>
            <w:tcW w:w="963" w:type="dxa"/>
            <w:shd w:val="clear" w:color="auto" w:fill="D9E2F3"/>
          </w:tcPr>
          <w:p>
            <w:pPr>
              <w:pStyle w:val="Compact"/>
              <w:jc w:val="left"/>
            </w:pPr>
            <w:r>
              <w:rPr>
                <w:b/>
              </w:rPr>
              <w:t xml:space="preserve">Deadline</w:t>
            </w:r>
          </w:p>
        </w:tc>
        <w:tc>
          <w:tcPr>
            <w:tcW w:w="2334" w:type="dxa"/>
            <w:shd w:val="clear" w:color="auto" w:fill="D9E2F3"/>
          </w:tcPr>
          <w:p>
            <w:pPr>
              <w:pStyle w:val="Compact"/>
              <w:jc w:val="left"/>
            </w:pPr>
            <w:r>
              <w:rPr>
                <w:b/>
              </w:rPr>
              <w:t xml:space="preserve">Expected Evidence</w:t>
            </w:r>
          </w:p>
        </w:tc>
      </w:tr>
      <w:tr>
        <w:tc>
          <w:tcPr>
            <w:tcW w:w="4133" w:type="dxa"/>
          </w:tcPr>
          <w:p>
            <w:pPr>
              <w:pStyle w:val="Compact"/>
              <w:jc w:val="left"/>
            </w:pPr>
            <w:r>
              <w:t xml:space="preserve">Build the forwarding unit and hazard-detection unit as isolated Logisim subcircuits and verify each independently</w:t>
            </w:r>
          </w:p>
        </w:tc>
        <w:tc>
          <w:tcPr>
            <w:tcW w:w="1638" w:type="dxa"/>
          </w:tcPr>
          <w:p>
            <w:pPr>
              <w:pStyle w:val="Compact"/>
              <w:jc w:val="left"/>
            </w:pPr>
            <w:r>
              <w:rPr>
                <w:rStyle w:val="VerbatimChar"/>
              </w:rPr>
              <w:t xml:space="preserve">[M2]</w:t>
            </w:r>
          </w:p>
        </w:tc>
        <w:tc>
          <w:tcPr>
            <w:tcW w:w="963" w:type="dxa"/>
          </w:tcPr>
          <w:p>
            <w:pPr>
              <w:pStyle w:val="Compact"/>
              <w:jc w:val="left"/>
            </w:pPr>
            <w:r>
              <w:rPr>
                <w:rStyle w:val="VerbatimChar"/>
              </w:rPr>
              <w:t xml:space="preserve">[date]</w:t>
            </w:r>
          </w:p>
        </w:tc>
        <w:tc>
          <w:tcPr>
            <w:tcW w:w="2334" w:type="dxa"/>
          </w:tcPr>
          <w:p>
            <w:pPr>
              <w:pStyle w:val="Compact"/>
              <w:jc w:val="left"/>
            </w:pPr>
            <w:r>
              <w:rPr>
                <w:rStyle w:val="VerbatimChar"/>
              </w:rPr>
              <w:t xml:space="preserve">.circ</w:t>
            </w:r>
            <w:r>
              <w:t xml:space="preserve"> </w:t>
            </w:r>
            <w:r>
              <w:t xml:space="preserve">file, per-unit test results</w:t>
            </w:r>
          </w:p>
        </w:tc>
      </w:tr>
      <w:tr>
        <w:tc>
          <w:tcPr>
            <w:tcW w:w="4133" w:type="dxa"/>
          </w:tcPr>
          <w:p>
            <w:pPr>
              <w:pStyle w:val="Compact"/>
              <w:jc w:val="left"/>
            </w:pPr>
            <w:r>
              <w:t xml:space="preserve">Wire the verified subcircuits into the datapath</w:t>
            </w:r>
          </w:p>
        </w:tc>
        <w:tc>
          <w:tcPr>
            <w:tcW w:w="1638" w:type="dxa"/>
          </w:tcPr>
          <w:p>
            <w:pPr>
              <w:pStyle w:val="Compact"/>
              <w:jc w:val="left"/>
            </w:pPr>
            <w:r>
              <w:rPr>
                <w:rStyle w:val="VerbatimChar"/>
              </w:rPr>
              <w:t xml:space="preserve">[M2]</w:t>
            </w:r>
            <w:r>
              <w:t xml:space="preserve">,</w:t>
            </w:r>
            <w:r>
              <w:t xml:space="preserve"> </w:t>
            </w:r>
            <w:r>
              <w:rPr>
                <w:rStyle w:val="VerbatimChar"/>
              </w:rPr>
              <w:t xml:space="preserve">[M3]</w:t>
            </w:r>
          </w:p>
        </w:tc>
        <w:tc>
          <w:tcPr>
            <w:tcW w:w="963" w:type="dxa"/>
          </w:tcPr>
          <w:p>
            <w:pPr>
              <w:pStyle w:val="Compact"/>
              <w:jc w:val="left"/>
            </w:pPr>
            <w:r>
              <w:rPr>
                <w:rStyle w:val="VerbatimChar"/>
              </w:rPr>
              <w:t xml:space="preserve">[date]</w:t>
            </w:r>
          </w:p>
        </w:tc>
        <w:tc>
          <w:tcPr>
            <w:tcW w:w="2334" w:type="dxa"/>
          </w:tcPr>
          <w:p>
            <w:pPr>
              <w:pStyle w:val="Compact"/>
              <w:jc w:val="left"/>
            </w:pPr>
            <w:r>
              <w:t xml:space="preserve">Full circuit</w:t>
            </w:r>
          </w:p>
        </w:tc>
      </w:tr>
      <w:tr>
        <w:tc>
          <w:tcPr>
            <w:tcW w:w="4133" w:type="dxa"/>
          </w:tcPr>
          <w:p>
            <w:pPr>
              <w:pStyle w:val="Compact"/>
              <w:jc w:val="left"/>
            </w:pPr>
            <w:r>
              <w:t xml:space="preserve">Cross-validate the full COCOBOD routine against</w:t>
            </w:r>
            <w:r>
              <w:t xml:space="preserve"> </w:t>
            </w:r>
            <w:r>
              <w:rPr>
                <w:rStyle w:val="VerbatimChar"/>
              </w:rPr>
              <w:t xml:space="preserve">trace_hazard.csv</w:t>
            </w:r>
            <w:r>
              <w:t xml:space="preserve">, cycle by cycle</w:t>
            </w:r>
          </w:p>
        </w:tc>
        <w:tc>
          <w:tcPr>
            <w:tcW w:w="1638" w:type="dxa"/>
          </w:tcPr>
          <w:p>
            <w:pPr>
              <w:pStyle w:val="Compact"/>
              <w:jc w:val="left"/>
            </w:pPr>
            <w:r>
              <w:rPr>
                <w:rStyle w:val="VerbatimChar"/>
              </w:rPr>
              <w:t xml:space="preserve">[M4]</w:t>
            </w:r>
          </w:p>
        </w:tc>
        <w:tc>
          <w:tcPr>
            <w:tcW w:w="963" w:type="dxa"/>
          </w:tcPr>
          <w:p>
            <w:pPr>
              <w:pStyle w:val="Compact"/>
              <w:jc w:val="left"/>
            </w:pPr>
            <w:r>
              <w:rPr>
                <w:rStyle w:val="VerbatimChar"/>
              </w:rPr>
              <w:t xml:space="preserve">[date]</w:t>
            </w:r>
          </w:p>
        </w:tc>
        <w:tc>
          <w:tcPr>
            <w:tcW w:w="2334" w:type="dxa"/>
          </w:tcPr>
          <w:p>
            <w:pPr>
              <w:pStyle w:val="Compact"/>
              <w:jc w:val="left"/>
            </w:pPr>
            <w:r>
              <w:t xml:space="preserve">Signal-level comparison log</w:t>
            </w:r>
          </w:p>
        </w:tc>
      </w:tr>
      <w:tr>
        <w:tc>
          <w:tcPr>
            <w:tcW w:w="4133" w:type="dxa"/>
          </w:tcPr>
          <w:p>
            <w:pPr>
              <w:pStyle w:val="Compact"/>
              <w:jc w:val="left"/>
            </w:pPr>
            <w:r>
              <w:t xml:space="preserve">Capture mux-select timing diagrams for one branch-taken and one branch-not-taken execution</w:t>
            </w:r>
          </w:p>
        </w:tc>
        <w:tc>
          <w:tcPr>
            <w:tcW w:w="1638" w:type="dxa"/>
          </w:tcPr>
          <w:p>
            <w:pPr>
              <w:pStyle w:val="Compact"/>
              <w:jc w:val="left"/>
            </w:pPr>
            <w:r>
              <w:rPr>
                <w:rStyle w:val="VerbatimChar"/>
              </w:rPr>
              <w:t xml:space="preserve">[M4]</w:t>
            </w:r>
          </w:p>
        </w:tc>
        <w:tc>
          <w:tcPr>
            <w:tcW w:w="963" w:type="dxa"/>
          </w:tcPr>
          <w:p>
            <w:pPr>
              <w:pStyle w:val="Compact"/>
              <w:jc w:val="left"/>
            </w:pPr>
            <w:r>
              <w:rPr>
                <w:rStyle w:val="VerbatimChar"/>
              </w:rPr>
              <w:t xml:space="preserve">[date]</w:t>
            </w:r>
          </w:p>
        </w:tc>
        <w:tc>
          <w:tcPr>
            <w:tcW w:w="2334" w:type="dxa"/>
          </w:tcPr>
          <w:p>
            <w:pPr>
              <w:pStyle w:val="Compact"/>
              <w:jc w:val="left"/>
            </w:pPr>
            <w:r>
              <w:t xml:space="preserve">Annotated screenshots</w:t>
            </w:r>
          </w:p>
        </w:tc>
      </w:tr>
      <w:tr>
        <w:tc>
          <w:tcPr>
            <w:tcW w:w="4133" w:type="dxa"/>
          </w:tcPr>
          <w:p>
            <w:pPr>
              <w:pStyle w:val="Compact"/>
              <w:jc w:val="left"/>
            </w:pPr>
            <w:r>
              <w:t xml:space="preserve">MATLAB analytical CPI model as a function of hazard density, validated against measured stall counts</w:t>
            </w:r>
          </w:p>
        </w:tc>
        <w:tc>
          <w:tcPr>
            <w:tcW w:w="1638" w:type="dxa"/>
          </w:tcPr>
          <w:p>
            <w:pPr>
              <w:pStyle w:val="Compact"/>
              <w:jc w:val="left"/>
            </w:pPr>
            <w:r>
              <w:rPr>
                <w:rStyle w:val="VerbatimChar"/>
              </w:rPr>
              <w:t xml:space="preserve">[M1]</w:t>
            </w:r>
          </w:p>
        </w:tc>
        <w:tc>
          <w:tcPr>
            <w:tcW w:w="963" w:type="dxa"/>
          </w:tcPr>
          <w:p>
            <w:pPr>
              <w:pStyle w:val="Compact"/>
              <w:jc w:val="left"/>
            </w:pPr>
            <w:r>
              <w:rPr>
                <w:rStyle w:val="VerbatimChar"/>
              </w:rPr>
              <w:t xml:space="preserve">[date]</w:t>
            </w:r>
          </w:p>
        </w:tc>
        <w:tc>
          <w:tcPr>
            <w:tcW w:w="2334" w:type="dxa"/>
          </w:tcPr>
          <w:p>
            <w:pPr>
              <w:pStyle w:val="Compact"/>
              <w:jc w:val="left"/>
            </w:pPr>
            <w:r>
              <w:rPr>
                <w:rStyle w:val="VerbatimChar"/>
              </w:rPr>
              <w:t xml:space="preserve">stall_cpi_model.m</w:t>
            </w:r>
            <w:r>
              <w:t xml:space="preserve">, plot</w:t>
            </w:r>
          </w:p>
        </w:tc>
      </w:tr>
      <w:tr>
        <w:tc>
          <w:tcPr>
            <w:tcW w:w="4133" w:type="dxa"/>
          </w:tcPr>
          <w:p>
            <w:pPr>
              <w:pStyle w:val="Compact"/>
              <w:jc w:val="left"/>
            </w:pPr>
            <w:r>
              <w:t xml:space="preserve">Begin the innovation component: forwarding-aware instruction scheduler</w:t>
            </w:r>
          </w:p>
        </w:tc>
        <w:tc>
          <w:tcPr>
            <w:tcW w:w="1638" w:type="dxa"/>
          </w:tcPr>
          <w:p>
            <w:pPr>
              <w:pStyle w:val="Compact"/>
              <w:jc w:val="left"/>
            </w:pPr>
            <w:r>
              <w:rPr>
                <w:rStyle w:val="VerbatimChar"/>
              </w:rPr>
              <w:t xml:space="preserve">[M1]</w:t>
            </w:r>
            <w:r>
              <w:t xml:space="preserve">,</w:t>
            </w:r>
            <w:r>
              <w:t xml:space="preserve"> </w:t>
            </w:r>
            <w:r>
              <w:rPr>
                <w:rStyle w:val="VerbatimChar"/>
              </w:rPr>
              <w:t xml:space="preserve">[M3]</w:t>
            </w:r>
          </w:p>
        </w:tc>
        <w:tc>
          <w:tcPr>
            <w:tcW w:w="963" w:type="dxa"/>
          </w:tcPr>
          <w:p>
            <w:pPr>
              <w:pStyle w:val="Compact"/>
              <w:jc w:val="left"/>
            </w:pPr>
            <w:r>
              <w:rPr>
                <w:rStyle w:val="VerbatimChar"/>
              </w:rPr>
              <w:t xml:space="preserve">[date]</w:t>
            </w:r>
          </w:p>
        </w:tc>
        <w:tc>
          <w:tcPr>
            <w:tcW w:w="2334" w:type="dxa"/>
          </w:tcPr>
          <w:p>
            <w:pPr>
              <w:pStyle w:val="Compact"/>
              <w:jc w:val="left"/>
            </w:pPr>
            <w:r>
              <w:t xml:space="preserve">Prototype, stall counts before and after</w:t>
            </w:r>
          </w:p>
        </w:tc>
      </w:tr>
      <w:tr>
        <w:tc>
          <w:tcPr>
            <w:tcW w:w="4133" w:type="dxa"/>
          </w:tcPr>
          <w:p>
            <w:pPr>
              <w:pStyle w:val="Compact"/>
              <w:jc w:val="left"/>
            </w:pPr>
            <w:r>
              <w:t xml:space="preserve">Week 3 report and individual reflections</w:t>
            </w:r>
          </w:p>
        </w:tc>
        <w:tc>
          <w:tcPr>
            <w:tcW w:w="1638" w:type="dxa"/>
          </w:tcPr>
          <w:p>
            <w:pPr>
              <w:pStyle w:val="Compact"/>
              <w:jc w:val="left"/>
            </w:pPr>
            <w:r>
              <w:t xml:space="preserve">All</w:t>
            </w:r>
          </w:p>
        </w:tc>
        <w:tc>
          <w:tcPr>
            <w:tcW w:w="963" w:type="dxa"/>
          </w:tcPr>
          <w:p>
            <w:pPr>
              <w:pStyle w:val="Compact"/>
              <w:jc w:val="left"/>
            </w:pPr>
            <w:r>
              <w:rPr>
                <w:rStyle w:val="VerbatimChar"/>
              </w:rPr>
              <w:t xml:space="preserve">[date]</w:t>
            </w:r>
          </w:p>
        </w:tc>
        <w:tc>
          <w:tcPr>
            <w:tcW w:w="2334" w:type="dxa"/>
          </w:tcPr>
          <w:p>
            <w:pPr>
              <w:pStyle w:val="Compact"/>
              <w:jc w:val="left"/>
            </w:pPr>
            <w:r>
              <w:t xml:space="preserve">This form, completed</w:t>
            </w:r>
          </w:p>
        </w:tc>
      </w:tr>
    </w:tbl>
    <w:p>
      <w:pPr>
        <w:pStyle w:val="BodyText"/>
      </w:pPr>
      <w:r>
        <w:rPr>
          <w:bCs/>
          <w:b/>
        </w:rPr>
        <w:t xml:space="preserve">Critical decision, resource, or lecturer support required:</w:t>
      </w:r>
      <w:r>
        <w:t xml:space="preserve"> </w:t>
      </w:r>
      <w:r>
        <w:t xml:space="preserve">the assigned integrity seed. Confirmation of which Level-3 extension to pursue — our current preference is the forwarding-aware scheduler described in Project 3 §N, since our routine contains exactly one load-use hazard and one legally movable independent instruction.</w:t>
      </w:r>
    </w:p>
    <w:p>
      <w:r>
        <w:pict>
          <ns1:rect style="width:0;height:1.5pt" ns2:hralign="center" ns2:hrstd="t" ns2:hr="t"/>
        </w:pict>
      </w:r>
    </w:p>
    <w:bookmarkEnd w:id="25"/>
    <w:bookmarkStart w:id="26" w:name="X686656ed8bf0b45b10cc201a77fa0c5dce3adc6"/>
    <w:p>
      <w:pPr>
        <w:pStyle w:val="Heading2"/>
      </w:pPr>
      <w:r>
        <w:t xml:space="preserve">7. Team Accountability Declaration</w:t>
      </w:r>
    </w:p>
    <w:p>
      <w:pPr>
        <w:pStyle w:val="FirstParagraph"/>
      </w:pPr>
      <w:r>
        <w:t xml:space="preserve">We confirm that this report accurately represents the meetings, work completed, individual contributions, challenges, and evidence produced during the reporting week.</w:t>
      </w:r>
    </w:p>
    <w:p>
      <w:pPr>
        <w:pStyle w:val="BodyText"/>
      </w:pPr>
      <w:r>
        <w:rPr>
          <w:bCs/>
          <w:b/>
        </w:rPr>
        <w:t xml:space="preserve">Team Leader:</w:t>
      </w:r>
      <w:r>
        <w:t xml:space="preserve"> </w:t>
      </w:r>
      <w:r>
        <w:rPr>
          <w:rStyle w:val="VerbatimChar"/>
        </w:rPr>
        <w:t xml:space="preserve">______________________</w:t>
      </w:r>
      <w:r>
        <w:t xml:space="preserve"> </w:t>
      </w:r>
      <w:r>
        <w:rPr>
          <w:bCs/>
          <w:b/>
        </w:rPr>
        <w:t xml:space="preserve">Date:</w:t>
      </w:r>
      <w:r>
        <w:t xml:space="preserve"> </w:t>
      </w:r>
      <w:r>
        <w:rPr>
          <w:rStyle w:val="VerbatimChar"/>
        </w:rPr>
        <w:t xml:space="preserve">____________</w:t>
      </w:r>
    </w:p>
    <w:p>
      <w:pPr>
        <w:pStyle w:val="BodyText"/>
      </w:pPr>
      <w:r>
        <w:rPr>
          <w:bCs/>
          <w:b/>
        </w:rPr>
        <w:t xml:space="preserve">Team Members' Initials:</w:t>
      </w:r>
      <w:r>
        <w:t xml:space="preserve"> </w:t>
      </w:r>
      <w:r>
        <w:rPr>
          <w:rStyle w:val="VerbatimChar"/>
        </w:rPr>
        <w:t xml:space="preserve">______________________________________</w:t>
      </w:r>
    </w:p>
    <w:p>
      <w:pPr>
        <w:pStyle w:val="BodyText"/>
      </w:pPr>
      <w:r>
        <w:rPr>
          <w:bCs/>
          <w:b/>
        </w:rPr>
        <w:t xml:space="preserve">Evidence repository/link:</w:t>
      </w:r>
      <w:r>
        <w:t xml:space="preserve"> </w:t>
      </w:r>
      <w:r>
        <w:rPr>
          <w:rStyle w:val="VerbatimChar"/>
        </w:rPr>
        <w:t xml:space="preserve">______________________________________</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spacing w:after="120" w:line="264" w:lineRule="auto"/>
    </w:pPr>
    <w:name w:val="Normal"/>
    <w:qFormat/>
    <w:rPr>
      <w:rFonts w:ascii="Calibri" w:cs="Calibri" w:hAnsi="Calibri"/>
      <w:sz w:val="21"/>
      <w:szCs w:val="21"/>
    </w:rPr>
  </w:style>
  <w:style w:styleId="BodyText" w:type="paragraph">
    <w:name w:val="Body Text"/>
    <w:basedOn w:val="Normal"/>
    <w:link w:val="BodyTextChar"/>
    <w:pPr>
      <w:spacing w:after="120" w:line="264" w:lineRule="auto"/>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20" w:before="280"/>
      <w:keepNext/>
      <w:keepNext/>
      <w:keepLines/>
      <w:spacing w:after="0" w:before="480"/>
      <w:outlineLvl w:val="0"/>
    </w:pPr>
    <w:rPr>
      <w:rFonts w:ascii="Calibri Light" w:cs="Calibri Light" w:hAnsi="Calibri Light"/>
      <w:color w:val="1F3864"/>
      <w:sz w:val="32"/>
      <w:szCs w:val="32"/>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spacing w:after="120" w:before="280"/>
      <w:keepNext/>
      <w:keepNext/>
      <w:keepLines/>
      <w:spacing w:after="0" w:before="200"/>
      <w:outlineLvl w:val="1"/>
    </w:pPr>
    <w:rPr>
      <w:rFonts w:ascii="Calibri Light" w:cs="Calibri Light" w:hAnsi="Calibri Light"/>
      <w:color w:val="2E5496"/>
      <w:sz w:val="26"/>
      <w:szCs w:val="26"/>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spacing w:after="120" w:before="280"/>
      <w:keepNext/>
      <w:keepNext/>
      <w:keepLines/>
      <w:spacing w:after="0" w:before="200"/>
      <w:outlineLvl w:val="2"/>
    </w:pPr>
    <w:rPr>
      <w:rFonts w:ascii="Calibri Light" w:cs="Calibri Light" w:hAnsi="Calibri Light"/>
      <w:color w:val="2E5496"/>
      <w:sz w:val="23"/>
      <w:szCs w:val="23"/>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spacing w:after="120" w:before="280"/>
      <w:keepNext/>
      <w:keepNext/>
      <w:keepLines/>
      <w:spacing w:after="0" w:before="200"/>
      <w:outlineLvl w:val="3"/>
    </w:pPr>
    <w:rPr>
      <w:rFonts w:ascii="Calibri Light" w:cs="Calibri Light" w:hAnsi="Calibri Light"/>
      <w:color w:val="44546A"/>
      <w:sz w:val="21"/>
      <w:szCs w:val="21"/>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pPr>
      <w:spacing w:after="20" w:before="20" w:line="240" w:lineRule="auto"/>
    </w:pPr>
    <w:rPr>
      <w:sz w:val="19"/>
      <w:szCs w:val="19"/>
    </w:rPr>
    <w:name w:val="Table"/>
    <w:basedOn w:val="TableNormal"/>
    <w:semiHidden/>
    <w:unhideWhenUsed/>
    <w:qFormat/>
    <w:tblStylePr w:type="firstRow">
      <w:trPr>
        <w:jc w:val="left"/>
      </w:trPr>
      <w:tcPr>
        <w:vAlign w:val="bottom"/>
        <w:tcBorders>
          <w:bottom w:val="single"/>
        </w:tcBorders>
      </w:tcPr>
    </w:tblStylePr>
    <w:tblPr>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CellMar>
        <w:top w:type="dxa" w:w="60"/>
        <w:left w:type="dxa" w:w="90"/>
        <w:bottom w:type="dxa" w:w="60"/>
        <w:right w:type="dxa" w:w="9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wordWrap w:val="0"/>
      <w:spacing w:after="60" w:before="60" w:line="240" w:lineRule="auto"/>
      <w:ind w:left="120"/>
      <w:shd w:color="auto" w:fill="F5F7FA" w:val="clear"/>
    </w:pPr>
    <w:rPr>
      <w:rFonts w:ascii="Consolas" w:cs="Consolas" w:hAnsi="Consolas"/>
      <w:sz w:val="15"/>
      <w:szCs w:val="15"/>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Course Project Report - Week 2</dc:title>
  <dc:creator>CPEN 438 / CPEN 315 - Advanced Computer Architecture - University of Ghana, Legon</dc:creator>
  <cp:keywords/>
  <dcterms:created xsi:type="dcterms:W3CDTF">2026-08-19T12:09:03Z</dcterms:created>
  <dcterms:modified xsi:type="dcterms:W3CDTF">2026-08-19T12:09:03Z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Project 3 - Hazard Watch</vt:lpwstr>
  </property>
  <property fmtid="{D5CDD505-2E9C-101B-9397-08002B2CF9AE}" pid="3" name="subtitle">
    <vt:lpwstr>Golden simulator, hazard test vectors and CPI results</vt:lpwstr>
  </property>
</Properties>
</file>