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7C352" w14:textId="77777777" w:rsidR="00C2792D" w:rsidRDefault="00000000">
      <w:pPr>
        <w:pStyle w:val="Title"/>
      </w:pPr>
      <w:r>
        <w:t>Individual Reflections - Week 1</w:t>
      </w:r>
    </w:p>
    <w:p w14:paraId="0FACEC05" w14:textId="5920DE9E" w:rsidR="00C2792D" w:rsidRDefault="00000000">
      <w:pPr>
        <w:pStyle w:val="Subtitle"/>
      </w:pPr>
      <w:r>
        <w:t>Personal reflections, all four members</w:t>
      </w:r>
      <w:r w:rsidR="006374A9">
        <w:t xml:space="preserve"> Group 5</w:t>
      </w:r>
    </w:p>
    <w:p w14:paraId="77E73D60" w14:textId="19DBBDB7" w:rsidR="00C2792D" w:rsidRDefault="00000000">
      <w:pPr>
        <w:pStyle w:val="Author"/>
      </w:pPr>
      <w:r>
        <w:t>CPEN 438 - Advanced Computer Architecture - University of Ghana, Legon</w:t>
      </w:r>
    </w:p>
    <w:p w14:paraId="7D2A899A" w14:textId="77777777" w:rsidR="00C2792D" w:rsidRDefault="00000000">
      <w:pPr>
        <w:pStyle w:val="Date"/>
      </w:pPr>
      <w:r>
        <w:t>Project 3 - Hazard Watch</w:t>
      </w:r>
    </w:p>
    <w:p w14:paraId="35856601" w14:textId="1E09D8EB" w:rsidR="00C2792D" w:rsidRDefault="00C2792D"/>
    <w:p w14:paraId="59A6F4F3" w14:textId="20476FE3" w:rsidR="00C2792D" w:rsidRDefault="00E031A9">
      <w:pPr>
        <w:pStyle w:val="Heading2"/>
      </w:pPr>
      <w:bookmarkStart w:id="0" w:name="X427296688f1cf5e23c983bc685f18abcdf471c0"/>
      <w:r>
        <w:t>ISHAAN BHARDWAJ</w:t>
      </w:r>
      <w:r w:rsidR="006374A9">
        <w:t xml:space="preserve"> (</w:t>
      </w:r>
      <w:r w:rsidR="006374A9">
        <w:rPr>
          <w:sz w:val="20"/>
          <w:szCs w:val="20"/>
        </w:rPr>
        <w:t>11004272)</w:t>
      </w:r>
      <w:r>
        <w:t>—  Project Manager &amp; Python/Analysis Lead</w:t>
      </w:r>
    </w:p>
    <w:p w14:paraId="750FFE24" w14:textId="77777777" w:rsidR="00C2792D" w:rsidRDefault="00000000">
      <w:pPr>
        <w:pStyle w:val="FirstParagraph"/>
      </w:pPr>
      <w:r>
        <w:rPr>
          <w:b/>
          <w:bCs/>
        </w:rPr>
        <w:t>What did I implement personally this week?</w:t>
      </w:r>
      <w:r>
        <w:t xml:space="preserve"> I wrote the seeded COCOBOD program generator, including the two-pass assembler that resolves branch labels to PC-relative offsets and emits a Logisim </w:t>
      </w:r>
      <w:r>
        <w:rPr>
          <w:rStyle w:val="VerbatimChar"/>
        </w:rPr>
        <w:t>v2.0 raw</w:t>
      </w:r>
      <w:r>
        <w:t xml:space="preserve"> ROM image. I also set up the repository structure and chaired both team meetings.</w:t>
      </w:r>
    </w:p>
    <w:p w14:paraId="0195B28D" w14:textId="77777777" w:rsidR="00C2792D" w:rsidRDefault="00000000">
      <w:pPr>
        <w:pStyle w:val="BodyText"/>
      </w:pPr>
      <w:r>
        <w:rPr>
          <w:b/>
          <w:bCs/>
        </w:rPr>
        <w:t>What architectural concept did I understand better as a result?</w:t>
      </w:r>
      <w:r>
        <w:t xml:space="preserve"> Writing the generator forced me to understand hazard </w:t>
      </w:r>
      <w:r>
        <w:rPr>
          <w:i/>
          <w:iCs/>
        </w:rPr>
        <w:t>distance</w:t>
      </w:r>
      <w:r>
        <w:t xml:space="preserve"> concretely rather than abstractly. To place a load-use hazard deliberately I had to know that it means the consumer sits exactly one slot after the load, and to place a distance-2 RAW I had to know that a slot in between changes which forwarding path fires. I had been treating "RAW hazard" as one thing; it is really a family indexed by distance.</w:t>
      </w:r>
    </w:p>
    <w:p w14:paraId="66EF8E48" w14:textId="77777777" w:rsidR="00C2792D" w:rsidRDefault="00000000">
      <w:pPr>
        <w:pStyle w:val="BodyText"/>
      </w:pPr>
      <w:r>
        <w:rPr>
          <w:b/>
          <w:bCs/>
        </w:rPr>
        <w:t>What error did I encounter and how did I resolve it?</w:t>
      </w:r>
      <w:r>
        <w:t xml:space="preserve"> My first branch encoding computed the offset from the branch's own index rather than from the following instruction. It only showed up because the target landed one instruction late. Fixed by making the offset relative to </w:t>
      </w:r>
      <w:r>
        <w:rPr>
          <w:rStyle w:val="VerbatimChar"/>
        </w:rPr>
        <w:t>pc_index + 1</w:t>
      </w:r>
      <w:r>
        <w:t>, which is what the pipeline actually does when it increments the PC in IF.</w:t>
      </w:r>
    </w:p>
    <w:p w14:paraId="0F324FCE" w14:textId="77777777" w:rsidR="00C2792D" w:rsidRDefault="00000000">
      <w:pPr>
        <w:pStyle w:val="BodyText"/>
      </w:pPr>
      <w:r>
        <w:rPr>
          <w:b/>
          <w:bCs/>
        </w:rPr>
        <w:t>Which result surprised me?</w:t>
      </w:r>
      <w:r>
        <w:t xml:space="preserve"> That the assembler had to insert 24 NOPs into a 19-instruction program — more than half the final instruction memory is padding. I had expected forwarding to be an optimisation; that number made it look closer to a necessity.</w:t>
      </w:r>
    </w:p>
    <w:p w14:paraId="182C4324" w14:textId="4F0A5B0D" w:rsidR="00C2792D" w:rsidRDefault="00000000">
      <w:pPr>
        <w:pStyle w:val="BodyText"/>
      </w:pPr>
      <w:r>
        <w:rPr>
          <w:b/>
          <w:bCs/>
        </w:rPr>
        <w:t>What portion of this week's work could I reproduce independently, unaided, right now?</w:t>
      </w:r>
      <w:r>
        <w:t xml:space="preserve"> The generator . The forwarding truth table I could state but not yet derive from first principles, so I have asked </w:t>
      </w:r>
      <w:r w:rsidR="00E031A9">
        <w:t>Cyril</w:t>
      </w:r>
      <w:r>
        <w:t xml:space="preserve"> to walk me through the timing argument before the Week 3 checkpoint.</w:t>
      </w:r>
    </w:p>
    <w:p w14:paraId="0F38B716" w14:textId="0DD48303" w:rsidR="00E031A9" w:rsidRDefault="00000000">
      <w:pPr>
        <w:pStyle w:val="BodyText"/>
        <w:rPr>
          <w:rStyle w:val="VerbatimChar"/>
        </w:rPr>
      </w:pPr>
      <w:r>
        <w:rPr>
          <w:b/>
          <w:bCs/>
        </w:rPr>
        <w:t>What external or AI assistance did I use (if any)?</w:t>
      </w:r>
    </w:p>
    <w:p w14:paraId="487909DB" w14:textId="50413878" w:rsidR="00C2792D" w:rsidRDefault="00E031A9">
      <w:r>
        <w:t>Used AI inorder to simplify and understand the research papers and used it for helping in division of work among members also to setup the correct repo structure based on the rubrics, also utilized it in polishing of reports.</w:t>
      </w:r>
    </w:p>
    <w:p w14:paraId="667C0048" w14:textId="3217A88E" w:rsidR="00C2792D" w:rsidRDefault="00E031A9">
      <w:pPr>
        <w:pStyle w:val="Heading2"/>
      </w:pPr>
      <w:bookmarkStart w:id="1" w:name="m2--name--hardware--architecture-lead"/>
      <w:bookmarkEnd w:id="0"/>
      <w:r>
        <w:t xml:space="preserve">Cyril Nyavor </w:t>
      </w:r>
      <w:r w:rsidR="006374A9">
        <w:t>(</w:t>
      </w:r>
      <w:r w:rsidR="006374A9">
        <w:rPr>
          <w:sz w:val="20"/>
          <w:szCs w:val="20"/>
        </w:rPr>
        <w:t>11023595)</w:t>
      </w:r>
      <w:r>
        <w:t>—  Hardware &amp; Architecture Lead</w:t>
      </w:r>
    </w:p>
    <w:p w14:paraId="3E23AF4F" w14:textId="77777777" w:rsidR="00C2792D" w:rsidRDefault="00000000">
      <w:pPr>
        <w:pStyle w:val="FirstParagraph"/>
      </w:pPr>
      <w:r>
        <w:rPr>
          <w:b/>
          <w:bCs/>
        </w:rPr>
        <w:t>What did I implement personally this week?</w:t>
      </w:r>
      <w:r>
        <w:t xml:space="preserve"> I hand-derived the forwarding-unit and hazard-detection-unit truth tables, the branch-resolution logic, and the datapath extension diagram, working from the pipeline stage-timing relationships rather than copying the textbook figures.</w:t>
      </w:r>
    </w:p>
    <w:p w14:paraId="7A094BC7" w14:textId="77777777" w:rsidR="00C2792D" w:rsidRDefault="00000000">
      <w:pPr>
        <w:pStyle w:val="BodyText"/>
      </w:pPr>
      <w:r>
        <w:rPr>
          <w:b/>
          <w:bCs/>
        </w:rPr>
        <w:lastRenderedPageBreak/>
        <w:t>What architectural concept did I understand better as a result?</w:t>
      </w:r>
      <w:r>
        <w:t xml:space="preserve"> The register-file write-first-half / read-second-half convention. I had read it before without registering that it is what </w:t>
      </w:r>
      <w:r>
        <w:rPr>
          <w:i/>
          <w:iCs/>
        </w:rPr>
        <w:t>determines</w:t>
      </w:r>
      <w:r>
        <w:t xml:space="preserve"> how many forwarding paths a pipeline needs. Once I worked the stage timings out, the fact that distance-3 dependences need no forwarding at all fell out of the convention directly — and so did the NOP-padding distance the baseline assembler uses. Two things I had learned separately turned out to be the same fact.</w:t>
      </w:r>
    </w:p>
    <w:p w14:paraId="51AD0894" w14:textId="0A3448A9" w:rsidR="00C2792D" w:rsidRDefault="00000000">
      <w:pPr>
        <w:pStyle w:val="BodyText"/>
      </w:pPr>
      <w:r>
        <w:rPr>
          <w:b/>
          <w:bCs/>
        </w:rPr>
        <w:t>What error did I encounter and how did I resolve it?</w:t>
      </w:r>
      <w:r>
        <w:t xml:space="preserve"> My first version of the forwarding table listed the EX/MEM and MEM/WB conditions as two independent rows, which is ambiguous when both match. </w:t>
      </w:r>
      <w:r w:rsidR="00E031A9">
        <w:t xml:space="preserve">Prince Philips </w:t>
      </w:r>
      <w:r>
        <w:t xml:space="preserve"> pointed out that ambiguity in a truth table becomes an unspecified mux in Logisim. I rewrote it with the priority as an explicit Boolean term, </w:t>
      </w:r>
      <w:r>
        <w:rPr>
          <w:rStyle w:val="VerbatimChar"/>
        </w:rPr>
        <w:t>ForwardA[0] = WBhitA · EXhitA'</w:t>
      </w:r>
      <w:r>
        <w:t>, so the ordering is in the equation rather than in the reading order.</w:t>
      </w:r>
    </w:p>
    <w:p w14:paraId="762EF632" w14:textId="77777777" w:rsidR="00C2792D" w:rsidRDefault="00000000">
      <w:pPr>
        <w:pStyle w:val="BodyText"/>
      </w:pPr>
      <w:r>
        <w:rPr>
          <w:b/>
          <w:bCs/>
        </w:rPr>
        <w:t>Which result surprised me?</w:t>
      </w:r>
      <w:r>
        <w:t xml:space="preserve"> That a branch resolved in ID needs its </w:t>
      </w:r>
      <w:r>
        <w:rPr>
          <w:i/>
          <w:iCs/>
        </w:rPr>
        <w:t>own</w:t>
      </w:r>
      <w:r>
        <w:t xml:space="preserve"> forwarding path and its own stall condition. I had thought moving the comparator earlier was purely a win; it trades a two-cycle flush saving against a new class of data hazard, and I could not have told you that before this week.</w:t>
      </w:r>
    </w:p>
    <w:p w14:paraId="02A7D39B" w14:textId="77777777" w:rsidR="00C2792D" w:rsidRDefault="00000000">
      <w:pPr>
        <w:pStyle w:val="BodyText"/>
      </w:pPr>
      <w:r>
        <w:rPr>
          <w:b/>
          <w:bCs/>
        </w:rPr>
        <w:t>What portion of this week's work could I reproduce independently, unaided, right now?</w:t>
      </w:r>
      <w:r>
        <w:t xml:space="preserve"> All of it. I can rebuild the stage-timing table and both truth tables on a whiteboard, and I have practised tracing a three-instruction chain, which is the case the defence is said to probe.</w:t>
      </w:r>
    </w:p>
    <w:p w14:paraId="505FF9C3" w14:textId="14E9621E" w:rsidR="00E031A9" w:rsidRPr="00E031A9" w:rsidRDefault="00000000">
      <w:pPr>
        <w:pStyle w:val="BodyText"/>
        <w:rPr>
          <w:rFonts w:ascii="Consolas" w:hAnsi="Consolas" w:cs="Consolas"/>
          <w:sz w:val="15"/>
          <w:szCs w:val="15"/>
        </w:rPr>
      </w:pPr>
      <w:r>
        <w:rPr>
          <w:b/>
          <w:bCs/>
        </w:rPr>
        <w:t>What external or AI assistance did I use (if any)?</w:t>
      </w:r>
      <w:r>
        <w:t xml:space="preserve"> </w:t>
      </w:r>
    </w:p>
    <w:p w14:paraId="334B5337" w14:textId="58B876EB" w:rsidR="00C2792D" w:rsidRDefault="00E031A9">
      <w:r>
        <w:t>Used AI to verify my hand derived truth tables also understand where I was going wrong to rectify and understand my tasks better.</w:t>
      </w:r>
    </w:p>
    <w:p w14:paraId="6BC43C92" w14:textId="4985F919" w:rsidR="00C2792D" w:rsidRDefault="00E031A9">
      <w:pPr>
        <w:pStyle w:val="Heading2"/>
      </w:pPr>
      <w:bookmarkStart w:id="2" w:name="m3--name--cc-implementation-lead"/>
      <w:bookmarkEnd w:id="1"/>
      <w:r>
        <w:t>Prince Philips</w:t>
      </w:r>
      <w:r w:rsidR="006374A9">
        <w:t>(</w:t>
      </w:r>
      <w:r w:rsidR="006374A9">
        <w:rPr>
          <w:sz w:val="20"/>
          <w:szCs w:val="20"/>
        </w:rPr>
        <w:t>11218951)</w:t>
      </w:r>
      <w:r>
        <w:t xml:space="preserve"> · C/C++ Implementation Lead</w:t>
      </w:r>
    </w:p>
    <w:p w14:paraId="625493D7" w14:textId="3AA2FBCB" w:rsidR="00C2792D" w:rsidRDefault="00000000">
      <w:pPr>
        <w:pStyle w:val="FirstParagraph"/>
      </w:pPr>
      <w:r>
        <w:rPr>
          <w:b/>
          <w:bCs/>
        </w:rPr>
        <w:t>What did I implement personally this week?</w:t>
      </w:r>
      <w:r>
        <w:t xml:space="preserve"> No code yet — Week 1 is design. My contribution was reviewing </w:t>
      </w:r>
      <w:r w:rsidR="00E031A9">
        <w:t>Cyrils</w:t>
      </w:r>
      <w:r>
        <w:t>'s truth tables from the implementer's side and producing a written list of every case they left undecided, so that Week 2 would not stall on ambiguity.</w:t>
      </w:r>
    </w:p>
    <w:p w14:paraId="61B88109" w14:textId="77777777" w:rsidR="00C2792D" w:rsidRDefault="00000000">
      <w:pPr>
        <w:pStyle w:val="BodyText"/>
      </w:pPr>
      <w:r>
        <w:rPr>
          <w:b/>
          <w:bCs/>
        </w:rPr>
        <w:t>What architectural concept did I understand better as a result?</w:t>
      </w:r>
      <w:r>
        <w:t xml:space="preserve"> Which instructions actually </w:t>
      </w:r>
      <w:r>
        <w:rPr>
          <w:i/>
          <w:iCs/>
        </w:rPr>
        <w:t>read</w:t>
      </w:r>
      <w:r>
        <w:t xml:space="preserve"> which register fields. H&amp;P's hazard-detection figure compares </w:t>
      </w:r>
      <w:r>
        <w:rPr>
          <w:rStyle w:val="VerbatimChar"/>
        </w:rPr>
        <w:t>IF/ID.Rt</w:t>
      </w:r>
      <w:r>
        <w:t xml:space="preserve"> unconditionally, and I initially assumed that was complete. Working through the instruction set showed it is a simplification: </w:t>
      </w:r>
      <w:r>
        <w:rPr>
          <w:rStyle w:val="VerbatimChar"/>
        </w:rPr>
        <w:t>ADDI</w:t>
      </w:r>
      <w:r>
        <w:t xml:space="preserve"> writes </w:t>
      </w:r>
      <w:r>
        <w:rPr>
          <w:rStyle w:val="VerbatimChar"/>
        </w:rPr>
        <w:t>rt</w:t>
      </w:r>
      <w:r>
        <w:t xml:space="preserve"> rather than reading it, so comparing against it produces a false stall, while </w:t>
      </w:r>
      <w:r>
        <w:rPr>
          <w:rStyle w:val="VerbatimChar"/>
        </w:rPr>
        <w:t>SW</w:t>
      </w:r>
      <w:r>
        <w:t xml:space="preserve"> genuinely reads </w:t>
      </w:r>
      <w:r>
        <w:rPr>
          <w:rStyle w:val="VerbatimChar"/>
        </w:rPr>
        <w:t>rt</w:t>
      </w:r>
      <w:r>
        <w:t xml:space="preserve"> as its store data, so </w:t>
      </w:r>
      <w:r>
        <w:rPr>
          <w:i/>
          <w:iCs/>
        </w:rPr>
        <w:t>not</w:t>
      </w:r>
      <w:r>
        <w:t xml:space="preserve"> comparing against it misses a real hazard. The same field means opposite things depending on opcode.</w:t>
      </w:r>
    </w:p>
    <w:p w14:paraId="7E3B1F9E" w14:textId="5B25C918" w:rsidR="00C2792D" w:rsidRDefault="00000000">
      <w:pPr>
        <w:pStyle w:val="BodyText"/>
      </w:pPr>
      <w:r>
        <w:rPr>
          <w:b/>
          <w:bCs/>
        </w:rPr>
        <w:t>What error did I encounter and how did I resolve it?</w:t>
      </w:r>
      <w:r>
        <w:t xml:space="preserve"> The error was in the design rather than in code, and catching it was the point of the review. Resolved by adding a per-opcode </w:t>
      </w:r>
      <w:r>
        <w:rPr>
          <w:rStyle w:val="VerbatimChar"/>
        </w:rPr>
        <w:t>UsesRs</w:t>
      </w:r>
      <w:r>
        <w:t>/</w:t>
      </w:r>
      <w:r>
        <w:rPr>
          <w:rStyle w:val="VerbatimChar"/>
        </w:rPr>
        <w:t>UsesRt</w:t>
      </w:r>
      <w:r>
        <w:t xml:space="preserve"> decode to the hazard-detection condition, and by asking </w:t>
      </w:r>
      <w:r w:rsidR="00E031A9">
        <w:t>Samia</w:t>
      </w:r>
      <w:r>
        <w:t xml:space="preserve"> to write a dedicated test vector for the </w:t>
      </w:r>
      <w:r>
        <w:rPr>
          <w:rStyle w:val="VerbatimChar"/>
        </w:rPr>
        <w:t>SW</w:t>
      </w:r>
      <w:r>
        <w:t>-after-</w:t>
      </w:r>
      <w:r>
        <w:rPr>
          <w:rStyle w:val="VerbatimChar"/>
        </w:rPr>
        <w:t>LW</w:t>
      </w:r>
      <w:r>
        <w:t xml:space="preserve"> case so the fix is pinned rather than assumed.</w:t>
      </w:r>
    </w:p>
    <w:p w14:paraId="3D38D913" w14:textId="77777777" w:rsidR="00C2792D" w:rsidRDefault="00000000">
      <w:pPr>
        <w:pStyle w:val="BodyText"/>
      </w:pPr>
      <w:r>
        <w:rPr>
          <w:b/>
          <w:bCs/>
        </w:rPr>
        <w:t>Which result surprised me?</w:t>
      </w:r>
      <w:r>
        <w:t xml:space="preserve"> How much of the textbook presentation is a simplification that only holds for the specific instruction subset in the figure. I had been reading those diagrams as specifications.</w:t>
      </w:r>
    </w:p>
    <w:p w14:paraId="48EC7E4D" w14:textId="77777777" w:rsidR="00C2792D" w:rsidRDefault="00000000">
      <w:pPr>
        <w:pStyle w:val="BodyText"/>
      </w:pPr>
      <w:r>
        <w:rPr>
          <w:b/>
          <w:bCs/>
        </w:rPr>
        <w:t>What portion of this week's work could I reproduce independently, unaided, right now?</w:t>
      </w:r>
      <w:r>
        <w:t xml:space="preserve"> The instruction-field analysis, yes. I can also state both truth tables, though I would want to check the branch-stall conditions against M2's derivation rather than trusting my recall.</w:t>
      </w:r>
    </w:p>
    <w:p w14:paraId="1368F210" w14:textId="1B997F80" w:rsidR="00E031A9" w:rsidRPr="00E031A9" w:rsidRDefault="00000000">
      <w:pPr>
        <w:pStyle w:val="BodyText"/>
        <w:rPr>
          <w:rFonts w:ascii="Consolas" w:hAnsi="Consolas" w:cs="Consolas"/>
          <w:sz w:val="15"/>
          <w:szCs w:val="15"/>
        </w:rPr>
      </w:pPr>
      <w:r>
        <w:rPr>
          <w:b/>
          <w:bCs/>
        </w:rPr>
        <w:lastRenderedPageBreak/>
        <w:t>What external or AI assistance did I use (if any)?</w:t>
      </w:r>
    </w:p>
    <w:p w14:paraId="6DDC48D4" w14:textId="30BFF94A" w:rsidR="00C2792D" w:rsidRDefault="00E031A9">
      <w:r>
        <w:t>Used to confirm my suspicion about the design error.</w:t>
      </w:r>
    </w:p>
    <w:p w14:paraId="36E2D8C3" w14:textId="264C4981" w:rsidR="00C2792D" w:rsidRDefault="00E031A9">
      <w:pPr>
        <w:pStyle w:val="Heading2"/>
      </w:pPr>
      <w:bookmarkStart w:id="3" w:name="X371c552dd1c0dd3093ba64e9ce839b1bd6f8311"/>
      <w:bookmarkEnd w:id="2"/>
      <w:r>
        <w:t>Samia Soleimani</w:t>
      </w:r>
      <w:r w:rsidR="006374A9">
        <w:t>(</w:t>
      </w:r>
      <w:r w:rsidR="006374A9">
        <w:rPr>
          <w:sz w:val="20"/>
          <w:szCs w:val="20"/>
        </w:rPr>
        <w:t>11010910</w:t>
      </w:r>
      <w:r w:rsidR="006374A9">
        <w:t>)</w:t>
      </w:r>
      <w:r>
        <w:t>· Testing, Documentation &amp; Reproducibility Lead</w:t>
      </w:r>
    </w:p>
    <w:p w14:paraId="37A29279" w14:textId="77777777" w:rsidR="00C2792D" w:rsidRDefault="00000000">
      <w:pPr>
        <w:pStyle w:val="FirstParagraph"/>
      </w:pPr>
      <w:r>
        <w:rPr>
          <w:b/>
          <w:bCs/>
        </w:rPr>
        <w:t>What did I implement personally this week?</w:t>
      </w:r>
      <w:r>
        <w:t xml:space="preserve"> I derived the expected values for seven hazard test vectors plus one negative test, entirely by hand from the stage-timing table, with no code run. The ordering matters: tests written after an implementation tend to encode that implementation's bugs.</w:t>
      </w:r>
    </w:p>
    <w:p w14:paraId="72D9F96E" w14:textId="77777777" w:rsidR="00C2792D" w:rsidRDefault="00000000">
      <w:pPr>
        <w:pStyle w:val="BodyText"/>
      </w:pPr>
      <w:r>
        <w:rPr>
          <w:b/>
          <w:bCs/>
        </w:rPr>
        <w:t>What architectural concept did I understand better as a result?</w:t>
      </w:r>
      <w:r>
        <w:t xml:space="preserve"> Why the load-use stall costs exactly one cycle. Working the timing out by hand, I could see that the bubble does not remove the dependence — it delays the consumer until the load has reached MEM/WB, at which point the ordinary distance-2 forwarding path handles it. The stall </w:t>
      </w:r>
      <w:r>
        <w:rPr>
          <w:i/>
          <w:iCs/>
        </w:rPr>
        <w:t>converts</w:t>
      </w:r>
      <w:r>
        <w:t xml:space="preserve"> the hazard into one forwarding can already solve. That reframing is what made the "exactly one, never two" claim obvious rather than something to memorise.</w:t>
      </w:r>
    </w:p>
    <w:p w14:paraId="2F42EA1F" w14:textId="77777777" w:rsidR="00C2792D" w:rsidRDefault="00000000">
      <w:pPr>
        <w:pStyle w:val="BodyText"/>
      </w:pPr>
      <w:r>
        <w:rPr>
          <w:b/>
          <w:bCs/>
        </w:rPr>
        <w:t>What error did I encounter and how did I resolve it?</w:t>
      </w:r>
      <w:r>
        <w:t xml:space="preserve"> My first expected cycle count for the taken-branch vector was 11. I had applied the formula </w:t>
      </w:r>
      <w:r>
        <w:rPr>
          <w:rStyle w:val="VerbatimChar"/>
        </w:rPr>
        <w:t>instructions + 4 + stalls + flushes</w:t>
      </w:r>
      <w:r>
        <w:t xml:space="preserve"> using all five instructions, forgetting that the flushed instruction never retires. Recomputing with four useful instructions gave 10, which is what the timing diagram shows.</w:t>
      </w:r>
    </w:p>
    <w:p w14:paraId="351C762A" w14:textId="77777777" w:rsidR="00C2792D" w:rsidRDefault="00000000">
      <w:pPr>
        <w:pStyle w:val="BodyText"/>
      </w:pPr>
      <w:r>
        <w:rPr>
          <w:b/>
          <w:bCs/>
        </w:rPr>
        <w:t>Which result surprised me?</w:t>
      </w:r>
      <w:r>
        <w:t xml:space="preserve"> That the branch-taken and branch-not-taken vectors have to be a </w:t>
      </w:r>
      <w:r>
        <w:rPr>
          <w:i/>
          <w:iCs/>
        </w:rPr>
        <w:t>pair</w:t>
      </w:r>
      <w:r>
        <w:t>. A pipeline that flushes unconditionally passes the taken case perfectly and fails only the not-taken one. Testing a single branch would have looked like coverage while proving almost nothing.</w:t>
      </w:r>
    </w:p>
    <w:p w14:paraId="1FEDE700" w14:textId="6EA27D1F" w:rsidR="00C2792D" w:rsidRDefault="00000000">
      <w:pPr>
        <w:pStyle w:val="BodyText"/>
      </w:pPr>
      <w:r>
        <w:rPr>
          <w:b/>
          <w:bCs/>
        </w:rPr>
        <w:t>What portion of this week's work could I reproduce independently, unaided, right now?</w:t>
      </w:r>
      <w:r>
        <w:t xml:space="preserve"> Al</w:t>
      </w:r>
      <w:r w:rsidR="00B77CC1">
        <w:t>most all</w:t>
      </w:r>
      <w:r>
        <w:t xml:space="preserve"> the vector derivations I can reproduce the negative-test reasoning — why forwarding a load's EX/MEM value gives a wrong answer silently rather than crashing, because that latch holds the computed address, not the loaded data.</w:t>
      </w:r>
    </w:p>
    <w:p w14:paraId="04C3B841" w14:textId="7D1E13F3" w:rsidR="00C2792D" w:rsidRDefault="00000000">
      <w:pPr>
        <w:pStyle w:val="BodyText"/>
      </w:pPr>
      <w:r>
        <w:rPr>
          <w:b/>
          <w:bCs/>
        </w:rPr>
        <w:t>What external or AI assistance did I use (if any)?</w:t>
      </w:r>
      <w:r>
        <w:t xml:space="preserve"> </w:t>
      </w:r>
      <w:bookmarkEnd w:id="3"/>
    </w:p>
    <w:p w14:paraId="55548C29" w14:textId="19796C64" w:rsidR="00FE245F" w:rsidRDefault="00FE245F">
      <w:pPr>
        <w:pStyle w:val="BodyText"/>
      </w:pPr>
      <w:r>
        <w:t>Used AI to understand why my formula did not work and asked for help in deriving the vectors which I completed after myself.</w:t>
      </w:r>
    </w:p>
    <w:sectPr w:rsidR="00FE245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EEB07" w14:textId="77777777" w:rsidR="00471131" w:rsidRDefault="00471131">
      <w:pPr>
        <w:spacing w:after="0" w:line="240" w:lineRule="auto"/>
      </w:pPr>
      <w:r>
        <w:separator/>
      </w:r>
    </w:p>
  </w:endnote>
  <w:endnote w:type="continuationSeparator" w:id="0">
    <w:p w14:paraId="19E6AE61" w14:textId="77777777" w:rsidR="00471131" w:rsidRDefault="004711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219AB" w14:textId="77777777" w:rsidR="00471131" w:rsidRDefault="00471131">
      <w:r>
        <w:separator/>
      </w:r>
    </w:p>
  </w:footnote>
  <w:footnote w:type="continuationSeparator" w:id="0">
    <w:p w14:paraId="36483680" w14:textId="77777777" w:rsidR="00471131" w:rsidRDefault="004711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AC8B16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411900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2792D"/>
    <w:rsid w:val="00471131"/>
    <w:rsid w:val="005902F0"/>
    <w:rsid w:val="006374A9"/>
    <w:rsid w:val="006460DF"/>
    <w:rsid w:val="006C015E"/>
    <w:rsid w:val="007D3FEC"/>
    <w:rsid w:val="00B77CC1"/>
    <w:rsid w:val="00C2792D"/>
    <w:rsid w:val="00E031A9"/>
    <w:rsid w:val="00FE245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8DE49"/>
  <w15:docId w15:val="{4AD794F3-F736-448A-B377-0E95A3771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64" w:lineRule="auto"/>
    </w:pPr>
    <w:rPr>
      <w:rFonts w:ascii="Calibri" w:hAnsi="Calibri" w:cs="Calibri"/>
      <w:sz w:val="21"/>
      <w:szCs w:val="21"/>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pPr>
      <w:spacing w:before="20" w:after="20"/>
    </w:pPr>
    <w:rPr>
      <w:sz w:val="19"/>
      <w:szCs w:val="19"/>
      <w:lang/>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60" w:type="dxa"/>
        <w:left w:w="90" w:type="dxa"/>
        <w:bottom w:w="60" w:type="dxa"/>
        <w:right w:w="90"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cs="Consolas"/>
      <w:sz w:val="15"/>
      <w:szCs w:val="15"/>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pPr>
      <w:shd w:val="clear" w:color="auto" w:fill="F5F7FA"/>
      <w:wordWrap w:val="0"/>
      <w:spacing w:before="60" w:after="60" w:line="240" w:lineRule="auto"/>
      <w:ind w:left="120"/>
    </w:pPr>
    <w:rPr>
      <w:rFonts w:ascii="Consolas" w:hAnsi="Consolas" w:cs="Consolas"/>
      <w:sz w:val="15"/>
      <w:szCs w:val="15"/>
    </w:rPr>
  </w:style>
  <w:style w:type="character" w:customStyle="1" w:styleId="KeywordTok">
    <w:name w:val="KeywordTok"/>
    <w:basedOn w:val="VerbatimChar"/>
    <w:rPr>
      <w:rFonts w:ascii="Consolas" w:hAnsi="Consolas" w:cs="Consolas"/>
      <w:b/>
      <w:color w:val="007020"/>
      <w:sz w:val="15"/>
      <w:szCs w:val="15"/>
    </w:rPr>
  </w:style>
  <w:style w:type="character" w:customStyle="1" w:styleId="DataTypeTok">
    <w:name w:val="DataTypeTok"/>
    <w:basedOn w:val="VerbatimChar"/>
    <w:rPr>
      <w:rFonts w:ascii="Consolas" w:hAnsi="Consolas" w:cs="Consolas"/>
      <w:color w:val="902000"/>
      <w:sz w:val="15"/>
      <w:szCs w:val="15"/>
    </w:rPr>
  </w:style>
  <w:style w:type="character" w:customStyle="1" w:styleId="DecValTok">
    <w:name w:val="DecValTok"/>
    <w:basedOn w:val="VerbatimChar"/>
    <w:rPr>
      <w:rFonts w:ascii="Consolas" w:hAnsi="Consolas" w:cs="Consolas"/>
      <w:color w:val="40A070"/>
      <w:sz w:val="15"/>
      <w:szCs w:val="15"/>
    </w:rPr>
  </w:style>
  <w:style w:type="character" w:customStyle="1" w:styleId="BaseNTok">
    <w:name w:val="BaseNTok"/>
    <w:basedOn w:val="VerbatimChar"/>
    <w:rPr>
      <w:rFonts w:ascii="Consolas" w:hAnsi="Consolas" w:cs="Consolas"/>
      <w:color w:val="40A070"/>
      <w:sz w:val="15"/>
      <w:szCs w:val="15"/>
    </w:rPr>
  </w:style>
  <w:style w:type="character" w:customStyle="1" w:styleId="FloatTok">
    <w:name w:val="FloatTok"/>
    <w:basedOn w:val="VerbatimChar"/>
    <w:rPr>
      <w:rFonts w:ascii="Consolas" w:hAnsi="Consolas" w:cs="Consolas"/>
      <w:color w:val="40A070"/>
      <w:sz w:val="15"/>
      <w:szCs w:val="15"/>
    </w:rPr>
  </w:style>
  <w:style w:type="character" w:customStyle="1" w:styleId="ConstantTok">
    <w:name w:val="ConstantTok"/>
    <w:basedOn w:val="VerbatimChar"/>
    <w:rPr>
      <w:rFonts w:ascii="Consolas" w:hAnsi="Consolas" w:cs="Consolas"/>
      <w:color w:val="880000"/>
      <w:sz w:val="15"/>
      <w:szCs w:val="15"/>
    </w:rPr>
  </w:style>
  <w:style w:type="character" w:customStyle="1" w:styleId="CharTok">
    <w:name w:val="CharTok"/>
    <w:basedOn w:val="VerbatimChar"/>
    <w:rPr>
      <w:rFonts w:ascii="Consolas" w:hAnsi="Consolas" w:cs="Consolas"/>
      <w:color w:val="4070A0"/>
      <w:sz w:val="15"/>
      <w:szCs w:val="15"/>
    </w:rPr>
  </w:style>
  <w:style w:type="character" w:customStyle="1" w:styleId="SpecialCharTok">
    <w:name w:val="SpecialCharTok"/>
    <w:basedOn w:val="VerbatimChar"/>
    <w:rPr>
      <w:rFonts w:ascii="Consolas" w:hAnsi="Consolas" w:cs="Consolas"/>
      <w:color w:val="4070A0"/>
      <w:sz w:val="15"/>
      <w:szCs w:val="15"/>
    </w:rPr>
  </w:style>
  <w:style w:type="character" w:customStyle="1" w:styleId="StringTok">
    <w:name w:val="StringTok"/>
    <w:basedOn w:val="VerbatimChar"/>
    <w:rPr>
      <w:rFonts w:ascii="Consolas" w:hAnsi="Consolas" w:cs="Consolas"/>
      <w:color w:val="4070A0"/>
      <w:sz w:val="15"/>
      <w:szCs w:val="15"/>
    </w:rPr>
  </w:style>
  <w:style w:type="character" w:customStyle="1" w:styleId="VerbatimStringTok">
    <w:name w:val="VerbatimStringTok"/>
    <w:basedOn w:val="VerbatimChar"/>
    <w:rPr>
      <w:rFonts w:ascii="Consolas" w:hAnsi="Consolas" w:cs="Consolas"/>
      <w:color w:val="4070A0"/>
      <w:sz w:val="15"/>
      <w:szCs w:val="15"/>
    </w:rPr>
  </w:style>
  <w:style w:type="character" w:customStyle="1" w:styleId="SpecialStringTok">
    <w:name w:val="SpecialStringTok"/>
    <w:basedOn w:val="VerbatimChar"/>
    <w:rPr>
      <w:rFonts w:ascii="Consolas" w:hAnsi="Consolas" w:cs="Consolas"/>
      <w:color w:val="BB6688"/>
      <w:sz w:val="15"/>
      <w:szCs w:val="15"/>
    </w:rPr>
  </w:style>
  <w:style w:type="character" w:customStyle="1" w:styleId="ImportTok">
    <w:name w:val="ImportTok"/>
    <w:basedOn w:val="VerbatimChar"/>
    <w:rPr>
      <w:rFonts w:ascii="Consolas" w:hAnsi="Consolas" w:cs="Consolas"/>
      <w:b/>
      <w:color w:val="008000"/>
      <w:sz w:val="15"/>
      <w:szCs w:val="15"/>
    </w:rPr>
  </w:style>
  <w:style w:type="character" w:customStyle="1" w:styleId="CommentTok">
    <w:name w:val="CommentTok"/>
    <w:basedOn w:val="VerbatimChar"/>
    <w:rPr>
      <w:rFonts w:ascii="Consolas" w:hAnsi="Consolas" w:cs="Consolas"/>
      <w:i/>
      <w:color w:val="60A0B0"/>
      <w:sz w:val="15"/>
      <w:szCs w:val="15"/>
    </w:rPr>
  </w:style>
  <w:style w:type="character" w:customStyle="1" w:styleId="DocumentationTok">
    <w:name w:val="DocumentationTok"/>
    <w:basedOn w:val="VerbatimChar"/>
    <w:rPr>
      <w:rFonts w:ascii="Consolas" w:hAnsi="Consolas" w:cs="Consolas"/>
      <w:i/>
      <w:color w:val="BA2121"/>
      <w:sz w:val="15"/>
      <w:szCs w:val="15"/>
    </w:rPr>
  </w:style>
  <w:style w:type="character" w:customStyle="1" w:styleId="AnnotationTok">
    <w:name w:val="AnnotationTok"/>
    <w:basedOn w:val="VerbatimChar"/>
    <w:rPr>
      <w:rFonts w:ascii="Consolas" w:hAnsi="Consolas" w:cs="Consolas"/>
      <w:b/>
      <w:i/>
      <w:color w:val="60A0B0"/>
      <w:sz w:val="15"/>
      <w:szCs w:val="15"/>
    </w:rPr>
  </w:style>
  <w:style w:type="character" w:customStyle="1" w:styleId="CommentVarTok">
    <w:name w:val="CommentVarTok"/>
    <w:basedOn w:val="VerbatimChar"/>
    <w:rPr>
      <w:rFonts w:ascii="Consolas" w:hAnsi="Consolas" w:cs="Consolas"/>
      <w:b/>
      <w:i/>
      <w:color w:val="60A0B0"/>
      <w:sz w:val="15"/>
      <w:szCs w:val="15"/>
    </w:rPr>
  </w:style>
  <w:style w:type="character" w:customStyle="1" w:styleId="OtherTok">
    <w:name w:val="OtherTok"/>
    <w:basedOn w:val="VerbatimChar"/>
    <w:rPr>
      <w:rFonts w:ascii="Consolas" w:hAnsi="Consolas" w:cs="Consolas"/>
      <w:color w:val="007020"/>
      <w:sz w:val="15"/>
      <w:szCs w:val="15"/>
    </w:rPr>
  </w:style>
  <w:style w:type="character" w:customStyle="1" w:styleId="FunctionTok">
    <w:name w:val="FunctionTok"/>
    <w:basedOn w:val="VerbatimChar"/>
    <w:rPr>
      <w:rFonts w:ascii="Consolas" w:hAnsi="Consolas" w:cs="Consolas"/>
      <w:color w:val="06287E"/>
      <w:sz w:val="15"/>
      <w:szCs w:val="15"/>
    </w:rPr>
  </w:style>
  <w:style w:type="character" w:customStyle="1" w:styleId="VariableTok">
    <w:name w:val="VariableTok"/>
    <w:basedOn w:val="VerbatimChar"/>
    <w:rPr>
      <w:rFonts w:ascii="Consolas" w:hAnsi="Consolas" w:cs="Consolas"/>
      <w:color w:val="19177C"/>
      <w:sz w:val="15"/>
      <w:szCs w:val="15"/>
    </w:rPr>
  </w:style>
  <w:style w:type="character" w:customStyle="1" w:styleId="ControlFlowTok">
    <w:name w:val="ControlFlowTok"/>
    <w:basedOn w:val="VerbatimChar"/>
    <w:rPr>
      <w:rFonts w:ascii="Consolas" w:hAnsi="Consolas" w:cs="Consolas"/>
      <w:b/>
      <w:color w:val="007020"/>
      <w:sz w:val="15"/>
      <w:szCs w:val="15"/>
    </w:rPr>
  </w:style>
  <w:style w:type="character" w:customStyle="1" w:styleId="OperatorTok">
    <w:name w:val="OperatorTok"/>
    <w:basedOn w:val="VerbatimChar"/>
    <w:rPr>
      <w:rFonts w:ascii="Consolas" w:hAnsi="Consolas" w:cs="Consolas"/>
      <w:color w:val="666666"/>
      <w:sz w:val="15"/>
      <w:szCs w:val="15"/>
    </w:rPr>
  </w:style>
  <w:style w:type="character" w:customStyle="1" w:styleId="BuiltInTok">
    <w:name w:val="BuiltInTok"/>
    <w:basedOn w:val="VerbatimChar"/>
    <w:rPr>
      <w:rFonts w:ascii="Consolas" w:hAnsi="Consolas" w:cs="Consolas"/>
      <w:color w:val="008000"/>
      <w:sz w:val="15"/>
      <w:szCs w:val="15"/>
    </w:rPr>
  </w:style>
  <w:style w:type="character" w:customStyle="1" w:styleId="ExtensionTok">
    <w:name w:val="ExtensionTok"/>
    <w:basedOn w:val="VerbatimChar"/>
    <w:rPr>
      <w:rFonts w:ascii="Consolas" w:hAnsi="Consolas" w:cs="Consolas"/>
      <w:sz w:val="15"/>
      <w:szCs w:val="15"/>
    </w:rPr>
  </w:style>
  <w:style w:type="character" w:customStyle="1" w:styleId="PreprocessorTok">
    <w:name w:val="PreprocessorTok"/>
    <w:basedOn w:val="VerbatimChar"/>
    <w:rPr>
      <w:rFonts w:ascii="Consolas" w:hAnsi="Consolas" w:cs="Consolas"/>
      <w:color w:val="BC7A00"/>
      <w:sz w:val="15"/>
      <w:szCs w:val="15"/>
    </w:rPr>
  </w:style>
  <w:style w:type="character" w:customStyle="1" w:styleId="AttributeTok">
    <w:name w:val="AttributeTok"/>
    <w:basedOn w:val="VerbatimChar"/>
    <w:rPr>
      <w:rFonts w:ascii="Consolas" w:hAnsi="Consolas" w:cs="Consolas"/>
      <w:color w:val="7D9029"/>
      <w:sz w:val="15"/>
      <w:szCs w:val="15"/>
    </w:rPr>
  </w:style>
  <w:style w:type="character" w:customStyle="1" w:styleId="RegionMarkerTok">
    <w:name w:val="RegionMarkerTok"/>
    <w:basedOn w:val="VerbatimChar"/>
    <w:rPr>
      <w:rFonts w:ascii="Consolas" w:hAnsi="Consolas" w:cs="Consolas"/>
      <w:sz w:val="15"/>
      <w:szCs w:val="15"/>
    </w:rPr>
  </w:style>
  <w:style w:type="character" w:customStyle="1" w:styleId="InformationTok">
    <w:name w:val="InformationTok"/>
    <w:basedOn w:val="VerbatimChar"/>
    <w:rPr>
      <w:rFonts w:ascii="Consolas" w:hAnsi="Consolas" w:cs="Consolas"/>
      <w:b/>
      <w:i/>
      <w:color w:val="60A0B0"/>
      <w:sz w:val="15"/>
      <w:szCs w:val="15"/>
    </w:rPr>
  </w:style>
  <w:style w:type="character" w:customStyle="1" w:styleId="WarningTok">
    <w:name w:val="WarningTok"/>
    <w:basedOn w:val="VerbatimChar"/>
    <w:rPr>
      <w:rFonts w:ascii="Consolas" w:hAnsi="Consolas" w:cs="Consolas"/>
      <w:b/>
      <w:i/>
      <w:color w:val="60A0B0"/>
      <w:sz w:val="15"/>
      <w:szCs w:val="15"/>
    </w:rPr>
  </w:style>
  <w:style w:type="character" w:customStyle="1" w:styleId="AlertTok">
    <w:name w:val="AlertTok"/>
    <w:basedOn w:val="VerbatimChar"/>
    <w:rPr>
      <w:rFonts w:ascii="Consolas" w:hAnsi="Consolas" w:cs="Consolas"/>
      <w:b/>
      <w:color w:val="FF0000"/>
      <w:sz w:val="15"/>
      <w:szCs w:val="15"/>
    </w:rPr>
  </w:style>
  <w:style w:type="character" w:customStyle="1" w:styleId="ErrorTok">
    <w:name w:val="ErrorTok"/>
    <w:basedOn w:val="VerbatimChar"/>
    <w:rPr>
      <w:rFonts w:ascii="Consolas" w:hAnsi="Consolas" w:cs="Consolas"/>
      <w:b/>
      <w:color w:val="FF0000"/>
      <w:sz w:val="15"/>
      <w:szCs w:val="15"/>
    </w:rPr>
  </w:style>
  <w:style w:type="character" w:customStyle="1" w:styleId="NormalTok">
    <w:name w:val="NormalTok"/>
    <w:basedOn w:val="VerbatimChar"/>
    <w:rPr>
      <w:rFonts w:ascii="Consolas" w:hAnsi="Consolas" w:cs="Consolas"/>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BC25BE-DCDA-4A31-B210-76D000051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1199</Words>
  <Characters>6840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Individual Reflections - Week 1</vt:lpstr>
    </vt:vector>
  </TitlesOfParts>
  <Company/>
  <LinksUpToDate>false</LinksUpToDate>
  <CharactersWithSpaces>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Reflections - Week 1</dc:title>
  <dc:creator>CPEN 438 / CPEN 315 - Advanced Computer Architecture - University of Ghana, Legon</dc:creator>
  <cp:keywords/>
  <cp:lastModifiedBy>Rajeev Bhardwaj</cp:lastModifiedBy>
  <cp:revision>4</cp:revision>
  <dcterms:created xsi:type="dcterms:W3CDTF">2026-08-19T12:09:00Z</dcterms:created>
  <dcterms:modified xsi:type="dcterms:W3CDTF">2026-08-19T14:55:00Z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Project 3 - Hazard Watch</vt:lpwstr>
  </property>
  <property fmtid="{D5CDD505-2E9C-101B-9397-08002B2CF9AE}" pid="3" name="subtitle">
    <vt:lpwstr>Personal reflections, all four members</vt:lpwstr>
  </property>
</Properties>
</file>