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AC56E" w14:textId="77777777" w:rsidR="00F27417" w:rsidRDefault="00000000">
      <w:pPr>
        <w:pStyle w:val="Title"/>
      </w:pPr>
      <w:r>
        <w:t>Individual Reflections - Week 2</w:t>
      </w:r>
    </w:p>
    <w:p w14:paraId="6BC4F363" w14:textId="77777777" w:rsidR="00F27417" w:rsidRDefault="00000000">
      <w:pPr>
        <w:pStyle w:val="Subtitle"/>
      </w:pPr>
      <w:r>
        <w:t>Personal reflections, all four members</w:t>
      </w:r>
    </w:p>
    <w:p w14:paraId="7DBA026A" w14:textId="0624BCFC" w:rsidR="00F27417" w:rsidRDefault="00000000">
      <w:pPr>
        <w:pStyle w:val="Author"/>
      </w:pPr>
      <w:r>
        <w:t>CPEN 438 - Advanced Computer Architecture - University of Ghana, Legon</w:t>
      </w:r>
    </w:p>
    <w:p w14:paraId="58310053" w14:textId="77777777" w:rsidR="00F0342A" w:rsidRDefault="00000000">
      <w:pPr>
        <w:pStyle w:val="Date"/>
      </w:pPr>
      <w:r>
        <w:t>Project 3 - Hazard Watch</w:t>
      </w:r>
    </w:p>
    <w:p w14:paraId="63FB9A9C" w14:textId="509DFE48" w:rsidR="00F27417" w:rsidRDefault="00F0342A">
      <w:pPr>
        <w:pStyle w:val="Date"/>
      </w:pPr>
      <w:r>
        <w:t>Group 5</w:t>
      </w:r>
    </w:p>
    <w:p w14:paraId="032E40B5" w14:textId="6AE646C4" w:rsidR="00F27417" w:rsidRDefault="00F27417"/>
    <w:p w14:paraId="03562312" w14:textId="77777777" w:rsidR="00F0342A" w:rsidRDefault="00F0342A" w:rsidP="00F0342A">
      <w:pPr>
        <w:pStyle w:val="Heading2"/>
      </w:pPr>
      <w:bookmarkStart w:id="0" w:name="X427296688f1cf5e23c983bc685f18abcdf471c0"/>
      <w:r>
        <w:t>ISHAAN BHARDWAJ (</w:t>
      </w:r>
      <w:r>
        <w:rPr>
          <w:sz w:val="20"/>
          <w:szCs w:val="20"/>
        </w:rPr>
        <w:t>11004272)</w:t>
      </w:r>
      <w:r>
        <w:t>—  Project Manager &amp; Python/Analysis Lead</w:t>
      </w:r>
    </w:p>
    <w:p w14:paraId="48413B28" w14:textId="77777777" w:rsidR="00F27417" w:rsidRDefault="00000000">
      <w:pPr>
        <w:pStyle w:val="FirstParagraph"/>
      </w:pPr>
      <w:r>
        <w:rPr>
          <w:b/>
          <w:bCs/>
        </w:rPr>
        <w:t>What did I implement personally this week?</w:t>
      </w:r>
      <w:r>
        <w:t xml:space="preserve"> I merged the implementation branches, ran the full baseline-versus-hazard comparison, produced the CPI analysis, and wrote the regeneration script that rebuilds every reported number from a single seed.</w:t>
      </w:r>
    </w:p>
    <w:p w14:paraId="09874E7E" w14:textId="77777777" w:rsidR="00F27417" w:rsidRDefault="00000000">
      <w:pPr>
        <w:pStyle w:val="BodyText"/>
      </w:pPr>
      <w:r>
        <w:rPr>
          <w:b/>
          <w:bCs/>
        </w:rPr>
        <w:t>What architectural concept did I understand better as a result?</w:t>
      </w:r>
      <w:r>
        <w:t xml:space="preserve"> That CPI is not a neutral measurement. Our baseline reports a </w:t>
      </w:r>
      <w:r>
        <w:rPr>
          <w:i/>
          <w:iCs/>
        </w:rPr>
        <w:t>better</w:t>
      </w:r>
      <w:r>
        <w:t xml:space="preserve"> CPI per retired instruction (1.09) than the forwarding configuration (1.32) while running nearly twice as slow, purely because 24 of its 43 instructions are NOPs retiring one per cycle. H&amp;P's warning that CPI is only comparable at constant instruction count had read as a footnote; here it is the difference between concluding forwarding helps and concluding it hurts.</w:t>
      </w:r>
    </w:p>
    <w:p w14:paraId="26DAECE6" w14:textId="45423FF7" w:rsidR="00F27417" w:rsidRDefault="00000000">
      <w:pPr>
        <w:pStyle w:val="BodyText"/>
      </w:pPr>
      <w:r>
        <w:rPr>
          <w:b/>
          <w:bCs/>
        </w:rPr>
        <w:t>What error did I encounter and how did I resolve it?</w:t>
      </w:r>
      <w:r>
        <w:t xml:space="preserve"> I initially reported only CPI-per-retired-instruction and drafted a paragraph explaining why forwarding had made things worse. </w:t>
      </w:r>
      <w:r w:rsidR="00F0342A">
        <w:t>Samia</w:t>
      </w:r>
      <w:r>
        <w:t xml:space="preserve"> asked why the cycle count had dropped if CPI had risen, which exposed the mistake. Resolved by reporting both figures with an explicit argument for which one answers the question, rather than quietly switching to the flattering one.</w:t>
      </w:r>
    </w:p>
    <w:p w14:paraId="37BF0514" w14:textId="77777777" w:rsidR="00F27417" w:rsidRDefault="00000000">
      <w:pPr>
        <w:pStyle w:val="BodyText"/>
      </w:pPr>
      <w:r>
        <w:rPr>
          <w:b/>
          <w:bCs/>
        </w:rPr>
        <w:t>Which result surprised me?</w:t>
      </w:r>
      <w:r>
        <w:t xml:space="preserve"> That I nearly submitted a conclusion that was the exact inverse of the truth, with correct arithmetic throughout.</w:t>
      </w:r>
    </w:p>
    <w:p w14:paraId="36329BB8" w14:textId="199CCC09" w:rsidR="00F27417" w:rsidRDefault="00000000">
      <w:pPr>
        <w:pStyle w:val="BodyText"/>
      </w:pPr>
      <w:r>
        <w:rPr>
          <w:b/>
          <w:bCs/>
        </w:rPr>
        <w:t>What portion of this week's work could I reproduce independently, unaided, right now?</w:t>
      </w:r>
      <w:r>
        <w:t xml:space="preserve"> The integration, the comparison run, and the CPI argument  I could defend the metric choice unprompted. I could not yet write the forwarding logic in C from scratch; I can read it and explain what each branch does.</w:t>
      </w:r>
    </w:p>
    <w:p w14:paraId="4E8CB84F" w14:textId="36402722" w:rsidR="00F27417" w:rsidRDefault="00000000">
      <w:pPr>
        <w:pStyle w:val="BodyText"/>
      </w:pPr>
      <w:r>
        <w:rPr>
          <w:b/>
          <w:bCs/>
        </w:rPr>
        <w:t>What external or AI assistance did I use (if any)?</w:t>
      </w:r>
      <w:r>
        <w:t xml:space="preserve"> </w:t>
      </w:r>
    </w:p>
    <w:p w14:paraId="4D304A62" w14:textId="497F9511" w:rsidR="00F0342A" w:rsidRDefault="00F0342A">
      <w:pPr>
        <w:pStyle w:val="BodyText"/>
      </w:pPr>
      <w:r>
        <w:t>When prompted by Samia about my error I used the AI to help understand where I had gone wrong and fixed my mistake.</w:t>
      </w:r>
    </w:p>
    <w:p w14:paraId="0787A012" w14:textId="37E66E71" w:rsidR="00F27417" w:rsidRDefault="00F27417"/>
    <w:p w14:paraId="79147F31" w14:textId="2B34F041" w:rsidR="00F27417" w:rsidRDefault="00F0342A">
      <w:pPr>
        <w:pStyle w:val="Heading2"/>
      </w:pPr>
      <w:bookmarkStart w:id="1" w:name="m2--name--hardware--architecture-lead"/>
      <w:bookmarkEnd w:id="0"/>
      <w:r>
        <w:lastRenderedPageBreak/>
        <w:t>Cyril Nyavor (</w:t>
      </w:r>
      <w:r>
        <w:rPr>
          <w:sz w:val="20"/>
          <w:szCs w:val="20"/>
        </w:rPr>
        <w:t>11023595)</w:t>
      </w:r>
      <w:r>
        <w:t xml:space="preserve">—  </w:t>
      </w:r>
      <w:r w:rsidR="00000000">
        <w:t>· Hardware &amp; Architecture Lead</w:t>
      </w:r>
    </w:p>
    <w:p w14:paraId="226084E5" w14:textId="77777777" w:rsidR="00F27417" w:rsidRDefault="00000000">
      <w:pPr>
        <w:pStyle w:val="FirstParagraph"/>
      </w:pPr>
      <w:r>
        <w:rPr>
          <w:b/>
          <w:bCs/>
        </w:rPr>
        <w:t>What did I implement personally this week?</w:t>
      </w:r>
      <w:r>
        <w:t xml:space="preserve"> I reviewed M3's implementation row by row against my Week 1 truth tables and produced a conformance note mapping every row to the line of C implementing it. I also documented the cycle where both forwarding paths fire at once.</w:t>
      </w:r>
    </w:p>
    <w:p w14:paraId="6BD71609" w14:textId="77777777" w:rsidR="00F27417" w:rsidRDefault="00000000">
      <w:pPr>
        <w:pStyle w:val="BodyText"/>
      </w:pPr>
      <w:r>
        <w:rPr>
          <w:b/>
          <w:bCs/>
        </w:rPr>
        <w:t>What architectural concept did I understand better as a result?</w:t>
      </w:r>
      <w:r>
        <w:t xml:space="preserve"> The simultaneous dual-forward case. At one cycle in our routine, </w:t>
      </w:r>
      <w:r>
        <w:rPr>
          <w:rStyle w:val="VerbatimChar"/>
        </w:rPr>
        <w:t>ForwardA</w:t>
      </w:r>
      <w:r>
        <w:t xml:space="preserve"> selects EX/MEM while </w:t>
      </w:r>
      <w:r>
        <w:rPr>
          <w:rStyle w:val="VerbatimChar"/>
        </w:rPr>
        <w:t>ForwardB</w:t>
      </w:r>
      <w:r>
        <w:t xml:space="preserve"> selects MEM/WB — the instruction depends on both of its two predecessors, through different paths, at the same instant. I had understood the two paths as alternatives; they are independent per-operand decisions, which is exactly why there are two mux-select signals and not one.</w:t>
      </w:r>
    </w:p>
    <w:p w14:paraId="35755719" w14:textId="77777777" w:rsidR="00F27417" w:rsidRDefault="00000000">
      <w:pPr>
        <w:pStyle w:val="BodyText"/>
      </w:pPr>
      <w:r>
        <w:rPr>
          <w:b/>
          <w:bCs/>
        </w:rPr>
        <w:t>What error did I encounter and how did I resolve it?</w:t>
      </w:r>
      <w:r>
        <w:t xml:space="preserve"> The conformance review found that my priority rule was correct in the C code but only implicitly — it worked because of the </w:t>
      </w:r>
      <w:r>
        <w:rPr>
          <w:rStyle w:val="VerbatimChar"/>
        </w:rPr>
        <w:t>else if</w:t>
      </w:r>
      <w:r>
        <w:t xml:space="preserve"> ordering. That is fine in software and ambiguous in hardware, where I have to wire an actual mux next week. Resolved by rewriting it as an explicit Boolean product so the Logisim implementation has no decision left to make.</w:t>
      </w:r>
    </w:p>
    <w:p w14:paraId="719B2F6C" w14:textId="77777777" w:rsidR="00F27417" w:rsidRDefault="00000000">
      <w:pPr>
        <w:pStyle w:val="BodyText"/>
      </w:pPr>
      <w:r>
        <w:rPr>
          <w:b/>
          <w:bCs/>
        </w:rPr>
        <w:t>Which result surprised me?</w:t>
      </w:r>
      <w:r>
        <w:t xml:space="preserve"> That the forwarding unit fires on the branch instruction while it sits in EX, even though the branch was already resolved in ID two cycles earlier and its ALU operands are architecturally irrelevant. It is correct behaviour — the unit is combinational logic that does not know what instruction it is looking at — but it looked like a bug until I traced it.</w:t>
      </w:r>
    </w:p>
    <w:p w14:paraId="69773E2A" w14:textId="77777777" w:rsidR="00F27417" w:rsidRDefault="00000000">
      <w:pPr>
        <w:pStyle w:val="BodyText"/>
      </w:pPr>
      <w:r>
        <w:rPr>
          <w:b/>
          <w:bCs/>
        </w:rPr>
        <w:t>What portion of this week's work could I reproduce independently, unaided, right now?</w:t>
      </w:r>
      <w:r>
        <w:t xml:space="preserve"> Both truth tables and the conformance mapping. I have practised tracing forwarding decisions on unseen three-instruction chains, which is my defence obligation.</w:t>
      </w:r>
    </w:p>
    <w:p w14:paraId="48282FD5" w14:textId="53058518" w:rsidR="00F0342A" w:rsidRPr="00F0342A" w:rsidRDefault="00000000">
      <w:pPr>
        <w:pStyle w:val="BodyText"/>
        <w:rPr>
          <w:rFonts w:ascii="Consolas" w:hAnsi="Consolas" w:cs="Consolas"/>
          <w:sz w:val="15"/>
          <w:szCs w:val="15"/>
        </w:rPr>
      </w:pPr>
      <w:r>
        <w:rPr>
          <w:b/>
          <w:bCs/>
        </w:rPr>
        <w:t>What external or AI assistance did I use (if any)?</w:t>
      </w:r>
      <w:r>
        <w:t xml:space="preserve"> </w:t>
      </w:r>
    </w:p>
    <w:p w14:paraId="646C92C8" w14:textId="13D5AFED" w:rsidR="00F27417" w:rsidRDefault="00F0342A">
      <w:r>
        <w:t>Used AI help for the conformance review which showed that the priority rule worked mostly because of the else if ordering.</w:t>
      </w:r>
    </w:p>
    <w:p w14:paraId="34480003" w14:textId="6A92943C" w:rsidR="00F27417" w:rsidRDefault="00F0342A">
      <w:pPr>
        <w:pStyle w:val="Heading2"/>
      </w:pPr>
      <w:bookmarkStart w:id="2" w:name="m3--name--cc-implementation-lead"/>
      <w:bookmarkEnd w:id="1"/>
      <w:r>
        <w:t>Prince Philips(</w:t>
      </w:r>
      <w:r>
        <w:rPr>
          <w:sz w:val="20"/>
          <w:szCs w:val="20"/>
        </w:rPr>
        <w:t>11218951)</w:t>
      </w:r>
      <w:r>
        <w:t xml:space="preserve"> </w:t>
      </w:r>
      <w:r w:rsidR="00000000">
        <w:t>· C/C++ Implementation Lead</w:t>
      </w:r>
    </w:p>
    <w:p w14:paraId="49354882" w14:textId="77777777" w:rsidR="00F27417" w:rsidRDefault="00000000">
      <w:pPr>
        <w:pStyle w:val="FirstParagraph"/>
      </w:pPr>
      <w:r>
        <w:rPr>
          <w:b/>
          <w:bCs/>
        </w:rPr>
        <w:t>What did I implement personally this week?</w:t>
      </w:r>
      <w:r>
        <w:t xml:space="preserve"> The golden simulator: the five-stage datapath, the forwarding unit, the hazard-detection unit with per-opcode source decode, ID-stage branch resolution with flush, and the assembler NOP padder for the baseline configuration.</w:t>
      </w:r>
    </w:p>
    <w:p w14:paraId="1C2B7FC4" w14:textId="77777777" w:rsidR="00F27417" w:rsidRDefault="00000000">
      <w:pPr>
        <w:pStyle w:val="BodyText"/>
      </w:pPr>
      <w:r>
        <w:rPr>
          <w:b/>
          <w:bCs/>
        </w:rPr>
        <w:t>What architectural concept did I understand better as a result?</w:t>
      </w:r>
      <w:r>
        <w:t xml:space="preserve"> Stage ordering within a single cycle. My first version computed the stages front to back and the register file returned stale values, because a value written by WB in a cycle must be visible to ID in that same cycle. Rewriting it so each cycle computes the next latches from the current ones, with WB writing before ID reads, is not a coding trick — it is the write-first-half / read-second-half convention made executable. That one detail is why MEM/WB forwarding is needed for distance-2 and not for distance-3.</w:t>
      </w:r>
    </w:p>
    <w:p w14:paraId="4BD14231" w14:textId="77777777" w:rsidR="00F27417" w:rsidRDefault="00000000">
      <w:pPr>
        <w:pStyle w:val="BodyText"/>
      </w:pPr>
      <w:r>
        <w:rPr>
          <w:b/>
          <w:bCs/>
        </w:rPr>
        <w:t>What error did I encounter and how did I resolve it?</w:t>
      </w:r>
      <w:r>
        <w:t xml:space="preserve"> My hazard-detection unit compared </w:t>
      </w:r>
      <w:r>
        <w:rPr>
          <w:rStyle w:val="VerbatimChar"/>
        </w:rPr>
        <w:t>IF/ID.Rt</w:t>
      </w:r>
      <w:r>
        <w:t xml:space="preserve"> unconditionally, which stalled on </w:t>
      </w:r>
      <w:r>
        <w:rPr>
          <w:rStyle w:val="VerbatimChar"/>
        </w:rPr>
        <w:t>ADDI</w:t>
      </w:r>
      <w:r>
        <w:t xml:space="preserve"> following </w:t>
      </w:r>
      <w:r>
        <w:rPr>
          <w:rStyle w:val="VerbatimChar"/>
        </w:rPr>
        <w:t>LW</w:t>
      </w:r>
      <w:r>
        <w:t xml:space="preserve"> into the same register — an instruction that overwrites that register rather than reading it. Caught because the stall count came out higher than M4's hand-derived expectation. Resolved with the per-opcode </w:t>
      </w:r>
      <w:r>
        <w:rPr>
          <w:rStyle w:val="VerbatimChar"/>
        </w:rPr>
        <w:t>UsesRs</w:t>
      </w:r>
      <w:r>
        <w:t>/</w:t>
      </w:r>
      <w:r>
        <w:rPr>
          <w:rStyle w:val="VerbatimChar"/>
        </w:rPr>
        <w:t>UsesRt</w:t>
      </w:r>
      <w:r>
        <w:t xml:space="preserve"> decode we had agreed in the Week 1 design review, which also fixed the opposite error of missing the real hazard on </w:t>
      </w:r>
      <w:r>
        <w:rPr>
          <w:rStyle w:val="VerbatimChar"/>
        </w:rPr>
        <w:t>SW</w:t>
      </w:r>
      <w:r>
        <w:t>'s store data.</w:t>
      </w:r>
    </w:p>
    <w:p w14:paraId="35E53049" w14:textId="77777777" w:rsidR="00F27417" w:rsidRDefault="00000000">
      <w:pPr>
        <w:pStyle w:val="BodyText"/>
      </w:pPr>
      <w:r>
        <w:rPr>
          <w:b/>
          <w:bCs/>
        </w:rPr>
        <w:lastRenderedPageBreak/>
        <w:t>Which result surprised me?</w:t>
      </w:r>
      <w:r>
        <w:t xml:space="preserve"> That disabling the hazard-detection unit does not produce a crash. It forwards the load's computed </w:t>
      </w:r>
      <w:r>
        <w:rPr>
          <w:i/>
          <w:iCs/>
        </w:rPr>
        <w:t>address</w:t>
      </w:r>
      <w:r>
        <w:t xml:space="preserve"> in place of its loaded </w:t>
      </w:r>
      <w:r>
        <w:rPr>
          <w:i/>
          <w:iCs/>
        </w:rPr>
        <w:t>data</w:t>
      </w:r>
      <w:r>
        <w:t xml:space="preserve"> and returns a number that looks entirely plausible. I added an explicit abort for that case, because a wrong answer that looks right is worse than a failure.</w:t>
      </w:r>
    </w:p>
    <w:p w14:paraId="347A3C3C" w14:textId="77777777" w:rsidR="00F27417" w:rsidRDefault="00000000">
      <w:pPr>
        <w:pStyle w:val="BodyText"/>
      </w:pPr>
      <w:r>
        <w:rPr>
          <w:b/>
          <w:bCs/>
        </w:rPr>
        <w:t>What portion of this week's work could I reproduce independently, unaided, right now?</w:t>
      </w:r>
      <w:r>
        <w:t xml:space="preserve"> The forwarding unit and the hazard-detection unit, from the truth tables, without reference to my own code. The full five-stage latch structure I could rebuild but would take longer.</w:t>
      </w:r>
    </w:p>
    <w:p w14:paraId="08B0D6CD" w14:textId="2A208A1E" w:rsidR="00F0342A" w:rsidRPr="00F0342A" w:rsidRDefault="00000000">
      <w:pPr>
        <w:pStyle w:val="BodyText"/>
        <w:rPr>
          <w:rFonts w:ascii="Consolas" w:hAnsi="Consolas" w:cs="Consolas"/>
          <w:sz w:val="15"/>
          <w:szCs w:val="15"/>
        </w:rPr>
      </w:pPr>
      <w:r>
        <w:rPr>
          <w:b/>
          <w:bCs/>
        </w:rPr>
        <w:t>What external or AI assistance did I use (if any)?</w:t>
      </w:r>
      <w:r>
        <w:t xml:space="preserve"> </w:t>
      </w:r>
    </w:p>
    <w:p w14:paraId="6266A25F" w14:textId="5685EA9F" w:rsidR="00F27417" w:rsidRDefault="00F0342A">
      <w:r>
        <w:t>Help in debugging the hazard detection unit</w:t>
      </w:r>
    </w:p>
    <w:p w14:paraId="16701478" w14:textId="3C2C81BC" w:rsidR="00F27417" w:rsidRDefault="00F0342A">
      <w:pPr>
        <w:pStyle w:val="Heading2"/>
      </w:pPr>
      <w:bookmarkStart w:id="3" w:name="X371c552dd1c0dd3093ba64e9ce839b1bd6f8311"/>
      <w:bookmarkEnd w:id="2"/>
      <w:r>
        <w:t>Samia Soleimani(</w:t>
      </w:r>
      <w:r>
        <w:rPr>
          <w:sz w:val="20"/>
          <w:szCs w:val="20"/>
        </w:rPr>
        <w:t>11010910</w:t>
      </w:r>
      <w:r>
        <w:t xml:space="preserve">)· </w:t>
      </w:r>
      <w:r w:rsidR="00000000">
        <w:t xml:space="preserve"> · Testing, Documentation &amp; Reproducibility Lead</w:t>
      </w:r>
    </w:p>
    <w:p w14:paraId="64CE0008" w14:textId="77777777" w:rsidR="00F27417" w:rsidRDefault="00000000">
      <w:pPr>
        <w:pStyle w:val="FirstParagraph"/>
      </w:pPr>
      <w:r>
        <w:rPr>
          <w:b/>
          <w:bCs/>
        </w:rPr>
        <w:t>What did I implement personally this week?</w:t>
      </w:r>
      <w:r>
        <w:t xml:space="preserve"> I ran all eight vectors against the implementation, produced the hazard-classification table, verified that the two configurations agree on every register and every data-memory word, and wrote the README reproduction commands.</w:t>
      </w:r>
    </w:p>
    <w:p w14:paraId="4DE414D6" w14:textId="77777777" w:rsidR="00F27417" w:rsidRDefault="00000000">
      <w:pPr>
        <w:pStyle w:val="BodyText"/>
      </w:pPr>
      <w:r>
        <w:rPr>
          <w:b/>
          <w:bCs/>
        </w:rPr>
        <w:t>What architectural concept did I understand better as a result?</w:t>
      </w:r>
      <w:r>
        <w:t xml:space="preserve"> What cross-validation actually buys. The baseline and the forwarding configuration are different machines running different instruction streams — one padded, one not — yet they must land on identical architectural state. Once I saw that, the baseline stopped being a number to compare against and became a correctness oracle: if they ever disagreed, one of them would be wrong and we would not know which.</w:t>
      </w:r>
    </w:p>
    <w:p w14:paraId="42003F17" w14:textId="0D459851" w:rsidR="00F27417" w:rsidRDefault="00000000">
      <w:pPr>
        <w:pStyle w:val="BodyText"/>
      </w:pPr>
      <w:r>
        <w:rPr>
          <w:b/>
          <w:bCs/>
        </w:rPr>
        <w:t>What error did I encounter and how did I resolve it?</w:t>
      </w:r>
      <w:r>
        <w:t xml:space="preserve"> The </w:t>
      </w:r>
      <w:r>
        <w:rPr>
          <w:rStyle w:val="VerbatimChar"/>
        </w:rPr>
        <w:t>SW</w:t>
      </w:r>
      <w:r>
        <w:t>-after-</w:t>
      </w:r>
      <w:r>
        <w:rPr>
          <w:rStyle w:val="VerbatimChar"/>
        </w:rPr>
        <w:t>LW</w:t>
      </w:r>
      <w:r>
        <w:t xml:space="preserve"> vector failed on the first run, reporting zero stalls where I had derived one. My initial reaction was that my hand derivation was wrong. Rechecking the timing confirmed the derivation and located the fault in the hazard-detection condition, which </w:t>
      </w:r>
      <w:r w:rsidR="00F0342A">
        <w:t>Philip’s</w:t>
      </w:r>
      <w:r>
        <w:t xml:space="preserve"> then fixed. The lesson was to trust the hand trace over the implementation, which is the whole reason the expectations were written first.</w:t>
      </w:r>
    </w:p>
    <w:p w14:paraId="1E813E08" w14:textId="77777777" w:rsidR="00F27417" w:rsidRDefault="00000000">
      <w:pPr>
        <w:pStyle w:val="BodyText"/>
      </w:pPr>
      <w:r>
        <w:rPr>
          <w:b/>
          <w:bCs/>
        </w:rPr>
        <w:t>Which result surprised me?</w:t>
      </w:r>
      <w:r>
        <w:t xml:space="preserve"> That 16 of 18 true dependences in the routine cost nothing at all. I had expected forwarding to reduce stalls; it very nearly eliminates them, and the two survivors are precisely the two cases the Week 1 design predicted would survive.</w:t>
      </w:r>
    </w:p>
    <w:p w14:paraId="5F35893A" w14:textId="77777777" w:rsidR="00F27417" w:rsidRDefault="00000000">
      <w:pPr>
        <w:pStyle w:val="BodyText"/>
      </w:pPr>
      <w:r>
        <w:rPr>
          <w:b/>
          <w:bCs/>
        </w:rPr>
        <w:t>What portion of this week's work could I reproduce independently, unaided, right now?</w:t>
      </w:r>
      <w:r>
        <w:t xml:space="preserve"> All the vector derivations, the classification table, and the reproduction procedure from a clean checkout — which is my defence obligation, so I have rehearsed it.</w:t>
      </w:r>
    </w:p>
    <w:p w14:paraId="23DE6B7C" w14:textId="6A86C52E" w:rsidR="00F27417" w:rsidRDefault="00000000">
      <w:pPr>
        <w:pStyle w:val="BodyText"/>
        <w:rPr>
          <w:rStyle w:val="VerbatimChar"/>
        </w:rPr>
      </w:pPr>
      <w:r>
        <w:rPr>
          <w:b/>
          <w:bCs/>
        </w:rPr>
        <w:t>What external or AI assistance did I use (if any)?</w:t>
      </w:r>
      <w:r>
        <w:t xml:space="preserve"> </w:t>
      </w:r>
    </w:p>
    <w:p w14:paraId="7E563F4C" w14:textId="2C8A02DD" w:rsidR="00F0342A" w:rsidRDefault="00F0342A">
      <w:pPr>
        <w:pStyle w:val="BodyText"/>
      </w:pPr>
      <w:r>
        <w:t>Used AI to cross check my hand derivation and compare that with Philip’s Implementation to confirm that there was an error in the implementation</w:t>
      </w:r>
      <w:bookmarkEnd w:id="3"/>
    </w:p>
    <w:sectPr w:rsidR="00F0342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A3E89" w14:textId="77777777" w:rsidR="00F16878" w:rsidRDefault="00F16878">
      <w:pPr>
        <w:spacing w:after="0" w:line="240" w:lineRule="auto"/>
      </w:pPr>
      <w:r>
        <w:separator/>
      </w:r>
    </w:p>
  </w:endnote>
  <w:endnote w:type="continuationSeparator" w:id="0">
    <w:p w14:paraId="5BD63540" w14:textId="77777777" w:rsidR="00F16878" w:rsidRDefault="00F16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D14D" w14:textId="77777777" w:rsidR="00F16878" w:rsidRDefault="00F16878">
      <w:r>
        <w:separator/>
      </w:r>
    </w:p>
  </w:footnote>
  <w:footnote w:type="continuationSeparator" w:id="0">
    <w:p w14:paraId="3FA32B2F" w14:textId="77777777" w:rsidR="00F16878" w:rsidRDefault="00F16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C4D1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1043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7417"/>
    <w:rsid w:val="00461BAE"/>
    <w:rsid w:val="00F0342A"/>
    <w:rsid w:val="00F16878"/>
    <w:rsid w:val="00F274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112F"/>
  <w15:docId w15:val="{551A7E31-9AD8-49DC-A423-14F96623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s="Calibri"/>
      <w:sz w:val="21"/>
      <w:szCs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pPr>
      <w:spacing w:before="20" w:after="20"/>
    </w:pPr>
    <w:rPr>
      <w:sz w:val="19"/>
      <w:szCs w:val="19"/>
      <w:lang/>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60" w:type="dxa"/>
        <w:left w:w="90" w:type="dxa"/>
        <w:bottom w:w="60" w:type="dxa"/>
        <w:right w:w="90"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s="Consolas"/>
      <w:sz w:val="15"/>
      <w:szCs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pPr>
      <w:shd w:val="clear" w:color="auto" w:fill="F5F7FA"/>
      <w:wordWrap w:val="0"/>
      <w:spacing w:before="60" w:after="60" w:line="240" w:lineRule="auto"/>
      <w:ind w:left="120"/>
    </w:pPr>
    <w:rPr>
      <w:rFonts w:ascii="Consolas" w:hAnsi="Consolas" w:cs="Consolas"/>
      <w:sz w:val="15"/>
      <w:szCs w:val="15"/>
    </w:rPr>
  </w:style>
  <w:style w:type="character" w:customStyle="1" w:styleId="KeywordTok">
    <w:name w:val="KeywordTok"/>
    <w:basedOn w:val="VerbatimChar"/>
    <w:rPr>
      <w:rFonts w:ascii="Consolas" w:hAnsi="Consolas" w:cs="Consolas"/>
      <w:b/>
      <w:color w:val="007020"/>
      <w:sz w:val="15"/>
      <w:szCs w:val="15"/>
    </w:rPr>
  </w:style>
  <w:style w:type="character" w:customStyle="1" w:styleId="DataTypeTok">
    <w:name w:val="DataTypeTok"/>
    <w:basedOn w:val="VerbatimChar"/>
    <w:rPr>
      <w:rFonts w:ascii="Consolas" w:hAnsi="Consolas" w:cs="Consolas"/>
      <w:color w:val="902000"/>
      <w:sz w:val="15"/>
      <w:szCs w:val="15"/>
    </w:rPr>
  </w:style>
  <w:style w:type="character" w:customStyle="1" w:styleId="DecValTok">
    <w:name w:val="DecValTok"/>
    <w:basedOn w:val="VerbatimChar"/>
    <w:rPr>
      <w:rFonts w:ascii="Consolas" w:hAnsi="Consolas" w:cs="Consolas"/>
      <w:color w:val="40A070"/>
      <w:sz w:val="15"/>
      <w:szCs w:val="15"/>
    </w:rPr>
  </w:style>
  <w:style w:type="character" w:customStyle="1" w:styleId="BaseNTok">
    <w:name w:val="BaseNTok"/>
    <w:basedOn w:val="VerbatimChar"/>
    <w:rPr>
      <w:rFonts w:ascii="Consolas" w:hAnsi="Consolas" w:cs="Consolas"/>
      <w:color w:val="40A070"/>
      <w:sz w:val="15"/>
      <w:szCs w:val="15"/>
    </w:rPr>
  </w:style>
  <w:style w:type="character" w:customStyle="1" w:styleId="FloatTok">
    <w:name w:val="FloatTok"/>
    <w:basedOn w:val="VerbatimChar"/>
    <w:rPr>
      <w:rFonts w:ascii="Consolas" w:hAnsi="Consolas" w:cs="Consolas"/>
      <w:color w:val="40A070"/>
      <w:sz w:val="15"/>
      <w:szCs w:val="15"/>
    </w:rPr>
  </w:style>
  <w:style w:type="character" w:customStyle="1" w:styleId="ConstantTok">
    <w:name w:val="ConstantTok"/>
    <w:basedOn w:val="VerbatimChar"/>
    <w:rPr>
      <w:rFonts w:ascii="Consolas" w:hAnsi="Consolas" w:cs="Consolas"/>
      <w:color w:val="880000"/>
      <w:sz w:val="15"/>
      <w:szCs w:val="15"/>
    </w:rPr>
  </w:style>
  <w:style w:type="character" w:customStyle="1" w:styleId="CharTok">
    <w:name w:val="CharTok"/>
    <w:basedOn w:val="VerbatimChar"/>
    <w:rPr>
      <w:rFonts w:ascii="Consolas" w:hAnsi="Consolas" w:cs="Consolas"/>
      <w:color w:val="4070A0"/>
      <w:sz w:val="15"/>
      <w:szCs w:val="15"/>
    </w:rPr>
  </w:style>
  <w:style w:type="character" w:customStyle="1" w:styleId="SpecialCharTok">
    <w:name w:val="SpecialCharTok"/>
    <w:basedOn w:val="VerbatimChar"/>
    <w:rPr>
      <w:rFonts w:ascii="Consolas" w:hAnsi="Consolas" w:cs="Consolas"/>
      <w:color w:val="4070A0"/>
      <w:sz w:val="15"/>
      <w:szCs w:val="15"/>
    </w:rPr>
  </w:style>
  <w:style w:type="character" w:customStyle="1" w:styleId="StringTok">
    <w:name w:val="StringTok"/>
    <w:basedOn w:val="VerbatimChar"/>
    <w:rPr>
      <w:rFonts w:ascii="Consolas" w:hAnsi="Consolas" w:cs="Consolas"/>
      <w:color w:val="4070A0"/>
      <w:sz w:val="15"/>
      <w:szCs w:val="15"/>
    </w:rPr>
  </w:style>
  <w:style w:type="character" w:customStyle="1" w:styleId="VerbatimStringTok">
    <w:name w:val="VerbatimStringTok"/>
    <w:basedOn w:val="VerbatimChar"/>
    <w:rPr>
      <w:rFonts w:ascii="Consolas" w:hAnsi="Consolas" w:cs="Consolas"/>
      <w:color w:val="4070A0"/>
      <w:sz w:val="15"/>
      <w:szCs w:val="15"/>
    </w:rPr>
  </w:style>
  <w:style w:type="character" w:customStyle="1" w:styleId="SpecialStringTok">
    <w:name w:val="SpecialStringTok"/>
    <w:basedOn w:val="VerbatimChar"/>
    <w:rPr>
      <w:rFonts w:ascii="Consolas" w:hAnsi="Consolas" w:cs="Consolas"/>
      <w:color w:val="BB6688"/>
      <w:sz w:val="15"/>
      <w:szCs w:val="15"/>
    </w:rPr>
  </w:style>
  <w:style w:type="character" w:customStyle="1" w:styleId="ImportTok">
    <w:name w:val="ImportTok"/>
    <w:basedOn w:val="VerbatimChar"/>
    <w:rPr>
      <w:rFonts w:ascii="Consolas" w:hAnsi="Consolas" w:cs="Consolas"/>
      <w:b/>
      <w:color w:val="008000"/>
      <w:sz w:val="15"/>
      <w:szCs w:val="15"/>
    </w:rPr>
  </w:style>
  <w:style w:type="character" w:customStyle="1" w:styleId="CommentTok">
    <w:name w:val="CommentTok"/>
    <w:basedOn w:val="VerbatimChar"/>
    <w:rPr>
      <w:rFonts w:ascii="Consolas" w:hAnsi="Consolas" w:cs="Consolas"/>
      <w:i/>
      <w:color w:val="60A0B0"/>
      <w:sz w:val="15"/>
      <w:szCs w:val="15"/>
    </w:rPr>
  </w:style>
  <w:style w:type="character" w:customStyle="1" w:styleId="DocumentationTok">
    <w:name w:val="DocumentationTok"/>
    <w:basedOn w:val="VerbatimChar"/>
    <w:rPr>
      <w:rFonts w:ascii="Consolas" w:hAnsi="Consolas" w:cs="Consolas"/>
      <w:i/>
      <w:color w:val="BA2121"/>
      <w:sz w:val="15"/>
      <w:szCs w:val="15"/>
    </w:rPr>
  </w:style>
  <w:style w:type="character" w:customStyle="1" w:styleId="AnnotationTok">
    <w:name w:val="AnnotationTok"/>
    <w:basedOn w:val="VerbatimChar"/>
    <w:rPr>
      <w:rFonts w:ascii="Consolas" w:hAnsi="Consolas" w:cs="Consolas"/>
      <w:b/>
      <w:i/>
      <w:color w:val="60A0B0"/>
      <w:sz w:val="15"/>
      <w:szCs w:val="15"/>
    </w:rPr>
  </w:style>
  <w:style w:type="character" w:customStyle="1" w:styleId="CommentVarTok">
    <w:name w:val="CommentVarTok"/>
    <w:basedOn w:val="VerbatimChar"/>
    <w:rPr>
      <w:rFonts w:ascii="Consolas" w:hAnsi="Consolas" w:cs="Consolas"/>
      <w:b/>
      <w:i/>
      <w:color w:val="60A0B0"/>
      <w:sz w:val="15"/>
      <w:szCs w:val="15"/>
    </w:rPr>
  </w:style>
  <w:style w:type="character" w:customStyle="1" w:styleId="OtherTok">
    <w:name w:val="OtherTok"/>
    <w:basedOn w:val="VerbatimChar"/>
    <w:rPr>
      <w:rFonts w:ascii="Consolas" w:hAnsi="Consolas" w:cs="Consolas"/>
      <w:color w:val="007020"/>
      <w:sz w:val="15"/>
      <w:szCs w:val="15"/>
    </w:rPr>
  </w:style>
  <w:style w:type="character" w:customStyle="1" w:styleId="FunctionTok">
    <w:name w:val="FunctionTok"/>
    <w:basedOn w:val="VerbatimChar"/>
    <w:rPr>
      <w:rFonts w:ascii="Consolas" w:hAnsi="Consolas" w:cs="Consolas"/>
      <w:color w:val="06287E"/>
      <w:sz w:val="15"/>
      <w:szCs w:val="15"/>
    </w:rPr>
  </w:style>
  <w:style w:type="character" w:customStyle="1" w:styleId="VariableTok">
    <w:name w:val="VariableTok"/>
    <w:basedOn w:val="VerbatimChar"/>
    <w:rPr>
      <w:rFonts w:ascii="Consolas" w:hAnsi="Consolas" w:cs="Consolas"/>
      <w:color w:val="19177C"/>
      <w:sz w:val="15"/>
      <w:szCs w:val="15"/>
    </w:rPr>
  </w:style>
  <w:style w:type="character" w:customStyle="1" w:styleId="ControlFlowTok">
    <w:name w:val="ControlFlowTok"/>
    <w:basedOn w:val="VerbatimChar"/>
    <w:rPr>
      <w:rFonts w:ascii="Consolas" w:hAnsi="Consolas" w:cs="Consolas"/>
      <w:b/>
      <w:color w:val="007020"/>
      <w:sz w:val="15"/>
      <w:szCs w:val="15"/>
    </w:rPr>
  </w:style>
  <w:style w:type="character" w:customStyle="1" w:styleId="OperatorTok">
    <w:name w:val="OperatorTok"/>
    <w:basedOn w:val="VerbatimChar"/>
    <w:rPr>
      <w:rFonts w:ascii="Consolas" w:hAnsi="Consolas" w:cs="Consolas"/>
      <w:color w:val="666666"/>
      <w:sz w:val="15"/>
      <w:szCs w:val="15"/>
    </w:rPr>
  </w:style>
  <w:style w:type="character" w:customStyle="1" w:styleId="BuiltInTok">
    <w:name w:val="BuiltInTok"/>
    <w:basedOn w:val="VerbatimChar"/>
    <w:rPr>
      <w:rFonts w:ascii="Consolas" w:hAnsi="Consolas" w:cs="Consolas"/>
      <w:color w:val="008000"/>
      <w:sz w:val="15"/>
      <w:szCs w:val="15"/>
    </w:rPr>
  </w:style>
  <w:style w:type="character" w:customStyle="1" w:styleId="ExtensionTok">
    <w:name w:val="ExtensionTok"/>
    <w:basedOn w:val="VerbatimChar"/>
    <w:rPr>
      <w:rFonts w:ascii="Consolas" w:hAnsi="Consolas" w:cs="Consolas"/>
      <w:sz w:val="15"/>
      <w:szCs w:val="15"/>
    </w:rPr>
  </w:style>
  <w:style w:type="character" w:customStyle="1" w:styleId="PreprocessorTok">
    <w:name w:val="PreprocessorTok"/>
    <w:basedOn w:val="VerbatimChar"/>
    <w:rPr>
      <w:rFonts w:ascii="Consolas" w:hAnsi="Consolas" w:cs="Consolas"/>
      <w:color w:val="BC7A00"/>
      <w:sz w:val="15"/>
      <w:szCs w:val="15"/>
    </w:rPr>
  </w:style>
  <w:style w:type="character" w:customStyle="1" w:styleId="AttributeTok">
    <w:name w:val="AttributeTok"/>
    <w:basedOn w:val="VerbatimChar"/>
    <w:rPr>
      <w:rFonts w:ascii="Consolas" w:hAnsi="Consolas" w:cs="Consolas"/>
      <w:color w:val="7D9029"/>
      <w:sz w:val="15"/>
      <w:szCs w:val="15"/>
    </w:rPr>
  </w:style>
  <w:style w:type="character" w:customStyle="1" w:styleId="RegionMarkerTok">
    <w:name w:val="RegionMarkerTok"/>
    <w:basedOn w:val="VerbatimChar"/>
    <w:rPr>
      <w:rFonts w:ascii="Consolas" w:hAnsi="Consolas" w:cs="Consolas"/>
      <w:sz w:val="15"/>
      <w:szCs w:val="15"/>
    </w:rPr>
  </w:style>
  <w:style w:type="character" w:customStyle="1" w:styleId="InformationTok">
    <w:name w:val="InformationTok"/>
    <w:basedOn w:val="VerbatimChar"/>
    <w:rPr>
      <w:rFonts w:ascii="Consolas" w:hAnsi="Consolas" w:cs="Consolas"/>
      <w:b/>
      <w:i/>
      <w:color w:val="60A0B0"/>
      <w:sz w:val="15"/>
      <w:szCs w:val="15"/>
    </w:rPr>
  </w:style>
  <w:style w:type="character" w:customStyle="1" w:styleId="WarningTok">
    <w:name w:val="WarningTok"/>
    <w:basedOn w:val="VerbatimChar"/>
    <w:rPr>
      <w:rFonts w:ascii="Consolas" w:hAnsi="Consolas" w:cs="Consolas"/>
      <w:b/>
      <w:i/>
      <w:color w:val="60A0B0"/>
      <w:sz w:val="15"/>
      <w:szCs w:val="15"/>
    </w:rPr>
  </w:style>
  <w:style w:type="character" w:customStyle="1" w:styleId="AlertTok">
    <w:name w:val="AlertTok"/>
    <w:basedOn w:val="VerbatimChar"/>
    <w:rPr>
      <w:rFonts w:ascii="Consolas" w:hAnsi="Consolas" w:cs="Consolas"/>
      <w:b/>
      <w:color w:val="FF0000"/>
      <w:sz w:val="15"/>
      <w:szCs w:val="15"/>
    </w:rPr>
  </w:style>
  <w:style w:type="character" w:customStyle="1" w:styleId="ErrorTok">
    <w:name w:val="ErrorTok"/>
    <w:basedOn w:val="VerbatimChar"/>
    <w:rPr>
      <w:rFonts w:ascii="Consolas" w:hAnsi="Consolas" w:cs="Consolas"/>
      <w:b/>
      <w:color w:val="FF0000"/>
      <w:sz w:val="15"/>
      <w:szCs w:val="15"/>
    </w:rPr>
  </w:style>
  <w:style w:type="character" w:customStyle="1" w:styleId="NormalTok">
    <w:name w:val="NormalTok"/>
    <w:basedOn w:val="VerbatimChar"/>
    <w:rPr>
      <w:rFonts w:ascii="Consolas" w:hAnsi="Consolas" w:cs="Consolas"/>
      <w:sz w:val="15"/>
      <w:szCs w:val="15"/>
    </w:rPr>
  </w:style>
  <w:style w:type="character" w:customStyle="1" w:styleId="Heading2Char">
    <w:name w:val="Heading 2 Char"/>
    <w:basedOn w:val="DefaultParagraphFont"/>
    <w:link w:val="Heading2"/>
    <w:uiPriority w:val="9"/>
    <w:rsid w:val="00F0342A"/>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1207</Words>
  <Characters>6881</Characters>
  <Application>Microsoft Office Word</Application>
  <DocSecurity>0</DocSecurity>
  <Lines>57</Lines>
  <Paragraphs>16</Paragraphs>
  <ScaleCrop>false</ScaleCrop>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Reflections - Week 2</dc:title>
  <dc:creator>CPEN 438 / CPEN 315 - Advanced Computer Architecture - University of Ghana, Legon</dc:creator>
  <cp:keywords/>
  <cp:lastModifiedBy>Rajeev Bhardwaj</cp:lastModifiedBy>
  <cp:revision>2</cp:revision>
  <dcterms:created xsi:type="dcterms:W3CDTF">2026-08-19T12:09:00Z</dcterms:created>
  <dcterms:modified xsi:type="dcterms:W3CDTF">2026-08-19T15:57:00Z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Project 3 - Hazard Watch</vt:lpwstr>
  </property>
  <property fmtid="{D5CDD505-2E9C-101B-9397-08002B2CF9AE}" pid="3" name="subtitle">
    <vt:lpwstr>Personal reflections, all four members</vt:lpwstr>
  </property>
</Properties>
</file>