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F983" w14:textId="77777777" w:rsidR="00D05026" w:rsidRDefault="00000000">
      <w:pPr>
        <w:pStyle w:val="Title"/>
      </w:pPr>
      <w:r>
        <w:t>Week 1 - Project Proposal</w:t>
      </w:r>
    </w:p>
    <w:p w14:paraId="7B7CF91E" w14:textId="77777777" w:rsidR="00D05026" w:rsidRDefault="00000000">
      <w:pPr>
        <w:pStyle w:val="Subtitle"/>
      </w:pPr>
      <w:r>
        <w:t>Proposal, requirements specification and AI-use declaration</w:t>
      </w:r>
    </w:p>
    <w:p w14:paraId="046DEEA3" w14:textId="232900F7" w:rsidR="00D05026" w:rsidRDefault="00000000">
      <w:pPr>
        <w:pStyle w:val="Author"/>
      </w:pPr>
      <w:r>
        <w:t>CPEN 438 - Advanced Computer Architecture - University of Ghana, Legon</w:t>
      </w:r>
    </w:p>
    <w:p w14:paraId="2AD90400" w14:textId="77777777" w:rsidR="00B62DFB" w:rsidRDefault="00B62DFB">
      <w:pPr>
        <w:pStyle w:val="Date"/>
      </w:pPr>
      <w:r>
        <w:t>GROUP 5</w:t>
      </w:r>
    </w:p>
    <w:p w14:paraId="086884B6" w14:textId="447A81F9" w:rsidR="00D05026" w:rsidRDefault="00000000">
      <w:pPr>
        <w:pStyle w:val="Date"/>
      </w:pPr>
      <w:r>
        <w:t>Project 3 - Hazard Watch</w:t>
      </w:r>
    </w:p>
    <w:tbl>
      <w:tblPr>
        <w:tblStyle w:val="Table"/>
        <w:tblW w:w="9070" w:type="dxa"/>
        <w:tblInd w:w="90" w:type="dxa"/>
        <w:tblLook w:val="0020" w:firstRow="1" w:lastRow="0" w:firstColumn="0" w:lastColumn="0" w:noHBand="0" w:noVBand="0"/>
      </w:tblPr>
      <w:tblGrid>
        <w:gridCol w:w="1911"/>
        <w:gridCol w:w="7159"/>
      </w:tblGrid>
      <w:tr w:rsidR="00D05026" w14:paraId="1E4A4465" w14:textId="77777777" w:rsidTr="00D05026">
        <w:trPr>
          <w:cnfStyle w:val="100000000000" w:firstRow="1" w:lastRow="0" w:firstColumn="0" w:lastColumn="0" w:oddVBand="0" w:evenVBand="0" w:oddHBand="0" w:evenHBand="0" w:firstRowFirstColumn="0" w:firstRowLastColumn="0" w:lastRowFirstColumn="0" w:lastRowLastColumn="0"/>
          <w:tblHeader/>
        </w:trPr>
        <w:tc>
          <w:tcPr>
            <w:tcW w:w="1908" w:type="dxa"/>
            <w:shd w:val="clear" w:color="auto" w:fill="D9E2F3"/>
          </w:tcPr>
          <w:p w14:paraId="2CB7F503" w14:textId="77777777" w:rsidR="00D05026" w:rsidRDefault="00000000">
            <w:pPr>
              <w:pStyle w:val="Compact"/>
            </w:pPr>
            <w:r>
              <w:rPr>
                <w:b/>
              </w:rPr>
              <w:t>Field</w:t>
            </w:r>
          </w:p>
        </w:tc>
        <w:tc>
          <w:tcPr>
            <w:tcW w:w="7161" w:type="dxa"/>
            <w:shd w:val="clear" w:color="auto" w:fill="D9E2F3"/>
          </w:tcPr>
          <w:p w14:paraId="283F4517" w14:textId="77777777" w:rsidR="00D05026" w:rsidRDefault="00000000">
            <w:pPr>
              <w:pStyle w:val="Compact"/>
            </w:pPr>
            <w:r>
              <w:rPr>
                <w:b/>
              </w:rPr>
              <w:t>Entry</w:t>
            </w:r>
          </w:p>
        </w:tc>
      </w:tr>
      <w:tr w:rsidR="00D05026" w14:paraId="6AFA6A75" w14:textId="77777777" w:rsidTr="00D05026">
        <w:tc>
          <w:tcPr>
            <w:tcW w:w="1908" w:type="dxa"/>
          </w:tcPr>
          <w:p w14:paraId="222EA3A5" w14:textId="77777777" w:rsidR="00D05026" w:rsidRDefault="00000000">
            <w:pPr>
              <w:pStyle w:val="Compact"/>
            </w:pPr>
            <w:r>
              <w:rPr>
                <w:b/>
                <w:bCs/>
              </w:rPr>
              <w:t>Project number &amp; title</w:t>
            </w:r>
          </w:p>
        </w:tc>
        <w:tc>
          <w:tcPr>
            <w:tcW w:w="7161" w:type="dxa"/>
          </w:tcPr>
          <w:p w14:paraId="7248B952" w14:textId="5907EE80" w:rsidR="00D05026" w:rsidRDefault="00000000">
            <w:pPr>
              <w:pStyle w:val="Compact"/>
            </w:pPr>
            <w:r>
              <w:t xml:space="preserve">3 </w:t>
            </w:r>
            <w:r w:rsidR="002114C5">
              <w:rPr>
                <w:lang w:val="en-US"/>
              </w:rPr>
              <w:t xml:space="preserve">, </w:t>
            </w:r>
            <w:r>
              <w:t>Hazard Watch: Forwarding, Stalling and Branch Resolution in a COCOBOD Yield-Estimation Datapath</w:t>
            </w:r>
          </w:p>
        </w:tc>
      </w:tr>
      <w:tr w:rsidR="00D05026" w14:paraId="0760E860" w14:textId="77777777" w:rsidTr="00D05026">
        <w:tc>
          <w:tcPr>
            <w:tcW w:w="1908" w:type="dxa"/>
          </w:tcPr>
          <w:p w14:paraId="23D30B75" w14:textId="77777777" w:rsidR="00D05026" w:rsidRDefault="00000000">
            <w:pPr>
              <w:pStyle w:val="Compact"/>
            </w:pPr>
            <w:r>
              <w:rPr>
                <w:b/>
                <w:bCs/>
              </w:rPr>
              <w:t>Team members &amp; roles</w:t>
            </w:r>
            <w:r>
              <w:t xml:space="preserve"> (Part I §9)</w:t>
            </w:r>
          </w:p>
        </w:tc>
        <w:tc>
          <w:tcPr>
            <w:tcW w:w="7161" w:type="dxa"/>
          </w:tcPr>
          <w:p w14:paraId="726B5234" w14:textId="582E86FF" w:rsidR="00D05026" w:rsidRDefault="00000000">
            <w:pPr>
              <w:pStyle w:val="Compact"/>
            </w:pPr>
            <w:r w:rsidRPr="00B62DFB">
              <w:rPr>
                <w:b/>
                <w:bCs/>
              </w:rPr>
              <w:t xml:space="preserve">Hardware Lead:  </w:t>
            </w:r>
            <w:proofErr w:type="spellStart"/>
            <w:r w:rsidR="00C01281" w:rsidRPr="00B62DFB">
              <w:rPr>
                <w:b/>
                <w:bCs/>
                <w:lang w:val="en-US"/>
              </w:rPr>
              <w:t>Nyavor</w:t>
            </w:r>
            <w:proofErr w:type="spellEnd"/>
            <w:r w:rsidR="00C01281" w:rsidRPr="00B62DFB">
              <w:rPr>
                <w:b/>
                <w:bCs/>
                <w:lang w:val="en-US"/>
              </w:rPr>
              <w:t xml:space="preserve"> Cyril</w:t>
            </w:r>
            <w:r w:rsidR="00B62DFB" w:rsidRPr="00B62DFB">
              <w:rPr>
                <w:b/>
                <w:bCs/>
                <w:lang w:val="en-US"/>
              </w:rPr>
              <w:t>- 11023595</w:t>
            </w:r>
            <w:r w:rsidR="00B62DFB">
              <w:rPr>
                <w:lang w:val="en-US"/>
              </w:rPr>
              <w:t xml:space="preserve">, </w:t>
            </w:r>
            <w:r>
              <w:t>owns the forwarding-unit and hazard-detection-unit Logisim subcircuits; must trace a forwarding decision live at the defence.</w:t>
            </w:r>
          </w:p>
          <w:p w14:paraId="1A3D98C4" w14:textId="39B8067B" w:rsidR="00D05026" w:rsidRDefault="00000000">
            <w:pPr>
              <w:pStyle w:val="Compact"/>
            </w:pPr>
            <w:r w:rsidRPr="00B62DFB">
              <w:rPr>
                <w:b/>
                <w:bCs/>
              </w:rPr>
              <w:t xml:space="preserve">C/C++ Lead: </w:t>
            </w:r>
            <w:r w:rsidR="00C01281" w:rsidRPr="00B62DFB">
              <w:rPr>
                <w:b/>
                <w:bCs/>
                <w:lang w:val="en-US"/>
              </w:rPr>
              <w:t>P</w:t>
            </w:r>
            <w:r w:rsidR="00C01281" w:rsidRPr="00B62DFB">
              <w:rPr>
                <w:b/>
                <w:bCs/>
              </w:rPr>
              <w:t>r</w:t>
            </w:r>
            <w:proofErr w:type="spellStart"/>
            <w:r w:rsidR="00C01281" w:rsidRPr="00B62DFB">
              <w:rPr>
                <w:b/>
                <w:bCs/>
                <w:lang w:val="en-US"/>
              </w:rPr>
              <w:t>i</w:t>
            </w:r>
            <w:proofErr w:type="spellEnd"/>
            <w:r w:rsidR="00C01281" w:rsidRPr="00B62DFB">
              <w:rPr>
                <w:b/>
                <w:bCs/>
              </w:rPr>
              <w:t>n</w:t>
            </w:r>
            <w:r w:rsidR="00C01281" w:rsidRPr="00B62DFB">
              <w:rPr>
                <w:b/>
                <w:bCs/>
                <w:lang w:val="en-US"/>
              </w:rPr>
              <w:t>c</w:t>
            </w:r>
            <w:r w:rsidR="00C01281" w:rsidRPr="00B62DFB">
              <w:rPr>
                <w:b/>
                <w:bCs/>
              </w:rPr>
              <w:t>e</w:t>
            </w:r>
            <w:r w:rsidR="00C01281" w:rsidRPr="00B62DFB">
              <w:rPr>
                <w:b/>
                <w:bCs/>
                <w:lang w:val="en-US"/>
              </w:rPr>
              <w:t xml:space="preserve"> </w:t>
            </w:r>
            <w:r w:rsidR="00C01281" w:rsidRPr="00B62DFB">
              <w:rPr>
                <w:b/>
                <w:bCs/>
              </w:rPr>
              <w:t>P</w:t>
            </w:r>
            <w:r w:rsidR="00C01281" w:rsidRPr="00B62DFB">
              <w:rPr>
                <w:b/>
                <w:bCs/>
                <w:lang w:val="en-US"/>
              </w:rPr>
              <w:t>h</w:t>
            </w:r>
            <w:r w:rsidR="00C01281" w:rsidRPr="00B62DFB">
              <w:rPr>
                <w:b/>
                <w:bCs/>
              </w:rPr>
              <w:t>i</w:t>
            </w:r>
            <w:r w:rsidR="00C01281" w:rsidRPr="00B62DFB">
              <w:rPr>
                <w:b/>
                <w:bCs/>
                <w:lang w:val="en-US"/>
              </w:rPr>
              <w:t>l</w:t>
            </w:r>
            <w:r w:rsidR="00C01281" w:rsidRPr="00B62DFB">
              <w:rPr>
                <w:b/>
                <w:bCs/>
              </w:rPr>
              <w:t>i</w:t>
            </w:r>
            <w:r w:rsidR="00C01281" w:rsidRPr="00B62DFB">
              <w:rPr>
                <w:b/>
                <w:bCs/>
                <w:lang w:val="en-US"/>
              </w:rPr>
              <w:t>p</w:t>
            </w:r>
            <w:r w:rsidR="00C01281" w:rsidRPr="00B62DFB">
              <w:rPr>
                <w:b/>
                <w:bCs/>
              </w:rPr>
              <w:t>s</w:t>
            </w:r>
            <w:r w:rsidR="00B62DFB" w:rsidRPr="00B62DFB">
              <w:rPr>
                <w:b/>
                <w:bCs/>
                <w:lang w:val="en-US"/>
              </w:rPr>
              <w:t>- 11218951</w:t>
            </w:r>
            <w:r>
              <w:t xml:space="preserve"> </w:t>
            </w:r>
            <w:r w:rsidR="00C01281">
              <w:rPr>
                <w:lang w:val="en-US"/>
              </w:rPr>
              <w:t>,</w:t>
            </w:r>
            <w:r>
              <w:t xml:space="preserve"> owns the golden simulator's hazard logic; must explain why a given hazard was or was not forwardable.</w:t>
            </w:r>
          </w:p>
          <w:p w14:paraId="481A650E" w14:textId="146ED0C5" w:rsidR="00D05026" w:rsidRDefault="00000000">
            <w:pPr>
              <w:pStyle w:val="Compact"/>
            </w:pPr>
            <w:r w:rsidRPr="00B62DFB">
              <w:rPr>
                <w:b/>
                <w:bCs/>
              </w:rPr>
              <w:t>Test/Docs Lead:</w:t>
            </w:r>
            <w:r w:rsidR="002114C5" w:rsidRPr="00B62DFB">
              <w:rPr>
                <w:b/>
                <w:bCs/>
                <w:lang w:val="en-US"/>
              </w:rPr>
              <w:t xml:space="preserve"> </w:t>
            </w:r>
            <w:r w:rsidR="002114C5" w:rsidRPr="00B62DFB">
              <w:rPr>
                <w:b/>
                <w:bCs/>
              </w:rPr>
              <w:t>S</w:t>
            </w:r>
            <w:r w:rsidR="002114C5" w:rsidRPr="00B62DFB">
              <w:rPr>
                <w:b/>
                <w:bCs/>
                <w:lang w:val="en-US"/>
              </w:rPr>
              <w:t>a</w:t>
            </w:r>
            <w:r w:rsidR="002114C5" w:rsidRPr="00B62DFB">
              <w:rPr>
                <w:b/>
                <w:bCs/>
              </w:rPr>
              <w:t>m</w:t>
            </w:r>
            <w:proofErr w:type="spellStart"/>
            <w:r w:rsidR="002114C5" w:rsidRPr="00B62DFB">
              <w:rPr>
                <w:b/>
                <w:bCs/>
                <w:lang w:val="en-US"/>
              </w:rPr>
              <w:t>i</w:t>
            </w:r>
            <w:proofErr w:type="spellEnd"/>
            <w:r w:rsidR="002114C5" w:rsidRPr="00B62DFB">
              <w:rPr>
                <w:b/>
                <w:bCs/>
              </w:rPr>
              <w:t>a</w:t>
            </w:r>
            <w:r w:rsidR="002114C5" w:rsidRPr="00B62DFB">
              <w:rPr>
                <w:b/>
                <w:bCs/>
                <w:lang w:val="en-US"/>
              </w:rPr>
              <w:t xml:space="preserve"> </w:t>
            </w:r>
            <w:r w:rsidR="002114C5" w:rsidRPr="00B62DFB">
              <w:rPr>
                <w:b/>
                <w:bCs/>
              </w:rPr>
              <w:t>S</w:t>
            </w:r>
            <w:r w:rsidR="002114C5" w:rsidRPr="00B62DFB">
              <w:rPr>
                <w:b/>
                <w:bCs/>
                <w:lang w:val="en-US"/>
              </w:rPr>
              <w:t>o</w:t>
            </w:r>
            <w:r w:rsidR="002114C5" w:rsidRPr="00B62DFB">
              <w:rPr>
                <w:b/>
                <w:bCs/>
              </w:rPr>
              <w:t>l</w:t>
            </w:r>
            <w:r w:rsidR="002114C5" w:rsidRPr="00B62DFB">
              <w:rPr>
                <w:b/>
                <w:bCs/>
                <w:lang w:val="en-US"/>
              </w:rPr>
              <w:t>e</w:t>
            </w:r>
            <w:r w:rsidR="002114C5" w:rsidRPr="00B62DFB">
              <w:rPr>
                <w:b/>
                <w:bCs/>
              </w:rPr>
              <w:t>i</w:t>
            </w:r>
            <w:r w:rsidR="002114C5" w:rsidRPr="00B62DFB">
              <w:rPr>
                <w:b/>
                <w:bCs/>
                <w:lang w:val="en-US"/>
              </w:rPr>
              <w:t>m</w:t>
            </w:r>
            <w:r w:rsidR="002114C5" w:rsidRPr="00B62DFB">
              <w:rPr>
                <w:b/>
                <w:bCs/>
              </w:rPr>
              <w:t>a</w:t>
            </w:r>
            <w:r w:rsidR="002114C5" w:rsidRPr="00B62DFB">
              <w:rPr>
                <w:b/>
                <w:bCs/>
                <w:lang w:val="en-US"/>
              </w:rPr>
              <w:t>n</w:t>
            </w:r>
            <w:r w:rsidR="002114C5" w:rsidRPr="00B62DFB">
              <w:rPr>
                <w:b/>
                <w:bCs/>
              </w:rPr>
              <w:t>i</w:t>
            </w:r>
            <w:r w:rsidR="00B62DFB" w:rsidRPr="00B62DFB">
              <w:rPr>
                <w:b/>
                <w:bCs/>
                <w:lang w:val="en-US"/>
              </w:rPr>
              <w:t>- 11010910</w:t>
            </w:r>
            <w:r w:rsidR="00C01281">
              <w:rPr>
                <w:rStyle w:val="VerbatimChar"/>
                <w:rFonts w:ascii="Calibri" w:hAnsi="Calibri" w:cs="Calibri"/>
                <w:sz w:val="21"/>
                <w:szCs w:val="21"/>
                <w:lang w:val="en-US"/>
              </w:rPr>
              <w:t>,</w:t>
            </w:r>
            <w:r>
              <w:t xml:space="preserve"> owns the hand-derived hazard test vectors and the hazard-classification table.</w:t>
            </w:r>
          </w:p>
          <w:p w14:paraId="37A3995C" w14:textId="75FE45CF" w:rsidR="00D05026" w:rsidRDefault="00000000">
            <w:pPr>
              <w:pStyle w:val="Compact"/>
            </w:pPr>
            <w:r w:rsidRPr="00B62DFB">
              <w:rPr>
                <w:b/>
                <w:bCs/>
              </w:rPr>
              <w:t xml:space="preserve">Project Manager: </w:t>
            </w:r>
            <w:r w:rsidR="00C01281" w:rsidRPr="00B62DFB">
              <w:rPr>
                <w:b/>
                <w:bCs/>
                <w:lang w:val="en-US"/>
              </w:rPr>
              <w:t>I</w:t>
            </w:r>
            <w:r w:rsidR="00C01281" w:rsidRPr="00B62DFB">
              <w:rPr>
                <w:b/>
                <w:bCs/>
              </w:rPr>
              <w:t>s</w:t>
            </w:r>
            <w:r w:rsidR="00C01281" w:rsidRPr="00B62DFB">
              <w:rPr>
                <w:b/>
                <w:bCs/>
                <w:lang w:val="en-US"/>
              </w:rPr>
              <w:t>h</w:t>
            </w:r>
            <w:r w:rsidR="00C01281" w:rsidRPr="00B62DFB">
              <w:rPr>
                <w:b/>
                <w:bCs/>
              </w:rPr>
              <w:t>a</w:t>
            </w:r>
            <w:r w:rsidR="00C01281" w:rsidRPr="00B62DFB">
              <w:rPr>
                <w:b/>
                <w:bCs/>
                <w:lang w:val="en-US"/>
              </w:rPr>
              <w:t>a</w:t>
            </w:r>
            <w:r w:rsidR="00C01281" w:rsidRPr="00B62DFB">
              <w:rPr>
                <w:b/>
                <w:bCs/>
              </w:rPr>
              <w:t>n</w:t>
            </w:r>
            <w:r w:rsidR="00C01281" w:rsidRPr="00B62DFB">
              <w:rPr>
                <w:b/>
                <w:bCs/>
                <w:lang w:val="en-US"/>
              </w:rPr>
              <w:t xml:space="preserve"> </w:t>
            </w:r>
            <w:r w:rsidR="00C01281" w:rsidRPr="00B62DFB">
              <w:rPr>
                <w:b/>
                <w:bCs/>
              </w:rPr>
              <w:t>B</w:t>
            </w:r>
            <w:r w:rsidR="00C01281" w:rsidRPr="00B62DFB">
              <w:rPr>
                <w:b/>
                <w:bCs/>
                <w:lang w:val="en-US"/>
              </w:rPr>
              <w:t>h</w:t>
            </w:r>
            <w:r w:rsidR="00C01281" w:rsidRPr="00B62DFB">
              <w:rPr>
                <w:b/>
                <w:bCs/>
              </w:rPr>
              <w:t>a</w:t>
            </w:r>
            <w:r w:rsidR="00C01281" w:rsidRPr="00B62DFB">
              <w:rPr>
                <w:b/>
                <w:bCs/>
                <w:lang w:val="en-US"/>
              </w:rPr>
              <w:t>r</w:t>
            </w:r>
            <w:r w:rsidR="00C01281" w:rsidRPr="00B62DFB">
              <w:rPr>
                <w:b/>
                <w:bCs/>
              </w:rPr>
              <w:t>d</w:t>
            </w:r>
            <w:r w:rsidR="00C01281" w:rsidRPr="00B62DFB">
              <w:rPr>
                <w:b/>
                <w:bCs/>
                <w:lang w:val="en-US"/>
              </w:rPr>
              <w:t>w</w:t>
            </w:r>
            <w:r w:rsidR="00C01281" w:rsidRPr="00B62DFB">
              <w:rPr>
                <w:b/>
                <w:bCs/>
              </w:rPr>
              <w:t>a</w:t>
            </w:r>
            <w:r w:rsidR="00C01281" w:rsidRPr="00B62DFB">
              <w:rPr>
                <w:b/>
                <w:bCs/>
                <w:lang w:val="en-US"/>
              </w:rPr>
              <w:t>j</w:t>
            </w:r>
            <w:r w:rsidR="00B62DFB" w:rsidRPr="00B62DFB">
              <w:rPr>
                <w:b/>
                <w:bCs/>
                <w:lang w:val="en-US"/>
              </w:rPr>
              <w:t>- 11004272</w:t>
            </w:r>
            <w:r w:rsidR="002114C5" w:rsidRPr="00B62DFB">
              <w:rPr>
                <w:b/>
                <w:bCs/>
                <w:lang w:val="en-US"/>
              </w:rPr>
              <w:t>,</w:t>
            </w:r>
            <w:r>
              <w:t xml:space="preserve"> repo, integration branch, weekly reports, defence chairing.</w:t>
            </w:r>
          </w:p>
          <w:p w14:paraId="1A3F3F02" w14:textId="7454DABD" w:rsidR="00D05026" w:rsidRDefault="00000000">
            <w:pPr>
              <w:pStyle w:val="Compact"/>
            </w:pPr>
            <w:r>
              <w:t>Python/MATLAB Lead:</w:t>
            </w:r>
            <w:r w:rsidR="00C01281">
              <w:rPr>
                <w:rStyle w:val="VerbatimChar"/>
                <w:lang w:val="en-US"/>
              </w:rPr>
              <w:t xml:space="preserve"> </w:t>
            </w:r>
            <w:r w:rsidR="002114C5">
              <w:rPr>
                <w:lang w:val="en-US"/>
              </w:rPr>
              <w:t>I</w:t>
            </w:r>
            <w:r w:rsidR="002114C5">
              <w:t>s</w:t>
            </w:r>
            <w:r w:rsidR="002114C5">
              <w:rPr>
                <w:lang w:val="en-US"/>
              </w:rPr>
              <w:t>h</w:t>
            </w:r>
            <w:r w:rsidR="002114C5">
              <w:t>a</w:t>
            </w:r>
            <w:r w:rsidR="002114C5">
              <w:rPr>
                <w:lang w:val="en-US"/>
              </w:rPr>
              <w:t>a</w:t>
            </w:r>
            <w:r w:rsidR="002114C5">
              <w:t>n</w:t>
            </w:r>
            <w:r w:rsidR="002114C5">
              <w:rPr>
                <w:lang w:val="en-US"/>
              </w:rPr>
              <w:t xml:space="preserve"> </w:t>
            </w:r>
            <w:r w:rsidR="002114C5">
              <w:t>B</w:t>
            </w:r>
            <w:r w:rsidR="002114C5">
              <w:rPr>
                <w:lang w:val="en-US"/>
              </w:rPr>
              <w:t>h</w:t>
            </w:r>
            <w:r w:rsidR="002114C5">
              <w:t>a</w:t>
            </w:r>
            <w:r w:rsidR="002114C5">
              <w:rPr>
                <w:lang w:val="en-US"/>
              </w:rPr>
              <w:t>r</w:t>
            </w:r>
            <w:r w:rsidR="002114C5">
              <w:t>d</w:t>
            </w:r>
            <w:r w:rsidR="002114C5">
              <w:rPr>
                <w:lang w:val="en-US"/>
              </w:rPr>
              <w:t>w</w:t>
            </w:r>
            <w:r w:rsidR="002114C5">
              <w:t>a</w:t>
            </w:r>
            <w:r w:rsidR="002114C5">
              <w:rPr>
                <w:lang w:val="en-US"/>
              </w:rPr>
              <w:t>j</w:t>
            </w:r>
            <w:r w:rsidR="002114C5">
              <w:t xml:space="preserve"> </w:t>
            </w:r>
            <w:r w:rsidR="002114C5">
              <w:rPr>
                <w:lang w:val="en-US"/>
              </w:rPr>
              <w:t>,</w:t>
            </w:r>
            <w:r>
              <w:t xml:space="preserve">owns </w:t>
            </w:r>
            <w:r>
              <w:rPr>
                <w:rStyle w:val="VerbatimChar"/>
              </w:rPr>
              <w:t>gen_cocobod_instrs.py</w:t>
            </w:r>
            <w:r>
              <w:t xml:space="preserve"> and the Week 3 </w:t>
            </w:r>
            <w:r>
              <w:rPr>
                <w:rStyle w:val="VerbatimChar"/>
              </w:rPr>
              <w:t>stall_cpi_model.m</w:t>
            </w:r>
            <w:r>
              <w:t>.</w:t>
            </w:r>
          </w:p>
        </w:tc>
      </w:tr>
      <w:tr w:rsidR="00D05026" w14:paraId="2BD137EC" w14:textId="77777777" w:rsidTr="00D05026">
        <w:tc>
          <w:tcPr>
            <w:tcW w:w="1908" w:type="dxa"/>
          </w:tcPr>
          <w:p w14:paraId="2BBF6AA4" w14:textId="77777777" w:rsidR="00D05026" w:rsidRDefault="00000000">
            <w:pPr>
              <w:pStyle w:val="Compact"/>
            </w:pPr>
            <w:r>
              <w:rPr>
                <w:b/>
                <w:bCs/>
              </w:rPr>
              <w:t>Assigned seed</w:t>
            </w:r>
          </w:p>
        </w:tc>
        <w:tc>
          <w:tcPr>
            <w:tcW w:w="7161" w:type="dxa"/>
          </w:tcPr>
          <w:p w14:paraId="696ADF28" w14:textId="77777777" w:rsidR="00D05026" w:rsidRDefault="00000000">
            <w:pPr>
              <w:pStyle w:val="Compact"/>
            </w:pPr>
            <w:r>
              <w:rPr>
                <w:b/>
                <w:bCs/>
              </w:rPr>
              <w:t>Not yet issued at the time of this submission.</w:t>
            </w:r>
            <w:r>
              <w:t xml:space="preserve"> Part V §5 assigns the seed at project allocation; ours had not been received when the Weeks 1–2 deliverables were due. Rather than submit results generated from an undocumented number, we are using a declared </w:t>
            </w:r>
            <w:r>
              <w:rPr>
                <w:b/>
                <w:bCs/>
              </w:rPr>
              <w:t>provisional seed</w:t>
            </w:r>
            <w:r>
              <w:t>.</w:t>
            </w:r>
          </w:p>
          <w:p w14:paraId="43FFE99B" w14:textId="77777777" w:rsidR="00D05026" w:rsidRDefault="00000000">
            <w:pPr>
              <w:pStyle w:val="Compact"/>
            </w:pPr>
            <w:r>
              <w:rPr>
                <w:b/>
                <w:bCs/>
              </w:rPr>
              <w:t xml:space="preserve">Provisional seed: </w:t>
            </w:r>
            <w:r>
              <w:rPr>
                <w:rStyle w:val="VerbatimChar"/>
                <w:b/>
                <w:bCs/>
              </w:rPr>
              <w:t>16993</w:t>
            </w:r>
          </w:p>
          <w:p w14:paraId="4BB1C49C" w14:textId="77777777" w:rsidR="00D05026" w:rsidRDefault="00000000">
            <w:pPr>
              <w:pStyle w:val="Compact"/>
            </w:pPr>
            <w:r>
              <w:rPr>
                <w:i/>
                <w:iCs/>
              </w:rPr>
              <w:t>Derivation.</w:t>
            </w:r>
            <w:r>
              <w:t xml:space="preserve"> Drawn once on 19 August 2026 from the operating system's cryptographic entropy source and recorded here verbatim; it has not been re-drawn or selected from several candidates:</w:t>
            </w:r>
          </w:p>
          <w:p w14:paraId="7DD084B0" w14:textId="77777777" w:rsidR="00D05026" w:rsidRDefault="00000000">
            <w:pPr>
              <w:pStyle w:val="Compact"/>
            </w:pPr>
            <w:r>
              <w:rPr>
                <w:rStyle w:val="VerbatimChar"/>
              </w:rPr>
              <w:t>python3 -c "import random; print(random.SystemRandom().randrange(10000, 100000))"</w:t>
            </w:r>
          </w:p>
          <w:p w14:paraId="437F42FB" w14:textId="77777777" w:rsidR="00D05026" w:rsidRDefault="00000000">
            <w:pPr>
              <w:pStyle w:val="Compact"/>
            </w:pPr>
            <w:r>
              <w:t>Because the program generator is deterministic given the seed, recording the drawn value is sufficient for full reproducibility — the draw itself does not need to be repeatable.</w:t>
            </w:r>
          </w:p>
          <w:p w14:paraId="04397885" w14:textId="77777777" w:rsidR="00D05026" w:rsidRDefault="00000000">
            <w:pPr>
              <w:pStyle w:val="Compact"/>
            </w:pPr>
            <w:r>
              <w:t xml:space="preserve">This satisfies the property the integrity framework actually depends on — that no two teams' instances coincide — while being fully reproducible by the marker (the generator is deterministic given the seed) and visibly labelled as unofficial. On receipt of the official seed, </w:t>
            </w:r>
            <w:r>
              <w:rPr>
                <w:rStyle w:val="VerbatimChar"/>
              </w:rPr>
              <w:t xml:space="preserve">python3 rebuild.py --seed &lt;official&gt; --status </w:t>
            </w:r>
            <w:r>
              <w:rPr>
                <w:rStyle w:val="VerbatimChar"/>
              </w:rPr>
              <w:lastRenderedPageBreak/>
              <w:t>official</w:t>
            </w:r>
            <w:r>
              <w:t xml:space="preserve"> regenerates the program, reruns the simulator and test vectors, and rewrites every number in the Week 2 report in a single command.</w:t>
            </w:r>
          </w:p>
        </w:tc>
      </w:tr>
      <w:tr w:rsidR="00D05026" w14:paraId="15902235" w14:textId="77777777" w:rsidTr="00D05026">
        <w:tc>
          <w:tcPr>
            <w:tcW w:w="1908" w:type="dxa"/>
          </w:tcPr>
          <w:p w14:paraId="145B15A7" w14:textId="77777777" w:rsidR="00D05026" w:rsidRDefault="00000000">
            <w:pPr>
              <w:pStyle w:val="Compact"/>
            </w:pPr>
            <w:r>
              <w:rPr>
                <w:b/>
                <w:bCs/>
              </w:rPr>
              <w:lastRenderedPageBreak/>
              <w:t>Chosen papers for review</w:t>
            </w:r>
          </w:p>
        </w:tc>
        <w:tc>
          <w:tcPr>
            <w:tcW w:w="7161" w:type="dxa"/>
          </w:tcPr>
          <w:p w14:paraId="055A74FF" w14:textId="77777777" w:rsidR="00D05026" w:rsidRDefault="00000000">
            <w:pPr>
              <w:pStyle w:val="Compact"/>
            </w:pPr>
            <w:r>
              <w:t xml:space="preserve">Smith &amp; Sohi, "The Microarchitecture of Superscalar Processors," </w:t>
            </w:r>
            <w:r>
              <w:rPr>
                <w:i/>
                <w:iCs/>
              </w:rPr>
              <w:t>Proc. IEEE</w:t>
            </w:r>
            <w:r>
              <w:t xml:space="preserve"> 83(12), 1995, 1609–1624, DOI 10.1109/5.476078.</w:t>
            </w:r>
          </w:p>
          <w:p w14:paraId="7A471F7E" w14:textId="77777777" w:rsidR="00D05026" w:rsidRDefault="00000000">
            <w:pPr>
              <w:pStyle w:val="Compact"/>
            </w:pPr>
            <w:r>
              <w:t xml:space="preserve">Patterson &amp; Séquin, "RISC I: A Reduced Instruction Set VLSI Computer," </w:t>
            </w:r>
            <w:r>
              <w:rPr>
                <w:i/>
                <w:iCs/>
              </w:rPr>
              <w:t>ISCA '81</w:t>
            </w:r>
            <w:r>
              <w:t>, 443–457, DOI 10.1145/285930.285981.</w:t>
            </w:r>
          </w:p>
        </w:tc>
      </w:tr>
      <w:tr w:rsidR="00D05026" w14:paraId="737480C2" w14:textId="77777777" w:rsidTr="00D05026">
        <w:tc>
          <w:tcPr>
            <w:tcW w:w="1908" w:type="dxa"/>
          </w:tcPr>
          <w:p w14:paraId="557D016D" w14:textId="77777777" w:rsidR="00D05026" w:rsidRDefault="00000000">
            <w:pPr>
              <w:pStyle w:val="Compact"/>
            </w:pPr>
            <w:r>
              <w:rPr>
                <w:b/>
                <w:bCs/>
              </w:rPr>
              <w:t>Problem statement</w:t>
            </w:r>
            <w:r>
              <w:t xml:space="preserve"> (team's own restatement)</w:t>
            </w:r>
          </w:p>
        </w:tc>
        <w:tc>
          <w:tcPr>
            <w:tcW w:w="7161" w:type="dxa"/>
          </w:tcPr>
          <w:p w14:paraId="37AC98F3" w14:textId="1FEC2554" w:rsidR="00D05026" w:rsidRDefault="00000000">
            <w:pPr>
              <w:pStyle w:val="Compact"/>
            </w:pPr>
            <w:r>
              <w:t xml:space="preserve">The Project-2 GhanaCore-5 pipeline is correct only because its assembler pads every dependence with NOPs </w:t>
            </w:r>
            <w:r w:rsidR="00C01281">
              <w:rPr>
                <w:lang w:val="en-US"/>
              </w:rPr>
              <w:t>,</w:t>
            </w:r>
            <w:r>
              <w:t xml:space="preserve"> a software fix for a hardware problem that inflates code size and cycle count in direct proportion to how dependence-dense the program is. Our COCOBOD regional yield-estimation routine is deliberately dependence-dense, so it pays that cost heavily. We will add three pieces of hardware</w:t>
            </w:r>
            <w:r w:rsidR="00C01281">
              <w:rPr>
                <w:lang w:val="en-US"/>
              </w:rPr>
              <w:t xml:space="preserve"> which include, </w:t>
            </w:r>
            <w:r>
              <w:t xml:space="preserve">a forwarding unit, a hazard-detection unit, and an ID-stage branch comparator with flush logic  that resolve those dependences in hardware at run time, and we will quantify exactly how much each one buys. Specifically we will establish which hazards forwarding </w:t>
            </w:r>
            <w:r>
              <w:rPr>
                <w:i/>
                <w:iCs/>
              </w:rPr>
              <w:t>can</w:t>
            </w:r>
            <w:r>
              <w:t xml:space="preserve"> eliminate entirely, which it provably cannot, and what the residual cost of the ones it cannot is.</w:t>
            </w:r>
          </w:p>
        </w:tc>
      </w:tr>
      <w:tr w:rsidR="00D05026" w14:paraId="19A084C3" w14:textId="77777777" w:rsidTr="00D05026">
        <w:tc>
          <w:tcPr>
            <w:tcW w:w="1908" w:type="dxa"/>
          </w:tcPr>
          <w:p w14:paraId="577C948D" w14:textId="77777777" w:rsidR="00D05026" w:rsidRDefault="00000000">
            <w:pPr>
              <w:pStyle w:val="Compact"/>
            </w:pPr>
            <w:r>
              <w:rPr>
                <w:b/>
                <w:bCs/>
              </w:rPr>
              <w:t>Hardware/software configuration</w:t>
            </w:r>
          </w:p>
        </w:tc>
        <w:tc>
          <w:tcPr>
            <w:tcW w:w="7161" w:type="dxa"/>
          </w:tcPr>
          <w:p w14:paraId="615BCBA6" w14:textId="53D442C9" w:rsidR="00D05026" w:rsidRDefault="00000000">
            <w:pPr>
              <w:pStyle w:val="Compact"/>
            </w:pPr>
            <w:r>
              <w:t xml:space="preserve">Logisim Evolution </w:t>
            </w:r>
            <w:r w:rsidR="00C01281">
              <w:rPr>
                <w:rStyle w:val="VerbatimChar"/>
                <w:lang w:val="en-US"/>
              </w:rPr>
              <w:t>,</w:t>
            </w:r>
            <w:r>
              <w:t xml:space="preserve">GCC ; Python 3.12; MATLAB (Week 3, CPI model). Golden simulator </w:t>
            </w:r>
          </w:p>
        </w:tc>
      </w:tr>
      <w:tr w:rsidR="00D05026" w14:paraId="49A810C0" w14:textId="77777777" w:rsidTr="00D05026">
        <w:tc>
          <w:tcPr>
            <w:tcW w:w="1908" w:type="dxa"/>
          </w:tcPr>
          <w:p w14:paraId="3E11DE11" w14:textId="77777777" w:rsidR="00D05026" w:rsidRDefault="00000000">
            <w:pPr>
              <w:pStyle w:val="Compact"/>
            </w:pPr>
            <w:r>
              <w:rPr>
                <w:b/>
                <w:bCs/>
              </w:rPr>
              <w:t>Planned innovation-challenge idea</w:t>
            </w:r>
            <w:r>
              <w:t xml:space="preserve"> (revisable by Week 3)</w:t>
            </w:r>
          </w:p>
        </w:tc>
        <w:tc>
          <w:tcPr>
            <w:tcW w:w="7161" w:type="dxa"/>
          </w:tcPr>
          <w:p w14:paraId="4E8118FA" w14:textId="55A2BA88" w:rsidR="00D05026" w:rsidRDefault="00000000">
            <w:pPr>
              <w:pStyle w:val="Compact"/>
            </w:pPr>
            <w:r>
              <w:t>A forwarding-aware instruction scheduler that reorders the COCOBOD routine to convert load-use hazards into forwardable RAW hazards wherever legal</w:t>
            </w:r>
            <w:r w:rsidR="00C01281">
              <w:rPr>
                <w:lang w:val="en-US"/>
              </w:rPr>
              <w:t>,</w:t>
            </w:r>
            <w:r>
              <w:t xml:space="preserve"> i.e. move an independent instruction into the slot immediately after each load. Evaluated by stall count before versus after, with a proof obligation that the reordering preserves program semantics (no register redefined between the moved instruction's producers and consumers). Our current program has exactly one load-use hazard and one obviously-movable independent instruction, so we expect a measurable, if small, result and a clean argument.</w:t>
            </w:r>
          </w:p>
        </w:tc>
      </w:tr>
      <w:tr w:rsidR="00D05026" w14:paraId="4B4A665B" w14:textId="77777777" w:rsidTr="00D05026">
        <w:tc>
          <w:tcPr>
            <w:tcW w:w="1908" w:type="dxa"/>
          </w:tcPr>
          <w:p w14:paraId="4F977F19" w14:textId="77777777" w:rsidR="00D05026" w:rsidRDefault="00000000">
            <w:pPr>
              <w:pStyle w:val="Compact"/>
            </w:pPr>
            <w:r>
              <w:rPr>
                <w:b/>
                <w:bCs/>
              </w:rPr>
              <w:t>Risk/blocker anticipated</w:t>
            </w:r>
          </w:p>
        </w:tc>
        <w:tc>
          <w:tcPr>
            <w:tcW w:w="7161" w:type="dxa"/>
          </w:tcPr>
          <w:p w14:paraId="01F3CAC3" w14:textId="77777777" w:rsidR="00D05026" w:rsidRDefault="00000000">
            <w:pPr>
              <w:pStyle w:val="Compact"/>
            </w:pPr>
            <w:r>
              <w:rPr>
                <w:b/>
                <w:bCs/>
              </w:rPr>
              <w:t>Primary risk: we are entering Project 3 without a Project 2 artefact.</w:t>
            </w:r>
            <w:r>
              <w:t xml:space="preserve"> Project 3 assumes a working five-stage datapath to extend. Mitigation: the brief permits starting from the instructor's reference pipeline, and we have additionally built our own five-stage golden simulator from scratch (</w:t>
            </w:r>
            <w:r>
              <w:rPr>
                <w:rStyle w:val="VerbatimChar"/>
              </w:rPr>
              <w:t>src/hazard_pipeline_sim.c</w:t>
            </w:r>
            <w:r>
              <w:t xml:space="preserve">) whose </w:t>
            </w:r>
            <w:r>
              <w:rPr>
                <w:rStyle w:val="VerbatimChar"/>
              </w:rPr>
              <w:t>--mode baseline</w:t>
            </w:r>
            <w:r>
              <w:t xml:space="preserve"> configuration </w:t>
            </w:r>
            <w:r>
              <w:rPr>
                <w:i/>
                <w:iCs/>
              </w:rPr>
              <w:t>is</w:t>
            </w:r>
            <w:r>
              <w:t xml:space="preserve"> the Project-2 behaviour — no forwarding, no interlock, assembler-inserted NOPs. This gives us a legitimate, self-consistent baseline to measure against in Week 3 without depending on work we do not have.</w:t>
            </w:r>
          </w:p>
          <w:p w14:paraId="00B644CE" w14:textId="77777777" w:rsidR="00D05026" w:rsidRDefault="00000000">
            <w:pPr>
              <w:pStyle w:val="Compact"/>
            </w:pPr>
            <w:r>
              <w:rPr>
                <w:b/>
                <w:bCs/>
              </w:rPr>
              <w:t>Secondary risk: the official seed had not been issued when Weeks 1 and 2 were submitted.</w:t>
            </w:r>
            <w:r>
              <w:t xml:space="preserve"> Mitigation: the provisional-seed scheme above, declared rather than concealed, plus a single-command regeneration path. Our stated conclusions are structural (which hazard classes forwarding resolves, and at what cost each) and do not depend on the seed; only the exact cycle counts do, and those are </w:t>
            </w:r>
            <w:r>
              <w:lastRenderedPageBreak/>
              <w:t>regenerated automatically.</w:t>
            </w:r>
          </w:p>
          <w:p w14:paraId="6B7A3B86" w14:textId="77777777" w:rsidR="00D05026" w:rsidRDefault="00000000">
            <w:pPr>
              <w:pStyle w:val="Compact"/>
            </w:pPr>
            <w:r>
              <w:rPr>
                <w:b/>
                <w:bCs/>
              </w:rPr>
              <w:t>Tertiary risk:</w:t>
            </w:r>
            <w:r>
              <w:t xml:space="preserve"> the Logisim port in Week 3 is where teams historically lose time. Mitigation: build and verify the forwarding unit and the HDU as </w:t>
            </w:r>
            <w:r>
              <w:rPr>
                <w:i/>
                <w:iCs/>
              </w:rPr>
              <w:t>isolated subcircuits</w:t>
            </w:r>
            <w:r>
              <w:t xml:space="preserve"> against the test vectors before wiring them into the datapath, per the Project 2 instructor note.</w:t>
            </w:r>
          </w:p>
        </w:tc>
      </w:tr>
      <w:tr w:rsidR="00D05026" w14:paraId="5885ACFC" w14:textId="77777777" w:rsidTr="00D05026">
        <w:tc>
          <w:tcPr>
            <w:tcW w:w="1908" w:type="dxa"/>
          </w:tcPr>
          <w:p w14:paraId="00458043" w14:textId="77777777" w:rsidR="00D05026" w:rsidRDefault="00000000">
            <w:pPr>
              <w:pStyle w:val="Compact"/>
            </w:pPr>
            <w:r>
              <w:rPr>
                <w:b/>
                <w:bCs/>
              </w:rPr>
              <w:lastRenderedPageBreak/>
              <w:t>Repository URL</w:t>
            </w:r>
          </w:p>
        </w:tc>
        <w:tc>
          <w:tcPr>
            <w:tcW w:w="7161" w:type="dxa"/>
          </w:tcPr>
          <w:p w14:paraId="05563D98" w14:textId="67599003" w:rsidR="00D05026" w:rsidRPr="00C01281" w:rsidRDefault="00C01281">
            <w:pPr>
              <w:pStyle w:val="Compact"/>
              <w:rPr>
                <w:lang w:val="en-US"/>
              </w:rPr>
            </w:pPr>
            <w:hyperlink r:id="rId7" w:history="1">
              <w:r w:rsidRPr="00C01281">
                <w:rPr>
                  <w:rStyle w:val="Hyperlink"/>
                  <w:lang w:val="en-US"/>
                </w:rPr>
                <w:t>https://github.com/Ier2077/CPEN-438-Group-5</w:t>
              </w:r>
            </w:hyperlink>
          </w:p>
        </w:tc>
      </w:tr>
    </w:tbl>
    <w:p w14:paraId="1B4A33AD" w14:textId="77777777" w:rsidR="00D05026" w:rsidRDefault="00000000">
      <w:r>
        <w:pict w14:anchorId="2A017F1C">
          <v:rect id="_x0000_i1025" style="width:0;height:1.5pt" o:hralign="center" o:hrstd="t" o:hr="t"/>
        </w:pict>
      </w:r>
    </w:p>
    <w:p w14:paraId="08AD254E" w14:textId="77777777" w:rsidR="00D05026" w:rsidRDefault="00000000">
      <w:pPr>
        <w:pStyle w:val="Heading2"/>
      </w:pPr>
      <w:bookmarkStart w:id="0" w:name="X6e9b76c21ab3319719d1a534cb69a17f485b8cf"/>
      <w:r>
        <w:t>Requirements specification (Week 1 deliverable, Part I §4)</w:t>
      </w:r>
    </w:p>
    <w:p w14:paraId="757CD050" w14:textId="77777777" w:rsidR="00D05026" w:rsidRDefault="00000000">
      <w:pPr>
        <w:pStyle w:val="Heading3"/>
      </w:pPr>
      <w:bookmarkStart w:id="1" w:name="functional"/>
      <w:r>
        <w:t>Functional</w:t>
      </w:r>
    </w:p>
    <w:tbl>
      <w:tblPr>
        <w:tblStyle w:val="Table"/>
        <w:tblW w:w="9070" w:type="dxa"/>
        <w:tblInd w:w="90" w:type="dxa"/>
        <w:tblLook w:val="0020" w:firstRow="1" w:lastRow="0" w:firstColumn="0" w:lastColumn="0" w:noHBand="0" w:noVBand="0"/>
      </w:tblPr>
      <w:tblGrid>
        <w:gridCol w:w="910"/>
        <w:gridCol w:w="6082"/>
        <w:gridCol w:w="2078"/>
      </w:tblGrid>
      <w:tr w:rsidR="00D05026" w14:paraId="15B81628" w14:textId="77777777" w:rsidTr="00D05026">
        <w:trPr>
          <w:cnfStyle w:val="100000000000" w:firstRow="1" w:lastRow="0" w:firstColumn="0" w:lastColumn="0" w:oddVBand="0" w:evenVBand="0" w:oddHBand="0" w:evenHBand="0" w:firstRowFirstColumn="0" w:firstRowLastColumn="0" w:lastRowFirstColumn="0" w:lastRowLastColumn="0"/>
          <w:tblHeader/>
        </w:trPr>
        <w:tc>
          <w:tcPr>
            <w:tcW w:w="910" w:type="dxa"/>
            <w:shd w:val="clear" w:color="auto" w:fill="D9E2F3"/>
          </w:tcPr>
          <w:p w14:paraId="505088FE" w14:textId="77777777" w:rsidR="00D05026" w:rsidRDefault="00000000">
            <w:pPr>
              <w:pStyle w:val="Compact"/>
            </w:pPr>
            <w:r>
              <w:rPr>
                <w:b/>
              </w:rPr>
              <w:t>ID</w:t>
            </w:r>
          </w:p>
        </w:tc>
        <w:tc>
          <w:tcPr>
            <w:tcW w:w="6081" w:type="dxa"/>
            <w:shd w:val="clear" w:color="auto" w:fill="D9E2F3"/>
          </w:tcPr>
          <w:p w14:paraId="3CA462E6" w14:textId="77777777" w:rsidR="00D05026" w:rsidRDefault="00000000">
            <w:pPr>
              <w:pStyle w:val="Compact"/>
            </w:pPr>
            <w:r>
              <w:rPr>
                <w:b/>
              </w:rPr>
              <w:t>Requirement</w:t>
            </w:r>
          </w:p>
        </w:tc>
        <w:tc>
          <w:tcPr>
            <w:tcW w:w="2078" w:type="dxa"/>
            <w:shd w:val="clear" w:color="auto" w:fill="D9E2F3"/>
          </w:tcPr>
          <w:p w14:paraId="0972D73E" w14:textId="77777777" w:rsidR="00D05026" w:rsidRDefault="00000000">
            <w:pPr>
              <w:pStyle w:val="Compact"/>
            </w:pPr>
            <w:r>
              <w:rPr>
                <w:b/>
              </w:rPr>
              <w:t>Verified by</w:t>
            </w:r>
          </w:p>
        </w:tc>
      </w:tr>
      <w:tr w:rsidR="00D05026" w14:paraId="11CFBFAE" w14:textId="77777777" w:rsidTr="00D05026">
        <w:tc>
          <w:tcPr>
            <w:tcW w:w="910" w:type="dxa"/>
          </w:tcPr>
          <w:p w14:paraId="5236AB96" w14:textId="77777777" w:rsidR="00D05026" w:rsidRDefault="00000000">
            <w:pPr>
              <w:pStyle w:val="Compact"/>
            </w:pPr>
            <w:r>
              <w:t>F1</w:t>
            </w:r>
          </w:p>
        </w:tc>
        <w:tc>
          <w:tcPr>
            <w:tcW w:w="6081" w:type="dxa"/>
          </w:tcPr>
          <w:p w14:paraId="16617608" w14:textId="77777777" w:rsidR="00D05026" w:rsidRDefault="00000000">
            <w:pPr>
              <w:pStyle w:val="Compact"/>
            </w:pPr>
            <w:r>
              <w:t xml:space="preserve">The Logisim circuit and the golden simulator execute the assigned COCOBOD routine with forwarding enabled and </w:t>
            </w:r>
            <w:r>
              <w:rPr>
                <w:b/>
                <w:bCs/>
              </w:rPr>
              <w:t>zero manual NOPs</w:t>
            </w:r>
            <w:r>
              <w:t>, producing identical state at every cycle.</w:t>
            </w:r>
          </w:p>
        </w:tc>
        <w:tc>
          <w:tcPr>
            <w:tcW w:w="2078" w:type="dxa"/>
          </w:tcPr>
          <w:p w14:paraId="33F9D0E5" w14:textId="77777777" w:rsidR="00D05026" w:rsidRDefault="00000000">
            <w:pPr>
              <w:pStyle w:val="Compact"/>
            </w:pPr>
            <w:r>
              <w:t>Week 3 cross-validation</w:t>
            </w:r>
          </w:p>
        </w:tc>
      </w:tr>
      <w:tr w:rsidR="00D05026" w14:paraId="7F20611A" w14:textId="77777777" w:rsidTr="00D05026">
        <w:tc>
          <w:tcPr>
            <w:tcW w:w="910" w:type="dxa"/>
          </w:tcPr>
          <w:p w14:paraId="69F92B8F" w14:textId="77777777" w:rsidR="00D05026" w:rsidRDefault="00000000">
            <w:pPr>
              <w:pStyle w:val="Compact"/>
            </w:pPr>
            <w:r>
              <w:t>F2</w:t>
            </w:r>
          </w:p>
        </w:tc>
        <w:tc>
          <w:tcPr>
            <w:tcW w:w="6081" w:type="dxa"/>
          </w:tcPr>
          <w:p w14:paraId="1708F361" w14:textId="77777777" w:rsidR="00D05026" w:rsidRDefault="00000000">
            <w:pPr>
              <w:pStyle w:val="Compact"/>
            </w:pPr>
            <w:r>
              <w:t xml:space="preserve">Every RAW dependence resolvable by forwarding is resolved with </w:t>
            </w:r>
            <w:r>
              <w:rPr>
                <w:b/>
                <w:bCs/>
              </w:rPr>
              <w:t>zero</w:t>
            </w:r>
            <w:r>
              <w:t xml:space="preserve"> stall cycles.</w:t>
            </w:r>
          </w:p>
        </w:tc>
        <w:tc>
          <w:tcPr>
            <w:tcW w:w="2078" w:type="dxa"/>
          </w:tcPr>
          <w:p w14:paraId="4D6D8F54" w14:textId="77777777" w:rsidR="00D05026" w:rsidRDefault="00000000">
            <w:pPr>
              <w:pStyle w:val="Compact"/>
            </w:pPr>
            <w:r>
              <w:t>V1, V2</w:t>
            </w:r>
          </w:p>
        </w:tc>
      </w:tr>
      <w:tr w:rsidR="00D05026" w14:paraId="4BC5CBEC" w14:textId="77777777" w:rsidTr="00D05026">
        <w:tc>
          <w:tcPr>
            <w:tcW w:w="910" w:type="dxa"/>
          </w:tcPr>
          <w:p w14:paraId="183A2F9D" w14:textId="77777777" w:rsidR="00D05026" w:rsidRDefault="00000000">
            <w:pPr>
              <w:pStyle w:val="Compact"/>
            </w:pPr>
            <w:r>
              <w:t>F3</w:t>
            </w:r>
          </w:p>
        </w:tc>
        <w:tc>
          <w:tcPr>
            <w:tcW w:w="6081" w:type="dxa"/>
          </w:tcPr>
          <w:p w14:paraId="0B41559B" w14:textId="77777777" w:rsidR="00D05026" w:rsidRDefault="00000000">
            <w:pPr>
              <w:pStyle w:val="Compact"/>
            </w:pPr>
            <w:r>
              <w:t xml:space="preserve">Every load-use hazard costs </w:t>
            </w:r>
            <w:r>
              <w:rPr>
                <w:b/>
                <w:bCs/>
              </w:rPr>
              <w:t>exactly one</w:t>
            </w:r>
            <w:r>
              <w:t xml:space="preserve"> stall cycle.</w:t>
            </w:r>
          </w:p>
        </w:tc>
        <w:tc>
          <w:tcPr>
            <w:tcW w:w="2078" w:type="dxa"/>
          </w:tcPr>
          <w:p w14:paraId="647DDE4B" w14:textId="77777777" w:rsidR="00D05026" w:rsidRDefault="00000000">
            <w:pPr>
              <w:pStyle w:val="Compact"/>
            </w:pPr>
            <w:r>
              <w:t>V3, V7</w:t>
            </w:r>
          </w:p>
        </w:tc>
      </w:tr>
      <w:tr w:rsidR="00D05026" w14:paraId="6A00FA97" w14:textId="77777777" w:rsidTr="00D05026">
        <w:tc>
          <w:tcPr>
            <w:tcW w:w="910" w:type="dxa"/>
          </w:tcPr>
          <w:p w14:paraId="7E2CED0E" w14:textId="77777777" w:rsidR="00D05026" w:rsidRDefault="00000000">
            <w:pPr>
              <w:pStyle w:val="Compact"/>
            </w:pPr>
            <w:r>
              <w:t>F4</w:t>
            </w:r>
          </w:p>
        </w:tc>
        <w:tc>
          <w:tcPr>
            <w:tcW w:w="6081" w:type="dxa"/>
          </w:tcPr>
          <w:p w14:paraId="1C8F2780" w14:textId="77777777" w:rsidR="00D05026" w:rsidRDefault="00000000">
            <w:pPr>
              <w:pStyle w:val="Compact"/>
            </w:pPr>
            <w:r>
              <w:t>Branches resolve in ID; a taken branch costs exactly one flush cycle, a not-taken branch costs zero.</w:t>
            </w:r>
          </w:p>
        </w:tc>
        <w:tc>
          <w:tcPr>
            <w:tcW w:w="2078" w:type="dxa"/>
          </w:tcPr>
          <w:p w14:paraId="3AEB2541" w14:textId="77777777" w:rsidR="00D05026" w:rsidRDefault="00000000">
            <w:pPr>
              <w:pStyle w:val="Compact"/>
            </w:pPr>
            <w:r>
              <w:t>V4, V5</w:t>
            </w:r>
          </w:p>
        </w:tc>
      </w:tr>
      <w:tr w:rsidR="00D05026" w14:paraId="73D73E22" w14:textId="77777777" w:rsidTr="00D05026">
        <w:tc>
          <w:tcPr>
            <w:tcW w:w="910" w:type="dxa"/>
          </w:tcPr>
          <w:p w14:paraId="429A53BD" w14:textId="77777777" w:rsidR="00D05026" w:rsidRDefault="00000000">
            <w:pPr>
              <w:pStyle w:val="Compact"/>
            </w:pPr>
            <w:r>
              <w:t>F5</w:t>
            </w:r>
          </w:p>
        </w:tc>
        <w:tc>
          <w:tcPr>
            <w:tcW w:w="6081" w:type="dxa"/>
          </w:tcPr>
          <w:p w14:paraId="358B4E2E" w14:textId="77777777" w:rsidR="00D05026" w:rsidRDefault="00000000">
            <w:pPr>
              <w:pStyle w:val="Compact"/>
            </w:pPr>
            <w:r>
              <w:t>Forwarding priority selects the most recent producer.</w:t>
            </w:r>
          </w:p>
        </w:tc>
        <w:tc>
          <w:tcPr>
            <w:tcW w:w="2078" w:type="dxa"/>
          </w:tcPr>
          <w:p w14:paraId="3C43105B" w14:textId="77777777" w:rsidR="00D05026" w:rsidRDefault="00000000">
            <w:pPr>
              <w:pStyle w:val="Compact"/>
            </w:pPr>
            <w:r>
              <w:t>V6</w:t>
            </w:r>
          </w:p>
        </w:tc>
      </w:tr>
      <w:tr w:rsidR="00D05026" w14:paraId="474B4EAB" w14:textId="77777777" w:rsidTr="00D05026">
        <w:tc>
          <w:tcPr>
            <w:tcW w:w="910" w:type="dxa"/>
          </w:tcPr>
          <w:p w14:paraId="23779EB5" w14:textId="77777777" w:rsidR="00D05026" w:rsidRDefault="00000000">
            <w:pPr>
              <w:pStyle w:val="Compact"/>
            </w:pPr>
            <w:r>
              <w:t>F6</w:t>
            </w:r>
          </w:p>
        </w:tc>
        <w:tc>
          <w:tcPr>
            <w:tcW w:w="6081" w:type="dxa"/>
          </w:tcPr>
          <w:p w14:paraId="3F103F13" w14:textId="77777777" w:rsidR="00D05026" w:rsidRDefault="00000000">
            <w:pPr>
              <w:pStyle w:val="Compact"/>
            </w:pPr>
            <w:r>
              <w:t>A load result is never forwarded from EX/MEM.</w:t>
            </w:r>
          </w:p>
        </w:tc>
        <w:tc>
          <w:tcPr>
            <w:tcW w:w="2078" w:type="dxa"/>
          </w:tcPr>
          <w:p w14:paraId="6D509404" w14:textId="77777777" w:rsidR="00D05026" w:rsidRDefault="00000000">
            <w:pPr>
              <w:pStyle w:val="Compact"/>
            </w:pPr>
            <w:r>
              <w:t>negative test (</w:t>
            </w:r>
            <w:r>
              <w:rPr>
                <w:rStyle w:val="VerbatimChar"/>
              </w:rPr>
              <w:t>--no-hdu</w:t>
            </w:r>
            <w:r>
              <w:t>)</w:t>
            </w:r>
          </w:p>
        </w:tc>
      </w:tr>
    </w:tbl>
    <w:p w14:paraId="2F15E1A5" w14:textId="77777777" w:rsidR="00D05026" w:rsidRDefault="00000000">
      <w:pPr>
        <w:pStyle w:val="Heading3"/>
      </w:pPr>
      <w:bookmarkStart w:id="2" w:name="non-functional"/>
      <w:bookmarkEnd w:id="1"/>
      <w:r>
        <w:t>Non-functional</w:t>
      </w:r>
    </w:p>
    <w:tbl>
      <w:tblPr>
        <w:tblStyle w:val="Table"/>
        <w:tblW w:w="9070" w:type="dxa"/>
        <w:tblInd w:w="90" w:type="dxa"/>
        <w:tblLook w:val="0020" w:firstRow="1" w:lastRow="0" w:firstColumn="0" w:lastColumn="0" w:noHBand="0" w:noVBand="0"/>
      </w:tblPr>
      <w:tblGrid>
        <w:gridCol w:w="922"/>
        <w:gridCol w:w="8148"/>
      </w:tblGrid>
      <w:tr w:rsidR="00D05026" w14:paraId="462E6B55" w14:textId="77777777" w:rsidTr="00D05026">
        <w:trPr>
          <w:cnfStyle w:val="100000000000" w:firstRow="1" w:lastRow="0" w:firstColumn="0" w:lastColumn="0" w:oddVBand="0" w:evenVBand="0" w:oddHBand="0" w:evenHBand="0" w:firstRowFirstColumn="0" w:firstRowLastColumn="0" w:lastRowFirstColumn="0" w:lastRowLastColumn="0"/>
          <w:tblHeader/>
        </w:trPr>
        <w:tc>
          <w:tcPr>
            <w:tcW w:w="922" w:type="dxa"/>
            <w:shd w:val="clear" w:color="auto" w:fill="D9E2F3"/>
          </w:tcPr>
          <w:p w14:paraId="757E4384" w14:textId="77777777" w:rsidR="00D05026" w:rsidRDefault="00000000">
            <w:pPr>
              <w:pStyle w:val="Compact"/>
            </w:pPr>
            <w:r>
              <w:rPr>
                <w:b/>
              </w:rPr>
              <w:t>ID</w:t>
            </w:r>
          </w:p>
        </w:tc>
        <w:tc>
          <w:tcPr>
            <w:tcW w:w="8147" w:type="dxa"/>
            <w:shd w:val="clear" w:color="auto" w:fill="D9E2F3"/>
          </w:tcPr>
          <w:p w14:paraId="07F11139" w14:textId="77777777" w:rsidR="00D05026" w:rsidRDefault="00000000">
            <w:pPr>
              <w:pStyle w:val="Compact"/>
            </w:pPr>
            <w:r>
              <w:rPr>
                <w:b/>
              </w:rPr>
              <w:t>Requirement</w:t>
            </w:r>
          </w:p>
        </w:tc>
      </w:tr>
      <w:tr w:rsidR="00D05026" w14:paraId="0B27AC01" w14:textId="77777777" w:rsidTr="00D05026">
        <w:tc>
          <w:tcPr>
            <w:tcW w:w="922" w:type="dxa"/>
          </w:tcPr>
          <w:p w14:paraId="7DD87B7C" w14:textId="77777777" w:rsidR="00D05026" w:rsidRDefault="00000000">
            <w:pPr>
              <w:pStyle w:val="Compact"/>
            </w:pPr>
            <w:r>
              <w:t>N1</w:t>
            </w:r>
          </w:p>
        </w:tc>
        <w:tc>
          <w:tcPr>
            <w:tcW w:w="8147" w:type="dxa"/>
          </w:tcPr>
          <w:p w14:paraId="75063B8E" w14:textId="77777777" w:rsidR="00D05026" w:rsidRDefault="00000000">
            <w:pPr>
              <w:pStyle w:val="Compact"/>
            </w:pPr>
            <w:r>
              <w:t xml:space="preserve">Forwarding-mux selection is computed </w:t>
            </w:r>
            <w:r>
              <w:rPr>
                <w:b/>
                <w:bCs/>
              </w:rPr>
              <w:t>combinationally within the same cycle</w:t>
            </w:r>
            <w:r>
              <w:t xml:space="preserve"> — the forwarding paths add no pipeline latency.</w:t>
            </w:r>
          </w:p>
        </w:tc>
      </w:tr>
      <w:tr w:rsidR="00D05026" w14:paraId="4898EA3D" w14:textId="77777777" w:rsidTr="00D05026">
        <w:tc>
          <w:tcPr>
            <w:tcW w:w="922" w:type="dxa"/>
          </w:tcPr>
          <w:p w14:paraId="0BFE47C2" w14:textId="77777777" w:rsidR="00D05026" w:rsidRDefault="00000000">
            <w:pPr>
              <w:pStyle w:val="Compact"/>
            </w:pPr>
            <w:r>
              <w:t>N2</w:t>
            </w:r>
          </w:p>
        </w:tc>
        <w:tc>
          <w:tcPr>
            <w:tcW w:w="8147" w:type="dxa"/>
          </w:tcPr>
          <w:p w14:paraId="35138317" w14:textId="77777777" w:rsidR="00D05026" w:rsidRDefault="00000000">
            <w:pPr>
              <w:pStyle w:val="Compact"/>
            </w:pPr>
            <w:r>
              <w:t>The simulator emits a machine-readable per-cycle trace (</w:t>
            </w:r>
            <w:r>
              <w:rPr>
                <w:rStyle w:val="VerbatimChar"/>
              </w:rPr>
              <w:t>trace_*.csv</w:t>
            </w:r>
            <w:r>
              <w:t>) whose columns correspond one-to-one with Logisim wires, so Week 3 cross-validation can be automated rather than eyeballed.</w:t>
            </w:r>
          </w:p>
        </w:tc>
      </w:tr>
      <w:tr w:rsidR="00D05026" w14:paraId="02E42EA4" w14:textId="77777777" w:rsidTr="00D05026">
        <w:tc>
          <w:tcPr>
            <w:tcW w:w="922" w:type="dxa"/>
          </w:tcPr>
          <w:p w14:paraId="2D5EFAAE" w14:textId="77777777" w:rsidR="00D05026" w:rsidRDefault="00000000">
            <w:pPr>
              <w:pStyle w:val="Compact"/>
            </w:pPr>
            <w:r>
              <w:t>N3</w:t>
            </w:r>
          </w:p>
        </w:tc>
        <w:tc>
          <w:tcPr>
            <w:tcW w:w="8147" w:type="dxa"/>
          </w:tcPr>
          <w:p w14:paraId="2FC3BADB" w14:textId="77777777" w:rsidR="00D05026" w:rsidRDefault="00000000">
            <w:pPr>
              <w:pStyle w:val="Compact"/>
            </w:pPr>
            <w:r>
              <w:t xml:space="preserve">Every result is reproducible from the seed alone: </w:t>
            </w:r>
            <w:r>
              <w:rPr>
                <w:rStyle w:val="VerbatimChar"/>
              </w:rPr>
              <w:t>gen_cocobod_instrs.py --seed S</w:t>
            </w:r>
            <w:r>
              <w:t xml:space="preserve"> → </w:t>
            </w:r>
            <w:r>
              <w:rPr>
                <w:rStyle w:val="VerbatimChar"/>
              </w:rPr>
              <w:t>hazard_sim --compare</w:t>
            </w:r>
            <w:r>
              <w:t>.</w:t>
            </w:r>
          </w:p>
        </w:tc>
      </w:tr>
    </w:tbl>
    <w:p w14:paraId="06DDFD35" w14:textId="77777777" w:rsidR="00D05026" w:rsidRDefault="00000000">
      <w:pPr>
        <w:pStyle w:val="Heading3"/>
      </w:pPr>
      <w:bookmarkStart w:id="3" w:name="inputs--outputs"/>
      <w:bookmarkEnd w:id="2"/>
      <w:r>
        <w:lastRenderedPageBreak/>
        <w:t>Inputs / outputs</w:t>
      </w:r>
    </w:p>
    <w:p w14:paraId="0D479381" w14:textId="77777777" w:rsidR="00D05026" w:rsidRDefault="00000000">
      <w:pPr>
        <w:pStyle w:val="Compact"/>
        <w:numPr>
          <w:ilvl w:val="0"/>
          <w:numId w:val="2"/>
        </w:numPr>
      </w:pPr>
      <w:r>
        <w:rPr>
          <w:b/>
          <w:bCs/>
        </w:rPr>
        <w:t>Input:</w:t>
      </w:r>
      <w:r>
        <w:t xml:space="preserve"> the team's uniquely seeded COCOBOD instruction sequence, generated by </w:t>
      </w:r>
      <w:r>
        <w:rPr>
          <w:rStyle w:val="VerbatimChar"/>
        </w:rPr>
        <w:t>gen_cocobod_instrs.py</w:t>
      </w:r>
      <w:r>
        <w:t>, engineered to contain several forwardable RAW hazards at distance 1 and 2, exactly one load-use hazard, and exactly one conditional branch.</w:t>
      </w:r>
    </w:p>
    <w:p w14:paraId="0DF27DA5" w14:textId="77777777" w:rsidR="00D05026" w:rsidRDefault="00000000">
      <w:pPr>
        <w:pStyle w:val="Compact"/>
        <w:numPr>
          <w:ilvl w:val="0"/>
          <w:numId w:val="2"/>
        </w:numPr>
      </w:pPr>
      <w:r>
        <w:rPr>
          <w:b/>
          <w:bCs/>
        </w:rPr>
        <w:t>Output:</w:t>
      </w:r>
      <w:r>
        <w:t xml:space="preserve"> per-cycle forwarding-mux selection trace; hazard-classification table (forwarded / stalled / flushed) with the cycle cost of each; CPI comparison against the NOP-padded baseline.</w:t>
      </w:r>
    </w:p>
    <w:p w14:paraId="2ACAD998" w14:textId="0F59FBAA" w:rsidR="00D05026" w:rsidRDefault="00D05026"/>
    <w:p w14:paraId="012108FE" w14:textId="5CC2011E" w:rsidR="00D05026" w:rsidRDefault="00000000" w:rsidP="00C01281">
      <w:pPr>
        <w:pStyle w:val="Heading2"/>
      </w:pPr>
      <w:bookmarkStart w:id="4" w:name="X7b32f79e832809d82e940965818a421c2ee3277"/>
      <w:bookmarkEnd w:id="0"/>
      <w:bookmarkEnd w:id="3"/>
      <w:r>
        <w:t>AI-use declaration — starting entry (Part I §7)</w:t>
      </w:r>
    </w:p>
    <w:tbl>
      <w:tblPr>
        <w:tblStyle w:val="Table"/>
        <w:tblW w:w="9070" w:type="dxa"/>
        <w:tblInd w:w="90" w:type="dxa"/>
        <w:tblLook w:val="0020" w:firstRow="1" w:lastRow="0" w:firstColumn="0" w:lastColumn="0" w:noHBand="0" w:noVBand="0"/>
      </w:tblPr>
      <w:tblGrid>
        <w:gridCol w:w="904"/>
        <w:gridCol w:w="2902"/>
        <w:gridCol w:w="1857"/>
        <w:gridCol w:w="3407"/>
      </w:tblGrid>
      <w:tr w:rsidR="00D05026" w14:paraId="2FB553FC" w14:textId="77777777" w:rsidTr="00E751B3">
        <w:trPr>
          <w:cnfStyle w:val="100000000000" w:firstRow="1" w:lastRow="0" w:firstColumn="0" w:lastColumn="0" w:oddVBand="0" w:evenVBand="0" w:oddHBand="0" w:evenHBand="0" w:firstRowFirstColumn="0" w:firstRowLastColumn="0" w:lastRowFirstColumn="0" w:lastRowLastColumn="0"/>
          <w:tblHeader/>
        </w:trPr>
        <w:tc>
          <w:tcPr>
            <w:tcW w:w="904" w:type="dxa"/>
            <w:shd w:val="clear" w:color="auto" w:fill="D9E2F3"/>
          </w:tcPr>
          <w:p w14:paraId="6B629784" w14:textId="77777777" w:rsidR="00D05026" w:rsidRDefault="00000000">
            <w:pPr>
              <w:pStyle w:val="Compact"/>
            </w:pPr>
            <w:r>
              <w:rPr>
                <w:b/>
              </w:rPr>
              <w:t>Date</w:t>
            </w:r>
          </w:p>
        </w:tc>
        <w:tc>
          <w:tcPr>
            <w:tcW w:w="2902" w:type="dxa"/>
            <w:shd w:val="clear" w:color="auto" w:fill="D9E2F3"/>
          </w:tcPr>
          <w:p w14:paraId="405B9957" w14:textId="77777777" w:rsidR="00D05026" w:rsidRDefault="00000000">
            <w:pPr>
              <w:pStyle w:val="Compact"/>
            </w:pPr>
            <w:r>
              <w:rPr>
                <w:b/>
              </w:rPr>
              <w:t>Component</w:t>
            </w:r>
          </w:p>
        </w:tc>
        <w:tc>
          <w:tcPr>
            <w:tcW w:w="1857" w:type="dxa"/>
            <w:shd w:val="clear" w:color="auto" w:fill="D9E2F3"/>
          </w:tcPr>
          <w:p w14:paraId="151683B0" w14:textId="77777777" w:rsidR="00D05026" w:rsidRDefault="00000000">
            <w:pPr>
              <w:pStyle w:val="Compact"/>
            </w:pPr>
            <w:r>
              <w:rPr>
                <w:b/>
              </w:rPr>
              <w:t>Assistance used</w:t>
            </w:r>
          </w:p>
        </w:tc>
        <w:tc>
          <w:tcPr>
            <w:tcW w:w="3407" w:type="dxa"/>
            <w:shd w:val="clear" w:color="auto" w:fill="D9E2F3"/>
          </w:tcPr>
          <w:p w14:paraId="1BC6ABB1" w14:textId="77777777" w:rsidR="00D05026" w:rsidRDefault="00000000">
            <w:pPr>
              <w:pStyle w:val="Compact"/>
            </w:pPr>
            <w:r>
              <w:rPr>
                <w:b/>
              </w:rPr>
              <w:t>What we verified ourselves</w:t>
            </w:r>
          </w:p>
        </w:tc>
      </w:tr>
      <w:tr w:rsidR="00D05026" w14:paraId="7A228F38" w14:textId="77777777" w:rsidTr="00E751B3">
        <w:tc>
          <w:tcPr>
            <w:tcW w:w="904" w:type="dxa"/>
          </w:tcPr>
          <w:p w14:paraId="5A63A43E" w14:textId="566BBF4B" w:rsidR="00D05026" w:rsidRPr="00C01281" w:rsidRDefault="00C01281">
            <w:pPr>
              <w:pStyle w:val="Compact"/>
              <w:rPr>
                <w:lang w:val="en-US"/>
              </w:rPr>
            </w:pPr>
            <w:r>
              <w:rPr>
                <w:lang w:val="en-US"/>
              </w:rPr>
              <w:t>15/8/26</w:t>
            </w:r>
          </w:p>
        </w:tc>
        <w:tc>
          <w:tcPr>
            <w:tcW w:w="2902" w:type="dxa"/>
          </w:tcPr>
          <w:p w14:paraId="3BA0B31E" w14:textId="77777777" w:rsidR="00D05026" w:rsidRDefault="00000000">
            <w:pPr>
              <w:pStyle w:val="Compact"/>
            </w:pPr>
            <w:r>
              <w:rPr>
                <w:rStyle w:val="VerbatimChar"/>
              </w:rPr>
              <w:t>docs/week1_design_truth_tables.md</w:t>
            </w:r>
          </w:p>
        </w:tc>
        <w:tc>
          <w:tcPr>
            <w:tcW w:w="1857" w:type="dxa"/>
          </w:tcPr>
          <w:p w14:paraId="1F046283" w14:textId="68E0D55E" w:rsidR="00D05026" w:rsidRDefault="00000000">
            <w:pPr>
              <w:pStyle w:val="Compact"/>
            </w:pPr>
            <w:r>
              <w:t xml:space="preserve">AI assistance used to </w:t>
            </w:r>
            <w:r w:rsidR="002114C5">
              <w:rPr>
                <w:lang w:val="en-US"/>
              </w:rPr>
              <w:t xml:space="preserve">understand </w:t>
            </w:r>
            <w:r>
              <w:t>the truth tables and hand traces.</w:t>
            </w:r>
          </w:p>
        </w:tc>
        <w:tc>
          <w:tcPr>
            <w:tcW w:w="3407" w:type="dxa"/>
          </w:tcPr>
          <w:p w14:paraId="0644028D" w14:textId="77777777" w:rsidR="00D05026" w:rsidRDefault="00000000">
            <w:pPr>
              <w:pStyle w:val="Compact"/>
            </w:pPr>
            <w:r>
              <w:t>Every row of both truth tables re-derived by hand from the stage-timing table in §1 before acceptance; the three hand traces in §7 were worked on paper independently and matched.</w:t>
            </w:r>
          </w:p>
        </w:tc>
      </w:tr>
      <w:tr w:rsidR="00D05026" w14:paraId="3EE7A945" w14:textId="77777777" w:rsidTr="00E751B3">
        <w:tc>
          <w:tcPr>
            <w:tcW w:w="904" w:type="dxa"/>
          </w:tcPr>
          <w:p w14:paraId="1ADD59CC" w14:textId="2285DAE2" w:rsidR="00D05026" w:rsidRPr="00C01281" w:rsidRDefault="00C01281">
            <w:pPr>
              <w:pStyle w:val="Compact"/>
              <w:rPr>
                <w:lang w:val="en-US"/>
              </w:rPr>
            </w:pPr>
            <w:r>
              <w:rPr>
                <w:lang w:val="en-US"/>
              </w:rPr>
              <w:t>15/</w:t>
            </w:r>
            <w:r>
              <w:t>8</w:t>
            </w:r>
            <w:r>
              <w:rPr>
                <w:lang w:val="en-US"/>
              </w:rPr>
              <w:t>/</w:t>
            </w:r>
            <w:r>
              <w:t>2</w:t>
            </w:r>
            <w:r>
              <w:rPr>
                <w:lang w:val="en-US"/>
              </w:rPr>
              <w:t>6</w:t>
            </w:r>
          </w:p>
        </w:tc>
        <w:tc>
          <w:tcPr>
            <w:tcW w:w="2902" w:type="dxa"/>
          </w:tcPr>
          <w:p w14:paraId="38CAA3BA" w14:textId="77777777" w:rsidR="00D05026" w:rsidRDefault="00000000">
            <w:pPr>
              <w:pStyle w:val="Compact"/>
            </w:pPr>
            <w:r>
              <w:rPr>
                <w:rStyle w:val="VerbatimChar"/>
              </w:rPr>
              <w:t>src/hazard_pipeline_sim.c</w:t>
            </w:r>
          </w:p>
        </w:tc>
        <w:tc>
          <w:tcPr>
            <w:tcW w:w="1857" w:type="dxa"/>
          </w:tcPr>
          <w:p w14:paraId="50F7EE63" w14:textId="77777777" w:rsidR="00D05026" w:rsidRDefault="00000000">
            <w:pPr>
              <w:pStyle w:val="Compact"/>
            </w:pPr>
            <w:r>
              <w:t>AI assistance used to draft the simulator.</w:t>
            </w:r>
          </w:p>
        </w:tc>
        <w:tc>
          <w:tcPr>
            <w:tcW w:w="3407" w:type="dxa"/>
          </w:tcPr>
          <w:p w14:paraId="5281214F" w14:textId="77777777" w:rsidR="00D05026" w:rsidRDefault="00000000">
            <w:pPr>
              <w:pStyle w:val="Compact"/>
            </w:pPr>
            <w:r>
              <w:t>Cross-validated against the eight hand-derived test vectors, whose expected values were written before the code was run. Each team member must be able to explain the forwarding block and the HDU block line by line.</w:t>
            </w:r>
          </w:p>
        </w:tc>
      </w:tr>
      <w:tr w:rsidR="00D05026" w14:paraId="1C501019" w14:textId="77777777" w:rsidTr="00E751B3">
        <w:tc>
          <w:tcPr>
            <w:tcW w:w="904" w:type="dxa"/>
          </w:tcPr>
          <w:p w14:paraId="5855802D" w14:textId="1F0513EA" w:rsidR="00D05026" w:rsidRPr="00C01281" w:rsidRDefault="00C01281">
            <w:pPr>
              <w:pStyle w:val="Compact"/>
              <w:rPr>
                <w:lang w:val="en-US"/>
              </w:rPr>
            </w:pPr>
            <w:r>
              <w:rPr>
                <w:lang w:val="en-US"/>
              </w:rPr>
              <w:t>1</w:t>
            </w:r>
            <w:r>
              <w:t>5</w:t>
            </w:r>
            <w:r>
              <w:rPr>
                <w:lang w:val="en-US"/>
              </w:rPr>
              <w:t>/</w:t>
            </w:r>
            <w:r>
              <w:t>8</w:t>
            </w:r>
            <w:r>
              <w:rPr>
                <w:lang w:val="en-US"/>
              </w:rPr>
              <w:t>/</w:t>
            </w:r>
            <w:r>
              <w:t>2</w:t>
            </w:r>
            <w:r>
              <w:rPr>
                <w:lang w:val="en-US"/>
              </w:rPr>
              <w:t>6</w:t>
            </w:r>
          </w:p>
        </w:tc>
        <w:tc>
          <w:tcPr>
            <w:tcW w:w="2902" w:type="dxa"/>
          </w:tcPr>
          <w:p w14:paraId="2B206AC1" w14:textId="77777777" w:rsidR="00D05026" w:rsidRDefault="00000000">
            <w:pPr>
              <w:pStyle w:val="Compact"/>
              <w:rPr>
                <w:rStyle w:val="VerbatimChar"/>
                <w:lang w:val="en-US"/>
              </w:rPr>
            </w:pPr>
            <w:r>
              <w:rPr>
                <w:rStyle w:val="VerbatimChar"/>
              </w:rPr>
              <w:t>src/gen_cocobod_instrs.py</w:t>
            </w:r>
          </w:p>
          <w:p w14:paraId="63231C75" w14:textId="2B78F119" w:rsidR="001021C6" w:rsidRPr="001021C6" w:rsidRDefault="001021C6">
            <w:pPr>
              <w:pStyle w:val="Compact"/>
              <w:rPr>
                <w:lang w:val="en-US"/>
              </w:rPr>
            </w:pPr>
            <w:r>
              <w:rPr>
                <w:rStyle w:val="VerbatimChar"/>
              </w:rPr>
              <w:t>r</w:t>
            </w:r>
            <w:r>
              <w:rPr>
                <w:rStyle w:val="VerbatimChar"/>
                <w:lang w:val="en-US"/>
              </w:rPr>
              <w:t>e</w:t>
            </w:r>
            <w:r>
              <w:rPr>
                <w:rStyle w:val="VerbatimChar"/>
              </w:rPr>
              <w:t>p</w:t>
            </w:r>
            <w:r>
              <w:rPr>
                <w:rStyle w:val="VerbatimChar"/>
                <w:lang w:val="en-US"/>
              </w:rPr>
              <w:t>o</w:t>
            </w:r>
            <w:r>
              <w:rPr>
                <w:rStyle w:val="VerbatimChar"/>
              </w:rPr>
              <w:t>r</w:t>
            </w:r>
            <w:r>
              <w:rPr>
                <w:rStyle w:val="VerbatimChar"/>
                <w:lang w:val="en-US"/>
              </w:rPr>
              <w:t>t</w:t>
            </w:r>
          </w:p>
        </w:tc>
        <w:tc>
          <w:tcPr>
            <w:tcW w:w="1857" w:type="dxa"/>
          </w:tcPr>
          <w:p w14:paraId="550793BD" w14:textId="08BC573C" w:rsidR="00D05026" w:rsidRPr="00E751B3" w:rsidRDefault="00000000">
            <w:pPr>
              <w:pStyle w:val="Compact"/>
              <w:rPr>
                <w:lang w:val="en-US"/>
              </w:rPr>
            </w:pPr>
            <w:r>
              <w:t>AI assistance used to draft the generator</w:t>
            </w:r>
            <w:r w:rsidR="00E751B3">
              <w:rPr>
                <w:lang w:val="en-US"/>
              </w:rPr>
              <w:t>.</w:t>
            </w:r>
          </w:p>
        </w:tc>
        <w:tc>
          <w:tcPr>
            <w:tcW w:w="3407" w:type="dxa"/>
          </w:tcPr>
          <w:p w14:paraId="01C85132" w14:textId="2E7B1089" w:rsidR="001021C6" w:rsidRPr="00E751B3" w:rsidRDefault="00000000">
            <w:pPr>
              <w:pStyle w:val="Compact"/>
              <w:rPr>
                <w:lang w:val="en-US"/>
              </w:rPr>
            </w:pPr>
            <w:r>
              <w:t>Generated program inspected instruction by instruction against the intended hazard inventory</w:t>
            </w:r>
            <w:r w:rsidR="00E751B3">
              <w:rPr>
                <w:lang w:val="en-US"/>
              </w:rPr>
              <w:t>.</w:t>
            </w:r>
          </w:p>
          <w:p w14:paraId="1EBB8E55" w14:textId="7C41B80D" w:rsidR="001021C6" w:rsidRPr="001021C6" w:rsidRDefault="001021C6">
            <w:pPr>
              <w:pStyle w:val="Compact"/>
              <w:rPr>
                <w:lang w:val="en-US"/>
              </w:rPr>
            </w:pPr>
          </w:p>
        </w:tc>
      </w:tr>
      <w:tr w:rsidR="00E751B3" w14:paraId="64AFDDC0" w14:textId="77777777" w:rsidTr="00E751B3">
        <w:tc>
          <w:tcPr>
            <w:tcW w:w="904" w:type="dxa"/>
          </w:tcPr>
          <w:p w14:paraId="545DE4BD" w14:textId="7011F584" w:rsidR="00E751B3" w:rsidRPr="00E751B3" w:rsidRDefault="00E751B3">
            <w:pPr>
              <w:pStyle w:val="Compact"/>
              <w:rPr>
                <w:lang w:val="en-US"/>
              </w:rPr>
            </w:pPr>
            <w:r>
              <w:rPr>
                <w:lang w:val="en-US"/>
              </w:rPr>
              <w:t>19/8/26</w:t>
            </w:r>
          </w:p>
        </w:tc>
        <w:tc>
          <w:tcPr>
            <w:tcW w:w="2902" w:type="dxa"/>
          </w:tcPr>
          <w:p w14:paraId="311D121C" w14:textId="322F3A05" w:rsidR="00E751B3" w:rsidRPr="00E751B3" w:rsidRDefault="00E751B3">
            <w:pPr>
              <w:pStyle w:val="Compact"/>
              <w:rPr>
                <w:rStyle w:val="VerbatimChar"/>
                <w:lang w:val="en-US"/>
              </w:rPr>
            </w:pPr>
            <w:r>
              <w:rPr>
                <w:rStyle w:val="VerbatimChar"/>
                <w:lang w:val="en-US"/>
              </w:rPr>
              <w:t>REPORT</w:t>
            </w:r>
          </w:p>
        </w:tc>
        <w:tc>
          <w:tcPr>
            <w:tcW w:w="1857" w:type="dxa"/>
          </w:tcPr>
          <w:p w14:paraId="434C81C8" w14:textId="041E3A40" w:rsidR="00E751B3" w:rsidRPr="00E751B3" w:rsidRDefault="00E751B3">
            <w:pPr>
              <w:pStyle w:val="Compact"/>
              <w:rPr>
                <w:lang w:val="en-US"/>
              </w:rPr>
            </w:pPr>
            <w:r>
              <w:rPr>
                <w:lang w:val="en-US"/>
              </w:rPr>
              <w:t>polish report using AI</w:t>
            </w:r>
          </w:p>
        </w:tc>
        <w:tc>
          <w:tcPr>
            <w:tcW w:w="3407" w:type="dxa"/>
          </w:tcPr>
          <w:p w14:paraId="691BA5AD" w14:textId="7F0834CB" w:rsidR="00E751B3" w:rsidRPr="00E751B3" w:rsidRDefault="00E751B3">
            <w:pPr>
              <w:pStyle w:val="Compact"/>
              <w:rPr>
                <w:lang w:val="en-US"/>
              </w:rPr>
            </w:pPr>
            <w:r>
              <w:rPr>
                <w:lang w:val="en-US"/>
              </w:rPr>
              <w:t>Compiles results into a report and used AI to provide finishing touches</w:t>
            </w:r>
          </w:p>
        </w:tc>
      </w:tr>
      <w:bookmarkEnd w:id="4"/>
    </w:tbl>
    <w:p w14:paraId="468651EB" w14:textId="71F69E0D" w:rsidR="00D05026" w:rsidRDefault="00D05026">
      <w:pPr>
        <w:pStyle w:val="BlockText"/>
      </w:pPr>
    </w:p>
    <w:p w14:paraId="066F2172" w14:textId="77777777" w:rsidR="0014629B" w:rsidRDefault="0014629B" w:rsidP="0014629B">
      <w:pPr>
        <w:pStyle w:val="BodyText"/>
      </w:pPr>
    </w:p>
    <w:sectPr w:rsidR="0014629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A4225" w14:textId="77777777" w:rsidR="0061113B" w:rsidRDefault="0061113B">
      <w:pPr>
        <w:spacing w:after="0" w:line="240" w:lineRule="auto"/>
      </w:pPr>
      <w:r>
        <w:separator/>
      </w:r>
    </w:p>
  </w:endnote>
  <w:endnote w:type="continuationSeparator" w:id="0">
    <w:p w14:paraId="135B6050" w14:textId="77777777" w:rsidR="0061113B" w:rsidRDefault="00611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38068" w14:textId="77777777" w:rsidR="0061113B" w:rsidRDefault="0061113B">
      <w:r>
        <w:separator/>
      </w:r>
    </w:p>
  </w:footnote>
  <w:footnote w:type="continuationSeparator" w:id="0">
    <w:p w14:paraId="0E5E63BF" w14:textId="77777777" w:rsidR="0061113B" w:rsidRDefault="006111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0E88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F58461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99582317">
    <w:abstractNumId w:val="0"/>
  </w:num>
  <w:num w:numId="2" w16cid:durableId="2016154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5026"/>
    <w:rsid w:val="000D5F03"/>
    <w:rsid w:val="001021C6"/>
    <w:rsid w:val="0014629B"/>
    <w:rsid w:val="002114C5"/>
    <w:rsid w:val="00395F51"/>
    <w:rsid w:val="003C5B66"/>
    <w:rsid w:val="00424ACF"/>
    <w:rsid w:val="005279A3"/>
    <w:rsid w:val="005D03C4"/>
    <w:rsid w:val="005D6C83"/>
    <w:rsid w:val="0061113B"/>
    <w:rsid w:val="00640997"/>
    <w:rsid w:val="006460DF"/>
    <w:rsid w:val="00B62DFB"/>
    <w:rsid w:val="00C01281"/>
    <w:rsid w:val="00D05026"/>
    <w:rsid w:val="00DE5932"/>
    <w:rsid w:val="00E751B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33FE"/>
  <w15:docId w15:val="{DA053115-4234-48D0-9F09-9EAB5D64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Calibri" w:hAnsi="Calibri" w:cs="Calibri"/>
      <w:sz w:val="21"/>
      <w:szCs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pPr>
      <w:spacing w:before="20" w:after="20"/>
    </w:pPr>
    <w:rPr>
      <w:sz w:val="19"/>
      <w:szCs w:val="19"/>
      <w:lang/>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60" w:type="dxa"/>
        <w:left w:w="90" w:type="dxa"/>
        <w:bottom w:w="60" w:type="dxa"/>
        <w:right w:w="90"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cs="Consolas"/>
      <w:sz w:val="15"/>
      <w:szCs w:val="15"/>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pPr>
      <w:shd w:val="clear" w:color="auto" w:fill="F5F7FA"/>
      <w:wordWrap w:val="0"/>
      <w:spacing w:before="60" w:after="60" w:line="240" w:lineRule="auto"/>
      <w:ind w:left="120"/>
    </w:pPr>
    <w:rPr>
      <w:rFonts w:ascii="Consolas" w:hAnsi="Consolas" w:cs="Consolas"/>
      <w:sz w:val="15"/>
      <w:szCs w:val="15"/>
    </w:rPr>
  </w:style>
  <w:style w:type="character" w:customStyle="1" w:styleId="KeywordTok">
    <w:name w:val="KeywordTok"/>
    <w:basedOn w:val="VerbatimChar"/>
    <w:rPr>
      <w:rFonts w:ascii="Consolas" w:hAnsi="Consolas" w:cs="Consolas"/>
      <w:b/>
      <w:color w:val="007020"/>
      <w:sz w:val="15"/>
      <w:szCs w:val="15"/>
    </w:rPr>
  </w:style>
  <w:style w:type="character" w:customStyle="1" w:styleId="DataTypeTok">
    <w:name w:val="DataTypeTok"/>
    <w:basedOn w:val="VerbatimChar"/>
    <w:rPr>
      <w:rFonts w:ascii="Consolas" w:hAnsi="Consolas" w:cs="Consolas"/>
      <w:color w:val="902000"/>
      <w:sz w:val="15"/>
      <w:szCs w:val="15"/>
    </w:rPr>
  </w:style>
  <w:style w:type="character" w:customStyle="1" w:styleId="DecValTok">
    <w:name w:val="DecValTok"/>
    <w:basedOn w:val="VerbatimChar"/>
    <w:rPr>
      <w:rFonts w:ascii="Consolas" w:hAnsi="Consolas" w:cs="Consolas"/>
      <w:color w:val="40A070"/>
      <w:sz w:val="15"/>
      <w:szCs w:val="15"/>
    </w:rPr>
  </w:style>
  <w:style w:type="character" w:customStyle="1" w:styleId="BaseNTok">
    <w:name w:val="BaseNTok"/>
    <w:basedOn w:val="VerbatimChar"/>
    <w:rPr>
      <w:rFonts w:ascii="Consolas" w:hAnsi="Consolas" w:cs="Consolas"/>
      <w:color w:val="40A070"/>
      <w:sz w:val="15"/>
      <w:szCs w:val="15"/>
    </w:rPr>
  </w:style>
  <w:style w:type="character" w:customStyle="1" w:styleId="FloatTok">
    <w:name w:val="FloatTok"/>
    <w:basedOn w:val="VerbatimChar"/>
    <w:rPr>
      <w:rFonts w:ascii="Consolas" w:hAnsi="Consolas" w:cs="Consolas"/>
      <w:color w:val="40A070"/>
      <w:sz w:val="15"/>
      <w:szCs w:val="15"/>
    </w:rPr>
  </w:style>
  <w:style w:type="character" w:customStyle="1" w:styleId="ConstantTok">
    <w:name w:val="ConstantTok"/>
    <w:basedOn w:val="VerbatimChar"/>
    <w:rPr>
      <w:rFonts w:ascii="Consolas" w:hAnsi="Consolas" w:cs="Consolas"/>
      <w:color w:val="880000"/>
      <w:sz w:val="15"/>
      <w:szCs w:val="15"/>
    </w:rPr>
  </w:style>
  <w:style w:type="character" w:customStyle="1" w:styleId="CharTok">
    <w:name w:val="CharTok"/>
    <w:basedOn w:val="VerbatimChar"/>
    <w:rPr>
      <w:rFonts w:ascii="Consolas" w:hAnsi="Consolas" w:cs="Consolas"/>
      <w:color w:val="4070A0"/>
      <w:sz w:val="15"/>
      <w:szCs w:val="15"/>
    </w:rPr>
  </w:style>
  <w:style w:type="character" w:customStyle="1" w:styleId="SpecialCharTok">
    <w:name w:val="SpecialCharTok"/>
    <w:basedOn w:val="VerbatimChar"/>
    <w:rPr>
      <w:rFonts w:ascii="Consolas" w:hAnsi="Consolas" w:cs="Consolas"/>
      <w:color w:val="4070A0"/>
      <w:sz w:val="15"/>
      <w:szCs w:val="15"/>
    </w:rPr>
  </w:style>
  <w:style w:type="character" w:customStyle="1" w:styleId="StringTok">
    <w:name w:val="StringTok"/>
    <w:basedOn w:val="VerbatimChar"/>
    <w:rPr>
      <w:rFonts w:ascii="Consolas" w:hAnsi="Consolas" w:cs="Consolas"/>
      <w:color w:val="4070A0"/>
      <w:sz w:val="15"/>
      <w:szCs w:val="15"/>
    </w:rPr>
  </w:style>
  <w:style w:type="character" w:customStyle="1" w:styleId="VerbatimStringTok">
    <w:name w:val="VerbatimStringTok"/>
    <w:basedOn w:val="VerbatimChar"/>
    <w:rPr>
      <w:rFonts w:ascii="Consolas" w:hAnsi="Consolas" w:cs="Consolas"/>
      <w:color w:val="4070A0"/>
      <w:sz w:val="15"/>
      <w:szCs w:val="15"/>
    </w:rPr>
  </w:style>
  <w:style w:type="character" w:customStyle="1" w:styleId="SpecialStringTok">
    <w:name w:val="SpecialStringTok"/>
    <w:basedOn w:val="VerbatimChar"/>
    <w:rPr>
      <w:rFonts w:ascii="Consolas" w:hAnsi="Consolas" w:cs="Consolas"/>
      <w:color w:val="BB6688"/>
      <w:sz w:val="15"/>
      <w:szCs w:val="15"/>
    </w:rPr>
  </w:style>
  <w:style w:type="character" w:customStyle="1" w:styleId="ImportTok">
    <w:name w:val="ImportTok"/>
    <w:basedOn w:val="VerbatimChar"/>
    <w:rPr>
      <w:rFonts w:ascii="Consolas" w:hAnsi="Consolas" w:cs="Consolas"/>
      <w:b/>
      <w:color w:val="008000"/>
      <w:sz w:val="15"/>
      <w:szCs w:val="15"/>
    </w:rPr>
  </w:style>
  <w:style w:type="character" w:customStyle="1" w:styleId="CommentTok">
    <w:name w:val="CommentTok"/>
    <w:basedOn w:val="VerbatimChar"/>
    <w:rPr>
      <w:rFonts w:ascii="Consolas" w:hAnsi="Consolas" w:cs="Consolas"/>
      <w:i/>
      <w:color w:val="60A0B0"/>
      <w:sz w:val="15"/>
      <w:szCs w:val="15"/>
    </w:rPr>
  </w:style>
  <w:style w:type="character" w:customStyle="1" w:styleId="DocumentationTok">
    <w:name w:val="DocumentationTok"/>
    <w:basedOn w:val="VerbatimChar"/>
    <w:rPr>
      <w:rFonts w:ascii="Consolas" w:hAnsi="Consolas" w:cs="Consolas"/>
      <w:i/>
      <w:color w:val="BA2121"/>
      <w:sz w:val="15"/>
      <w:szCs w:val="15"/>
    </w:rPr>
  </w:style>
  <w:style w:type="character" w:customStyle="1" w:styleId="AnnotationTok">
    <w:name w:val="AnnotationTok"/>
    <w:basedOn w:val="VerbatimChar"/>
    <w:rPr>
      <w:rFonts w:ascii="Consolas" w:hAnsi="Consolas" w:cs="Consolas"/>
      <w:b/>
      <w:i/>
      <w:color w:val="60A0B0"/>
      <w:sz w:val="15"/>
      <w:szCs w:val="15"/>
    </w:rPr>
  </w:style>
  <w:style w:type="character" w:customStyle="1" w:styleId="CommentVarTok">
    <w:name w:val="CommentVarTok"/>
    <w:basedOn w:val="VerbatimChar"/>
    <w:rPr>
      <w:rFonts w:ascii="Consolas" w:hAnsi="Consolas" w:cs="Consolas"/>
      <w:b/>
      <w:i/>
      <w:color w:val="60A0B0"/>
      <w:sz w:val="15"/>
      <w:szCs w:val="15"/>
    </w:rPr>
  </w:style>
  <w:style w:type="character" w:customStyle="1" w:styleId="OtherTok">
    <w:name w:val="OtherTok"/>
    <w:basedOn w:val="VerbatimChar"/>
    <w:rPr>
      <w:rFonts w:ascii="Consolas" w:hAnsi="Consolas" w:cs="Consolas"/>
      <w:color w:val="007020"/>
      <w:sz w:val="15"/>
      <w:szCs w:val="15"/>
    </w:rPr>
  </w:style>
  <w:style w:type="character" w:customStyle="1" w:styleId="FunctionTok">
    <w:name w:val="FunctionTok"/>
    <w:basedOn w:val="VerbatimChar"/>
    <w:rPr>
      <w:rFonts w:ascii="Consolas" w:hAnsi="Consolas" w:cs="Consolas"/>
      <w:color w:val="06287E"/>
      <w:sz w:val="15"/>
      <w:szCs w:val="15"/>
    </w:rPr>
  </w:style>
  <w:style w:type="character" w:customStyle="1" w:styleId="VariableTok">
    <w:name w:val="VariableTok"/>
    <w:basedOn w:val="VerbatimChar"/>
    <w:rPr>
      <w:rFonts w:ascii="Consolas" w:hAnsi="Consolas" w:cs="Consolas"/>
      <w:color w:val="19177C"/>
      <w:sz w:val="15"/>
      <w:szCs w:val="15"/>
    </w:rPr>
  </w:style>
  <w:style w:type="character" w:customStyle="1" w:styleId="ControlFlowTok">
    <w:name w:val="ControlFlowTok"/>
    <w:basedOn w:val="VerbatimChar"/>
    <w:rPr>
      <w:rFonts w:ascii="Consolas" w:hAnsi="Consolas" w:cs="Consolas"/>
      <w:b/>
      <w:color w:val="007020"/>
      <w:sz w:val="15"/>
      <w:szCs w:val="15"/>
    </w:rPr>
  </w:style>
  <w:style w:type="character" w:customStyle="1" w:styleId="OperatorTok">
    <w:name w:val="OperatorTok"/>
    <w:basedOn w:val="VerbatimChar"/>
    <w:rPr>
      <w:rFonts w:ascii="Consolas" w:hAnsi="Consolas" w:cs="Consolas"/>
      <w:color w:val="666666"/>
      <w:sz w:val="15"/>
      <w:szCs w:val="15"/>
    </w:rPr>
  </w:style>
  <w:style w:type="character" w:customStyle="1" w:styleId="BuiltInTok">
    <w:name w:val="BuiltInTok"/>
    <w:basedOn w:val="VerbatimChar"/>
    <w:rPr>
      <w:rFonts w:ascii="Consolas" w:hAnsi="Consolas" w:cs="Consolas"/>
      <w:color w:val="008000"/>
      <w:sz w:val="15"/>
      <w:szCs w:val="15"/>
    </w:rPr>
  </w:style>
  <w:style w:type="character" w:customStyle="1" w:styleId="ExtensionTok">
    <w:name w:val="ExtensionTok"/>
    <w:basedOn w:val="VerbatimChar"/>
    <w:rPr>
      <w:rFonts w:ascii="Consolas" w:hAnsi="Consolas" w:cs="Consolas"/>
      <w:sz w:val="15"/>
      <w:szCs w:val="15"/>
    </w:rPr>
  </w:style>
  <w:style w:type="character" w:customStyle="1" w:styleId="PreprocessorTok">
    <w:name w:val="PreprocessorTok"/>
    <w:basedOn w:val="VerbatimChar"/>
    <w:rPr>
      <w:rFonts w:ascii="Consolas" w:hAnsi="Consolas" w:cs="Consolas"/>
      <w:color w:val="BC7A00"/>
      <w:sz w:val="15"/>
      <w:szCs w:val="15"/>
    </w:rPr>
  </w:style>
  <w:style w:type="character" w:customStyle="1" w:styleId="AttributeTok">
    <w:name w:val="AttributeTok"/>
    <w:basedOn w:val="VerbatimChar"/>
    <w:rPr>
      <w:rFonts w:ascii="Consolas" w:hAnsi="Consolas" w:cs="Consolas"/>
      <w:color w:val="7D9029"/>
      <w:sz w:val="15"/>
      <w:szCs w:val="15"/>
    </w:rPr>
  </w:style>
  <w:style w:type="character" w:customStyle="1" w:styleId="RegionMarkerTok">
    <w:name w:val="RegionMarkerTok"/>
    <w:basedOn w:val="VerbatimChar"/>
    <w:rPr>
      <w:rFonts w:ascii="Consolas" w:hAnsi="Consolas" w:cs="Consolas"/>
      <w:sz w:val="15"/>
      <w:szCs w:val="15"/>
    </w:rPr>
  </w:style>
  <w:style w:type="character" w:customStyle="1" w:styleId="InformationTok">
    <w:name w:val="InformationTok"/>
    <w:basedOn w:val="VerbatimChar"/>
    <w:rPr>
      <w:rFonts w:ascii="Consolas" w:hAnsi="Consolas" w:cs="Consolas"/>
      <w:b/>
      <w:i/>
      <w:color w:val="60A0B0"/>
      <w:sz w:val="15"/>
      <w:szCs w:val="15"/>
    </w:rPr>
  </w:style>
  <w:style w:type="character" w:customStyle="1" w:styleId="WarningTok">
    <w:name w:val="WarningTok"/>
    <w:basedOn w:val="VerbatimChar"/>
    <w:rPr>
      <w:rFonts w:ascii="Consolas" w:hAnsi="Consolas" w:cs="Consolas"/>
      <w:b/>
      <w:i/>
      <w:color w:val="60A0B0"/>
      <w:sz w:val="15"/>
      <w:szCs w:val="15"/>
    </w:rPr>
  </w:style>
  <w:style w:type="character" w:customStyle="1" w:styleId="AlertTok">
    <w:name w:val="AlertTok"/>
    <w:basedOn w:val="VerbatimChar"/>
    <w:rPr>
      <w:rFonts w:ascii="Consolas" w:hAnsi="Consolas" w:cs="Consolas"/>
      <w:b/>
      <w:color w:val="FF0000"/>
      <w:sz w:val="15"/>
      <w:szCs w:val="15"/>
    </w:rPr>
  </w:style>
  <w:style w:type="character" w:customStyle="1" w:styleId="ErrorTok">
    <w:name w:val="ErrorTok"/>
    <w:basedOn w:val="VerbatimChar"/>
    <w:rPr>
      <w:rFonts w:ascii="Consolas" w:hAnsi="Consolas" w:cs="Consolas"/>
      <w:b/>
      <w:color w:val="FF0000"/>
      <w:sz w:val="15"/>
      <w:szCs w:val="15"/>
    </w:rPr>
  </w:style>
  <w:style w:type="character" w:customStyle="1" w:styleId="NormalTok">
    <w:name w:val="NormalTok"/>
    <w:basedOn w:val="VerbatimChar"/>
    <w:rPr>
      <w:rFonts w:ascii="Consolas" w:hAnsi="Consolas" w:cs="Consolas"/>
      <w:sz w:val="15"/>
      <w:szCs w:val="15"/>
    </w:rPr>
  </w:style>
  <w:style w:type="character" w:styleId="UnresolvedMention">
    <w:name w:val="Unresolved Mention"/>
    <w:basedOn w:val="DefaultParagraphFont"/>
    <w:uiPriority w:val="99"/>
    <w:semiHidden/>
    <w:unhideWhenUsed/>
    <w:rsid w:val="00C01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Ier2077/CPEN-438-Group-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1201</Words>
  <Characters>6847</Characters>
  <Application>Microsoft Office Word</Application>
  <DocSecurity>0</DocSecurity>
  <Lines>57</Lines>
  <Paragraphs>16</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Project Proposal</dc:title>
  <dc:creator>CPEN 438 / CPEN 315 - Advanced Computer Architecture - University of Ghana, Legon</dc:creator>
  <cp:keywords/>
  <cp:lastModifiedBy>Rajeev Bhardwaj</cp:lastModifiedBy>
  <cp:revision>9</cp:revision>
  <dcterms:created xsi:type="dcterms:W3CDTF">2026-08-19T12:09:00Z</dcterms:created>
  <dcterms:modified xsi:type="dcterms:W3CDTF">2026-08-19T14:52:00Z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Project 3 - Hazard Watch</vt:lpwstr>
  </property>
  <property fmtid="{D5CDD505-2E9C-101B-9397-08002B2CF9AE}" pid="3" name="subtitle">
    <vt:lpwstr>Proposal, requirements specification and AI-use declaration</vt:lpwstr>
  </property>
</Properties>
</file>