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CC0F" w14:textId="77777777" w:rsidR="007715C5" w:rsidRDefault="00000000">
      <w:pPr>
        <w:pStyle w:val="Heading1"/>
      </w:pPr>
      <w:bookmarkStart w:id="0" w:name="correction-to-the-week-2-weekly-report"/>
      <w:r>
        <w:t>Correction to the Week 2 Weekly Report</w:t>
      </w:r>
    </w:p>
    <w:p w14:paraId="45C620FC" w14:textId="1F1070AA" w:rsidR="007715C5" w:rsidRDefault="00000000">
      <w:pPr>
        <w:pStyle w:val="FirstParagraph"/>
      </w:pPr>
      <w:r>
        <w:rPr>
          <w:b/>
          <w:bCs/>
        </w:rPr>
        <w:t>CPEN 438 Project 3 · Hazard Watch · TEAM-07</w:t>
      </w:r>
    </w:p>
    <w:p w14:paraId="5CEC2C9A" w14:textId="77777777" w:rsidR="007715C5" w:rsidRDefault="00000000">
      <w:pPr>
        <w:pStyle w:val="BodyText"/>
      </w:pPr>
      <w:r>
        <w:t>Submitted with the Week 3 deliverables.</w:t>
      </w:r>
    </w:p>
    <w:p w14:paraId="6B77ED9A" w14:textId="2EE5C54D" w:rsidR="007715C5" w:rsidRDefault="007715C5"/>
    <w:p w14:paraId="72E32F18" w14:textId="77777777" w:rsidR="007715C5" w:rsidRDefault="00000000">
      <w:pPr>
        <w:pStyle w:val="Heading2"/>
      </w:pPr>
      <w:bookmarkStart w:id="1" w:name="what-is-wrong"/>
      <w:r>
        <w:t>What is wrong</w:t>
      </w:r>
    </w:p>
    <w:p w14:paraId="10929931" w14:textId="77777777" w:rsidR="007715C5" w:rsidRDefault="00000000">
      <w:pPr>
        <w:pStyle w:val="FirstParagraph"/>
      </w:pPr>
      <w:r>
        <w:t xml:space="preserve">The forwarding-activity figures in </w:t>
      </w:r>
      <w:r>
        <w:rPr>
          <w:rStyle w:val="VerbatimChar"/>
        </w:rPr>
        <w:t>Weekly_Report_Week2.docx</w:t>
      </w:r>
      <w:r>
        <w:t xml:space="preserve"> do not match the simulator output they were drawn from. The error appears twice, in section 1 (progress summary) and section 4 (results).</w:t>
      </w:r>
    </w:p>
    <w:tbl>
      <w:tblPr>
        <w:tblStyle w:val="Table"/>
        <w:tblW w:w="9638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4893"/>
        <w:gridCol w:w="3114"/>
        <w:gridCol w:w="1631"/>
      </w:tblGrid>
      <w:tr w:rsidR="007715C5" w14:paraId="48F89C53" w14:textId="77777777" w:rsidTr="00771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892" w:type="dxa"/>
            <w:shd w:val="clear" w:color="auto" w:fill="D9E2F3"/>
          </w:tcPr>
          <w:p w14:paraId="630BAED0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w="3113" w:type="dxa"/>
            <w:shd w:val="clear" w:color="auto" w:fill="D9E2F3"/>
          </w:tcPr>
          <w:p w14:paraId="523E3C60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sz w:val="18"/>
              </w:rPr>
              <w:t>Week 2 weekly report</w:t>
            </w:r>
          </w:p>
        </w:tc>
        <w:tc>
          <w:tcPr>
            <w:tcW w:w="1631" w:type="dxa"/>
            <w:shd w:val="clear" w:color="auto" w:fill="D9E2F3"/>
          </w:tcPr>
          <w:p w14:paraId="389F0E69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sz w:val="18"/>
              </w:rPr>
              <w:t>Correct value</w:t>
            </w:r>
          </w:p>
        </w:tc>
      </w:tr>
      <w:tr w:rsidR="007715C5" w14:paraId="74BB4762" w14:textId="77777777" w:rsidTr="007715C5">
        <w:trPr>
          <w:jc w:val="center"/>
        </w:trPr>
        <w:tc>
          <w:tcPr>
            <w:tcW w:w="4892" w:type="dxa"/>
          </w:tcPr>
          <w:p w14:paraId="0491EF40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Forwards via EX/MEM → EX</w:t>
            </w:r>
          </w:p>
        </w:tc>
        <w:tc>
          <w:tcPr>
            <w:tcW w:w="3113" w:type="dxa"/>
          </w:tcPr>
          <w:p w14:paraId="6D942E95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1631" w:type="dxa"/>
          </w:tcPr>
          <w:p w14:paraId="68CBFD24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8"/>
              </w:rPr>
              <w:t>9</w:t>
            </w:r>
          </w:p>
        </w:tc>
      </w:tr>
      <w:tr w:rsidR="007715C5" w14:paraId="717D9D76" w14:textId="77777777" w:rsidTr="007715C5">
        <w:trPr>
          <w:jc w:val="center"/>
        </w:trPr>
        <w:tc>
          <w:tcPr>
            <w:tcW w:w="4892" w:type="dxa"/>
          </w:tcPr>
          <w:p w14:paraId="4FAE7DBA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Forwards via MEM/WB → EX</w:t>
            </w:r>
          </w:p>
        </w:tc>
        <w:tc>
          <w:tcPr>
            <w:tcW w:w="3113" w:type="dxa"/>
          </w:tcPr>
          <w:p w14:paraId="741A1D9C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631" w:type="dxa"/>
          </w:tcPr>
          <w:p w14:paraId="28EEF018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8"/>
              </w:rPr>
              <w:t>7</w:t>
            </w:r>
          </w:p>
        </w:tc>
      </w:tr>
      <w:tr w:rsidR="007715C5" w14:paraId="6F840D14" w14:textId="77777777" w:rsidTr="007715C5">
        <w:trPr>
          <w:jc w:val="center"/>
        </w:trPr>
        <w:tc>
          <w:tcPr>
            <w:tcW w:w="4892" w:type="dxa"/>
          </w:tcPr>
          <w:p w14:paraId="7B0EA269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Forwards via EX/MEM → ID</w:t>
            </w:r>
          </w:p>
        </w:tc>
        <w:tc>
          <w:tcPr>
            <w:tcW w:w="3113" w:type="dxa"/>
          </w:tcPr>
          <w:p w14:paraId="7B79A1BC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1631" w:type="dxa"/>
          </w:tcPr>
          <w:p w14:paraId="043E926D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1</w:t>
            </w:r>
          </w:p>
        </w:tc>
      </w:tr>
      <w:tr w:rsidR="007715C5" w14:paraId="4CFE0C79" w14:textId="77777777" w:rsidTr="007715C5">
        <w:trPr>
          <w:jc w:val="center"/>
        </w:trPr>
        <w:tc>
          <w:tcPr>
            <w:tcW w:w="4892" w:type="dxa"/>
          </w:tcPr>
          <w:p w14:paraId="37F69BEC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Dependences resolved at zero cost</w:t>
            </w:r>
          </w:p>
        </w:tc>
        <w:tc>
          <w:tcPr>
            <w:tcW w:w="3113" w:type="dxa"/>
          </w:tcPr>
          <w:p w14:paraId="0AC876B1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“Sixteen of eighteen”</w:t>
            </w:r>
          </w:p>
        </w:tc>
        <w:tc>
          <w:tcPr>
            <w:tcW w:w="1631" w:type="dxa"/>
          </w:tcPr>
          <w:p w14:paraId="477E227E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8"/>
              </w:rPr>
              <w:t>17 of 19</w:t>
            </w:r>
          </w:p>
        </w:tc>
      </w:tr>
    </w:tbl>
    <w:p w14:paraId="4931497C" w14:textId="77777777" w:rsidR="007715C5" w:rsidRDefault="00000000">
      <w:pPr>
        <w:pStyle w:val="Heading2"/>
      </w:pPr>
      <w:bookmarkStart w:id="2" w:name="where-the-correct-figures-come-from"/>
      <w:bookmarkEnd w:id="1"/>
      <w:r>
        <w:t>Where the correct figures come from</w:t>
      </w:r>
    </w:p>
    <w:p w14:paraId="02DCF77D" w14:textId="77777777" w:rsidR="007715C5" w:rsidRDefault="00000000">
      <w:pPr>
        <w:pStyle w:val="FirstParagraph"/>
      </w:pPr>
      <w:r>
        <w:t>Three independent artefacts already submitted with Week 2 agree on 9 / 7 / 1:</w:t>
      </w:r>
    </w:p>
    <w:p w14:paraId="720F16ED" w14:textId="77777777" w:rsidR="007715C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results/run_seed16993.txt</w:t>
      </w:r>
      <w:r>
        <w:t>, the simulator’s own summary block</w:t>
      </w:r>
    </w:p>
    <w:p w14:paraId="47EF7BDC" w14:textId="77777777" w:rsidR="007715C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results/hazard_classification.csv</w:t>
      </w:r>
      <w:r>
        <w:t>, which lists all 19 events individually</w:t>
      </w:r>
    </w:p>
    <w:p w14:paraId="496F77C5" w14:textId="77777777" w:rsidR="007715C5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Detailed_Results_Optional.docx</w:t>
      </w:r>
      <w:r>
        <w:t xml:space="preserve">, generated from that output by </w:t>
      </w:r>
      <w:r>
        <w:rPr>
          <w:rStyle w:val="VerbatimChar"/>
        </w:rPr>
        <w:t>rebuild.py</w:t>
      </w:r>
    </w:p>
    <w:p w14:paraId="54529A08" w14:textId="77777777" w:rsidR="007715C5" w:rsidRDefault="00000000">
      <w:pPr>
        <w:pStyle w:val="FirstParagraph"/>
      </w:pPr>
      <w:r>
        <w:t>Counting the classification CSV by class:</w:t>
      </w:r>
    </w:p>
    <w:tbl>
      <w:tblPr>
        <w:tblStyle w:val="Table"/>
        <w:tblW w:w="9638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020" w:firstRow="1" w:lastRow="0" w:firstColumn="0" w:lastColumn="0" w:noHBand="0" w:noVBand="0"/>
      </w:tblPr>
      <w:tblGrid>
        <w:gridCol w:w="6772"/>
        <w:gridCol w:w="2866"/>
      </w:tblGrid>
      <w:tr w:rsidR="007715C5" w14:paraId="17A5EE9F" w14:textId="77777777" w:rsidTr="00771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771" w:type="dxa"/>
            <w:shd w:val="clear" w:color="auto" w:fill="D9E2F3"/>
          </w:tcPr>
          <w:p w14:paraId="7FEBFA19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w="2865" w:type="dxa"/>
            <w:shd w:val="clear" w:color="auto" w:fill="D9E2F3"/>
          </w:tcPr>
          <w:p w14:paraId="1AE67F14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sz w:val="18"/>
              </w:rPr>
              <w:t>Count</w:t>
            </w:r>
          </w:p>
        </w:tc>
      </w:tr>
      <w:tr w:rsidR="007715C5" w14:paraId="35F8DBA1" w14:textId="77777777" w:rsidTr="007715C5">
        <w:trPr>
          <w:jc w:val="center"/>
        </w:trPr>
        <w:tc>
          <w:tcPr>
            <w:tcW w:w="6771" w:type="dxa"/>
          </w:tcPr>
          <w:p w14:paraId="53C000C2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RAW forwarded EX/MEM → EX</w:t>
            </w:r>
          </w:p>
        </w:tc>
        <w:tc>
          <w:tcPr>
            <w:tcW w:w="2865" w:type="dxa"/>
          </w:tcPr>
          <w:p w14:paraId="07E9F8C2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9</w:t>
            </w:r>
          </w:p>
        </w:tc>
      </w:tr>
      <w:tr w:rsidR="007715C5" w14:paraId="4B4E7B14" w14:textId="77777777" w:rsidTr="007715C5">
        <w:trPr>
          <w:jc w:val="center"/>
        </w:trPr>
        <w:tc>
          <w:tcPr>
            <w:tcW w:w="6771" w:type="dxa"/>
          </w:tcPr>
          <w:p w14:paraId="270E8F53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RAW forwarded MEM/WB → EX</w:t>
            </w:r>
          </w:p>
        </w:tc>
        <w:tc>
          <w:tcPr>
            <w:tcW w:w="2865" w:type="dxa"/>
          </w:tcPr>
          <w:p w14:paraId="749D22D7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7</w:t>
            </w:r>
          </w:p>
        </w:tc>
      </w:tr>
      <w:tr w:rsidR="007715C5" w14:paraId="6BFE1A2C" w14:textId="77777777" w:rsidTr="007715C5">
        <w:trPr>
          <w:jc w:val="center"/>
        </w:trPr>
        <w:tc>
          <w:tcPr>
            <w:tcW w:w="6771" w:type="dxa"/>
          </w:tcPr>
          <w:p w14:paraId="1CD49A8A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RAW forwarded EX/MEM → ID</w:t>
            </w:r>
          </w:p>
        </w:tc>
        <w:tc>
          <w:tcPr>
            <w:tcW w:w="2865" w:type="dxa"/>
          </w:tcPr>
          <w:p w14:paraId="233965AB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1</w:t>
            </w:r>
          </w:p>
        </w:tc>
      </w:tr>
      <w:tr w:rsidR="007715C5" w14:paraId="11B5D4BB" w14:textId="77777777" w:rsidTr="007715C5">
        <w:trPr>
          <w:jc w:val="center"/>
        </w:trPr>
        <w:tc>
          <w:tcPr>
            <w:tcW w:w="6771" w:type="dxa"/>
          </w:tcPr>
          <w:p w14:paraId="0E3F0E03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LOAD-USE stall required</w:t>
            </w:r>
          </w:p>
        </w:tc>
        <w:tc>
          <w:tcPr>
            <w:tcW w:w="2865" w:type="dxa"/>
          </w:tcPr>
          <w:p w14:paraId="24093EAA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1</w:t>
            </w:r>
          </w:p>
        </w:tc>
      </w:tr>
      <w:tr w:rsidR="007715C5" w14:paraId="6F74A668" w14:textId="77777777" w:rsidTr="007715C5">
        <w:trPr>
          <w:jc w:val="center"/>
        </w:trPr>
        <w:tc>
          <w:tcPr>
            <w:tcW w:w="6771" w:type="dxa"/>
          </w:tcPr>
          <w:p w14:paraId="07AEBCAA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BRANCH-DATA stall required</w:t>
            </w:r>
          </w:p>
        </w:tc>
        <w:tc>
          <w:tcPr>
            <w:tcW w:w="2865" w:type="dxa"/>
          </w:tcPr>
          <w:p w14:paraId="5588781C" w14:textId="77777777" w:rsidR="007715C5" w:rsidRDefault="00000000">
            <w:pPr>
              <w:pStyle w:val="Compact"/>
              <w:spacing w:before="40" w:after="40"/>
            </w:pPr>
            <w:r>
              <w:rPr>
                <w:sz w:val="18"/>
              </w:rPr>
              <w:t>1</w:t>
            </w:r>
          </w:p>
        </w:tc>
      </w:tr>
      <w:tr w:rsidR="007715C5" w14:paraId="5F9F8DE3" w14:textId="77777777" w:rsidTr="007715C5">
        <w:trPr>
          <w:jc w:val="center"/>
        </w:trPr>
        <w:tc>
          <w:tcPr>
            <w:tcW w:w="6771" w:type="dxa"/>
          </w:tcPr>
          <w:p w14:paraId="6920D49F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8"/>
              </w:rPr>
              <w:t>Total events</w:t>
            </w:r>
          </w:p>
        </w:tc>
        <w:tc>
          <w:tcPr>
            <w:tcW w:w="2865" w:type="dxa"/>
          </w:tcPr>
          <w:p w14:paraId="2B89C6E2" w14:textId="77777777" w:rsidR="007715C5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8"/>
              </w:rPr>
              <w:t>19</w:t>
            </w:r>
          </w:p>
        </w:tc>
      </w:tr>
    </w:tbl>
    <w:p w14:paraId="071329BD" w14:textId="77777777" w:rsidR="007715C5" w:rsidRDefault="00000000">
      <w:pPr>
        <w:pStyle w:val="BodyText"/>
      </w:pPr>
      <w:r>
        <w:t>17 forwards + 2 stalls = 19.</w:t>
      </w:r>
    </w:p>
    <w:p w14:paraId="0534FD33" w14:textId="77777777" w:rsidR="007715C5" w:rsidRDefault="00000000">
      <w:pPr>
        <w:pStyle w:val="Heading2"/>
      </w:pPr>
      <w:bookmarkStart w:id="3" w:name="how-it-happened"/>
      <w:bookmarkEnd w:id="2"/>
      <w:r>
        <w:t>How it happened</w:t>
      </w:r>
    </w:p>
    <w:p w14:paraId="5CE23038" w14:textId="77777777" w:rsidR="007715C5" w:rsidRDefault="00000000">
      <w:pPr>
        <w:pStyle w:val="FirstParagraph"/>
      </w:pPr>
      <w:r>
        <w:rPr>
          <w:rStyle w:val="VerbatimChar"/>
        </w:rPr>
        <w:t>rebuild.py</w:t>
      </w:r>
      <w:r>
        <w:t xml:space="preserve"> regenerates the results section of the </w:t>
      </w:r>
      <w:r>
        <w:rPr>
          <w:i/>
          <w:iCs/>
        </w:rPr>
        <w:t>detailed</w:t>
      </w:r>
      <w:r>
        <w:t xml:space="preserve"> results document directly from the simulator’s output, computing </w:t>
      </w:r>
      <w:r>
        <w:rPr>
          <w:rStyle w:val="VerbatimChar"/>
        </w:rPr>
        <w:t>total_fwd = fwd_ex + fwd_wb + fwd_id</w:t>
      </w:r>
      <w:r>
        <w:t>. That document is correct. The weekly report’s narrative summary was written by hand and was not regenerated, so it drifted from the generated figures.</w:t>
      </w:r>
    </w:p>
    <w:p w14:paraId="6C60B200" w14:textId="77777777" w:rsidR="007715C5" w:rsidRDefault="00000000">
      <w:pPr>
        <w:pStyle w:val="Heading2"/>
      </w:pPr>
      <w:bookmarkStart w:id="4" w:name="what-has-been-changed"/>
      <w:bookmarkEnd w:id="3"/>
      <w:r>
        <w:t>What has been changed</w:t>
      </w:r>
    </w:p>
    <w:p w14:paraId="5499AC26" w14:textId="77777777" w:rsidR="007715C5" w:rsidRDefault="00000000">
      <w:pPr>
        <w:pStyle w:val="FirstParagraph"/>
      </w:pPr>
      <w:r>
        <w:t>The weekly-report forwarding figures are now produced by the same code path as the detailed results, so the two cannot diverge again. Nothing else in the Week 2 report is affected: the cycle counts (47 → 25), the speedup (1.88×), both CPI figures (2.4737 / 1.3158 useful, 1.0930 / 1.3158 retired), the 24 inserted NOPs, the stall counts and the cross-validation result were all correct as submitted.</w:t>
      </w:r>
    </w:p>
    <w:p w14:paraId="266E1B47" w14:textId="77777777" w:rsidR="007715C5" w:rsidRDefault="00000000">
      <w:pPr>
        <w:pStyle w:val="Heading2"/>
      </w:pPr>
      <w:bookmarkStart w:id="5" w:name="effect-on-conclusions"/>
      <w:bookmarkEnd w:id="4"/>
      <w:r>
        <w:lastRenderedPageBreak/>
        <w:t>Effect on conclusions</w:t>
      </w:r>
    </w:p>
    <w:p w14:paraId="691934BA" w14:textId="77777777" w:rsidR="007715C5" w:rsidRDefault="00000000">
      <w:pPr>
        <w:pStyle w:val="FirstParagraph"/>
      </w:pPr>
      <w:r>
        <w:t>None. The corrected figures strengthen rather than weaken the Week 2 argument: 17 of 19 true dependences are resolved at zero cost rather than 16 of 18, and the two that cost a cycle each remain the load-use hazard and the branch-operand hazard, both predicted in the Week 1 design document before any code was written.</w:t>
      </w:r>
      <w:bookmarkEnd w:id="0"/>
      <w:bookmarkEnd w:id="5"/>
    </w:p>
    <w:sectPr w:rsidR="007715C5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F6AB2" w14:textId="77777777" w:rsidR="00A33435" w:rsidRDefault="00A33435">
      <w:pPr>
        <w:spacing w:after="0" w:line="240" w:lineRule="auto"/>
      </w:pPr>
      <w:r>
        <w:separator/>
      </w:r>
    </w:p>
  </w:endnote>
  <w:endnote w:type="continuationSeparator" w:id="0">
    <w:p w14:paraId="2A290328" w14:textId="77777777" w:rsidR="00A33435" w:rsidRDefault="00A33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05F5" w14:textId="77777777" w:rsidR="007715C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906F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CDF1" w14:textId="77777777" w:rsidR="00A33435" w:rsidRDefault="00A33435">
      <w:r>
        <w:separator/>
      </w:r>
    </w:p>
  </w:footnote>
  <w:footnote w:type="continuationSeparator" w:id="0">
    <w:p w14:paraId="32302A07" w14:textId="77777777" w:rsidR="00A33435" w:rsidRDefault="00A33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4433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30A32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62408794">
    <w:abstractNumId w:val="0"/>
  </w:num>
  <w:num w:numId="2" w16cid:durableId="894925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5C5"/>
    <w:rsid w:val="005B2A72"/>
    <w:rsid w:val="007715C5"/>
    <w:rsid w:val="00A33435"/>
    <w:rsid w:val="00B9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6052"/>
  <w15:docId w15:val="{EA0CDAF6-22E3-4795-9666-4C64AB3A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Rajeev Bhardwaj</cp:lastModifiedBy>
  <cp:revision>3</cp:revision>
  <dcterms:created xsi:type="dcterms:W3CDTF">2026-08-22T22:31:00Z</dcterms:created>
  <dcterms:modified xsi:type="dcterms:W3CDTF">2026-08-23T22:39:00Z</dcterms:modified>
</cp:coreProperties>
</file>