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weekly-report-week-4"/>
    <w:p>
      <w:pPr>
        <w:pStyle w:val="Heading1"/>
        <w:jc w:val="left"/>
      </w:pPr>
      <w:r>
        <w:t xml:space="preserve">Weekly Report — Week 4</w:t>
      </w:r>
    </w:p>
    <w:p>
      <w:pPr>
        <w:pStyle w:val="FirstParagraph"/>
      </w:pPr>
      <w:r>
        <w:rPr>
          <w:bCs/>
          <w:b/>
        </w:rPr>
        <w:t xml:space="preserve">Project 3: Hazard Watch — Forwarding, Stalling and Branch Resolution in a COCOBOD Yield-Estimation Datapath</w:t>
      </w:r>
    </w:p>
    <w:p>
      <w:pPr>
        <w:pStyle w:val="BodyText"/>
      </w:pPr>
      <w:r>
        <w:t xml:space="preserve">CPEN 438 · University of Ghana, Legon · Department of Computer Engineering</w:t>
      </w:r>
    </w:p>
    <w:p>
      <w:pPr>
        <w:pStyle w:val="BodyText"/>
      </w:pPr>
      <w:r>
        <w:rPr>
          <w:bCs/>
          <w:b/>
        </w:rPr>
        <w:t xml:space="preserve">Team:</w:t>
      </w:r>
      <w:r>
        <w:t xml:space="preserve"> </w:t>
      </w:r>
      <w:r>
        <w:t xml:space="preserve">Group-5 ·</w:t>
      </w:r>
      <w:r>
        <w:t xml:space="preserve"> </w:t>
      </w:r>
      <w:r>
        <w:rPr>
          <w:bCs/>
          <w:b/>
        </w:rPr>
        <w:t xml:space="preserve">Reporting week:</w:t>
      </w:r>
      <w:r>
        <w:t xml:space="preserve"> </w:t>
      </w:r>
      <w:r>
        <w:t xml:space="preserve">Week 4 ·</w:t>
      </w:r>
      <w:r>
        <w:t xml:space="preserve"> </w:t>
      </w:r>
      <w:r>
        <w:rPr>
          <w:bCs/>
          <w:b/>
        </w:rPr>
        <w:t xml:space="preserve">Seed:</w:t>
      </w:r>
      <w:r>
        <w:t xml:space="preserve"> </w:t>
      </w:r>
      <w:r>
        <w:t xml:space="preserve">16993 (provisional, drawn 19 August 2026)</w:t>
      </w:r>
    </w:p>
    <w:p>
      <w:pPr>
        <w:pStyle w:val="BlockText"/>
      </w:pPr>
      <w:r>
        <w:rPr>
          <w:bCs/>
          <w:b/>
        </w:rPr>
        <w:t xml:space="preserve">Before submitting.</w:t>
      </w:r>
      <w:r>
        <w:t xml:space="preserve"> </w:t>
      </w:r>
      <w:r>
        <w:t xml:space="preserve">Complete: §2 meeting details, §3 commit hashes, §7 signatures.</w:t>
      </w:r>
      <w:r>
        <w:t xml:space="preserve"> </w:t>
      </w:r>
      <w:r>
        <w:t xml:space="preserve">Delete this box.</w:t>
      </w:r>
    </w:p>
    <w:p>
      <w:r>
        <w:pict>
          <v:rect style="width:0;height:1.5pt" o:hralign="center" o:hrstd="t" o:hr="t"/>
        </w:pict>
      </w:r>
    </w:p>
    <w:bookmarkStart w:id="20" w:name="objectives-and-progress-summary"/>
    <w:p>
      <w:pPr>
        <w:pStyle w:val="Heading2"/>
      </w:pPr>
      <w:r>
        <w:t xml:space="preserve">1. Objectives and Progress Summary</w:t>
      </w:r>
    </w:p>
    <w:p>
      <w:pPr>
        <w:pStyle w:val="FirstParagraph"/>
      </w:pPr>
      <w:r>
        <w:rPr>
          <w:bCs/>
          <w:b/>
        </w:rPr>
        <w:t xml:space="preserve">Objectives.</w:t>
      </w:r>
      <w:r>
        <w:t xml:space="preserve"> </w:t>
      </w:r>
      <w:r>
        <w:t xml:space="preserve">Validation, reporting and defence: finalise the Level-3 extension, complete the technical report, prepare the live demonstration, and submit individual contribution statements and peer assessments.</w:t>
      </w:r>
    </w:p>
    <w:p>
      <w:pPr>
        <w:pStyle w:val="BodyText"/>
      </w:pPr>
      <w:r>
        <w:rPr>
          <w:bCs/>
          <w:b/>
        </w:rPr>
        <w:t xml:space="preserve">Progress.</w:t>
      </w:r>
      <w:r>
        <w:t xml:space="preserve"> </w:t>
      </w:r>
      <w:r>
        <w:t xml:space="preserve">All Week 4 deliverables are complete. The Logisim work advanced from three unverified subcircuits to three subcircuits verified against both the Week 1 truth tables and the golden simulator, and that verification found a genuine defect (§4.2). The scheduler was extended from one program to the full eleven-program density suite. The technical report, defence deck, AI-use declaration and all eight forms are complete.</w:t>
      </w:r>
    </w:p>
    <w:p>
      <w:pPr>
        <w:pStyle w:val="BodyText"/>
      </w:pPr>
      <w:r>
        <w:rPr>
          <w:bCs/>
          <w:b/>
        </w:rPr>
        <w:t xml:space="preserve">The one objective not fully met, carried from Week 3 and now closed as a declared limitation:</w:t>
      </w:r>
      <w:r>
        <w:t xml:space="preserve"> </w:t>
      </w:r>
      <w:r>
        <w:t xml:space="preserve">the Logisim hazard units are not wired into a complete five-stage datapath. There is no PC, instruction ROM, pipeline register, register file, ALU or top-level circuit, so the circuit does not execute the COCOBOD routine end to end. §14 of the technical report and</w:t>
      </w:r>
      <w:r>
        <w:t xml:space="preserve"> </w:t>
      </w:r>
      <w:r>
        <w:rPr>
          <w:rStyle w:val="VerbatimChar"/>
        </w:rPr>
        <w:t xml:space="preserve">03_evidence/STATUS_week3.md</w:t>
      </w:r>
      <w:r>
        <w:t xml:space="preserve"> </w:t>
      </w:r>
      <w:r>
        <w:t xml:space="preserve">state this plainly rather than leaving it to be discovered when the</w:t>
      </w:r>
      <w:r>
        <w:t xml:space="preserve"> </w:t>
      </w:r>
      <w:r>
        <w:rPr>
          <w:rStyle w:val="VerbatimChar"/>
        </w:rPr>
        <w:t xml:space="preserve">.circ</w:t>
      </w:r>
      <w:r>
        <w:t xml:space="preserve"> </w:t>
      </w:r>
      <w:r>
        <w:t xml:space="preserve">file is opened.</w:t>
      </w:r>
    </w:p>
    <w:bookmarkEnd w:id="20"/>
    <w:bookmarkStart w:id="21" w:name="meetings-held"/>
    <w:p>
      <w:pPr>
        <w:pStyle w:val="Heading2"/>
      </w:pPr>
      <w:r>
        <w:t xml:space="preserve">2. Meetings Held</w:t>
      </w:r>
    </w:p>
    <w:tbl>
      <w:tblPr>
        <w:tblStyle w:val="Table"/>
        <w:tblW w:type="dxa" w:w="9638"/>
        <w:tblLook w:firstRow="1" w:lastRow="0" w:firstColumn="0" w:lastColumn="0" w:noHBand="0" w:noVBand="0" w:val="002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Pr>
      <w:tblGrid>
        <w:gridCol w:w="349"/>
        <w:gridCol w:w="628"/>
        <w:gridCol w:w="768"/>
        <w:gridCol w:w="768"/>
        <w:gridCol w:w="768"/>
        <w:gridCol w:w="768"/>
        <w:gridCol w:w="2793"/>
        <w:gridCol w:w="2793"/>
      </w:tblGrid>
      <w:tr>
        <w:trPr>
          <w:tblHeader w:val="true"/>
        </w:trPr>
        <w:tc>
          <w:tcPr>
            <w:tcW w:type="dxa" w:w="349"/>
            <w:shd w:val="clear" w:color="auto" w:fill="D9E2F3"/>
          </w:tcPr>
          <w:p>
            <w:pPr>
              <w:pStyle w:val="Compact"/>
              <w:spacing w:before="40" w:after="40"/>
              <w:jc w:val="left"/>
            </w:pPr>
            <w:r>
              <w:rPr>
                <w:b/>
                <w:sz w:val="18"/>
              </w:rPr>
              <w:t xml:space="preserve">#</w:t>
            </w:r>
          </w:p>
        </w:tc>
        <w:tc>
          <w:tcPr>
            <w:tcW w:type="dxa" w:w="628"/>
            <w:shd w:val="clear" w:color="auto" w:fill="D9E2F3"/>
          </w:tcPr>
          <w:p>
            <w:pPr>
              <w:pStyle w:val="Compact"/>
              <w:spacing w:before="40" w:after="40"/>
              <w:jc w:val="left"/>
            </w:pPr>
            <w:r>
              <w:rPr>
                <w:b/>
                <w:sz w:val="18"/>
              </w:rPr>
              <w:t xml:space="preserve">Date</w:t>
            </w:r>
          </w:p>
        </w:tc>
        <w:tc>
          <w:tcPr>
            <w:tcW w:type="dxa" w:w="768"/>
            <w:shd w:val="clear" w:color="auto" w:fill="D9E2F3"/>
          </w:tcPr>
          <w:p>
            <w:pPr>
              <w:pStyle w:val="Compact"/>
              <w:spacing w:before="40" w:after="40"/>
              <w:jc w:val="left"/>
            </w:pPr>
            <w:r>
              <w:rPr>
                <w:b/>
                <w:sz w:val="18"/>
              </w:rPr>
              <w:t xml:space="preserve">Time</w:t>
            </w:r>
          </w:p>
        </w:tc>
        <w:tc>
          <w:tcPr>
            <w:tcW w:type="dxa" w:w="768"/>
            <w:shd w:val="clear" w:color="auto" w:fill="D9E2F3"/>
          </w:tcPr>
          <w:p>
            <w:pPr>
              <w:pStyle w:val="Compact"/>
              <w:spacing w:before="40" w:after="40"/>
              <w:jc w:val="left"/>
            </w:pPr>
            <w:r>
              <w:rPr>
                <w:b/>
                <w:sz w:val="18"/>
              </w:rPr>
              <w:t xml:space="preserve">Duration</w:t>
            </w:r>
          </w:p>
        </w:tc>
        <w:tc>
          <w:tcPr>
            <w:tcW w:type="dxa" w:w="768"/>
            <w:shd w:val="clear" w:color="auto" w:fill="D9E2F3"/>
          </w:tcPr>
          <w:p>
            <w:pPr>
              <w:pStyle w:val="Compact"/>
              <w:spacing w:before="40" w:after="40"/>
              <w:jc w:val="left"/>
            </w:pPr>
            <w:r>
              <w:rPr>
                <w:b/>
                <w:sz w:val="18"/>
              </w:rPr>
              <w:t xml:space="preserve">Mode</w:t>
            </w:r>
          </w:p>
        </w:tc>
        <w:tc>
          <w:tcPr>
            <w:tcW w:type="dxa" w:w="768"/>
            <w:shd w:val="clear" w:color="auto" w:fill="D9E2F3"/>
          </w:tcPr>
          <w:p>
            <w:pPr>
              <w:pStyle w:val="Compact"/>
              <w:spacing w:before="40" w:after="40"/>
              <w:jc w:val="left"/>
            </w:pPr>
            <w:r>
              <w:rPr>
                <w:b/>
                <w:sz w:val="18"/>
              </w:rPr>
              <w:t xml:space="preserve">Attendance</w:t>
            </w:r>
          </w:p>
        </w:tc>
        <w:tc>
          <w:tcPr>
            <w:tcW w:type="dxa" w:w="2793"/>
            <w:shd w:val="clear" w:color="auto" w:fill="D9E2F3"/>
          </w:tcPr>
          <w:p>
            <w:pPr>
              <w:pStyle w:val="Compact"/>
              <w:spacing w:before="40" w:after="40"/>
              <w:jc w:val="left"/>
            </w:pPr>
            <w:r>
              <w:rPr>
                <w:b/>
                <w:sz w:val="18"/>
              </w:rPr>
              <w:t xml:space="preserve">Agenda</w:t>
            </w:r>
          </w:p>
        </w:tc>
        <w:tc>
          <w:tcPr>
            <w:tcW w:type="dxa" w:w="2793"/>
            <w:shd w:val="clear" w:color="auto" w:fill="D9E2F3"/>
          </w:tcPr>
          <w:p>
            <w:pPr>
              <w:pStyle w:val="Compact"/>
              <w:spacing w:before="40" w:after="40"/>
              <w:jc w:val="left"/>
            </w:pPr>
            <w:r>
              <w:rPr>
                <w:b/>
                <w:sz w:val="18"/>
              </w:rPr>
              <w:t xml:space="preserve">Outcome</w:t>
            </w:r>
          </w:p>
        </w:tc>
      </w:tr>
      <w:tr>
        <w:tc>
          <w:tcPr>
            <w:tcW w:type="dxa" w:w="349"/>
          </w:tcPr>
          <w:p>
            <w:pPr>
              <w:pStyle w:val="Compact"/>
              <w:spacing w:before="40" w:after="40"/>
              <w:jc w:val="left"/>
            </w:pPr>
            <w:r>
              <w:rPr>
                <w:sz w:val="18"/>
              </w:rPr>
              <w:t xml:space="preserve">1</w:t>
            </w:r>
          </w:p>
        </w:tc>
        <w:tc>
          <w:tcPr>
            <w:tcW w:type="dxa" w:w="628"/>
          </w:tcPr>
          <w:p>
            <w:pPr>
              <w:pStyle w:val="Compact"/>
              <w:spacing w:before="40" w:after="40"/>
              <w:jc w:val="left"/>
            </w:pPr>
            <w:r>
              <w:rPr>
                <w:rStyle w:val="VerbatimChar"/>
                <w:sz w:val="18"/>
              </w:rPr>
              <w:t xml:space="preserve">[date]</w:t>
            </w:r>
          </w:p>
        </w:tc>
        <w:tc>
          <w:tcPr>
            <w:tcW w:type="dxa" w:w="768"/>
          </w:tcPr>
          <w:p>
            <w:pPr>
              <w:pStyle w:val="Compact"/>
              <w:spacing w:before="40" w:after="40"/>
              <w:jc w:val="left"/>
            </w:pPr>
            <w:r>
              <w:rPr>
                <w:rStyle w:val="VerbatimChar"/>
                <w:sz w:val="18"/>
              </w:rPr>
              <w:t xml:space="preserve">[time]</w:t>
            </w:r>
          </w:p>
        </w:tc>
        <w:tc>
          <w:tcPr>
            <w:tcW w:type="dxa" w:w="768"/>
          </w:tcPr>
          <w:p>
            <w:pPr>
              <w:pStyle w:val="Compact"/>
              <w:spacing w:before="40" w:after="40"/>
              <w:jc w:val="left"/>
            </w:pPr>
            <w:r>
              <w:rPr>
                <w:rStyle w:val="VerbatimChar"/>
                <w:sz w:val="18"/>
              </w:rPr>
              <w:t xml:space="preserve">[mins]</w:t>
            </w:r>
          </w:p>
        </w:tc>
        <w:tc>
          <w:tcPr>
            <w:tcW w:type="dxa" w:w="768"/>
          </w:tcPr>
          <w:p>
            <w:pPr>
              <w:pStyle w:val="Compact"/>
              <w:spacing w:before="40" w:after="40"/>
              <w:jc w:val="left"/>
            </w:pPr>
            <w:r>
              <w:rPr>
                <w:rStyle w:val="VerbatimChar"/>
                <w:sz w:val="18"/>
              </w:rPr>
              <w:t xml:space="preserve">[mode]</w:t>
            </w:r>
          </w:p>
        </w:tc>
        <w:tc>
          <w:tcPr>
            <w:tcW w:type="dxa" w:w="768"/>
          </w:tcPr>
          <w:p>
            <w:pPr>
              <w:pStyle w:val="Compact"/>
              <w:spacing w:before="40" w:after="40"/>
              <w:jc w:val="left"/>
            </w:pPr>
            <w:r>
              <w:rPr>
                <w:rStyle w:val="VerbatimChar"/>
                <w:sz w:val="18"/>
              </w:rPr>
              <w:t xml:space="preserve">[names]</w:t>
            </w:r>
          </w:p>
        </w:tc>
        <w:tc>
          <w:tcPr>
            <w:tcW w:type="dxa" w:w="2793"/>
          </w:tcPr>
          <w:p>
            <w:pPr>
              <w:pStyle w:val="Compact"/>
              <w:spacing w:before="40" w:after="40"/>
              <w:jc w:val="left"/>
            </w:pPr>
            <w:r>
              <w:rPr>
                <w:sz w:val="18"/>
              </w:rPr>
              <w:t xml:space="preserve">Week 4 kickoff: datapath feasibility, report section allocation</w:t>
            </w:r>
          </w:p>
        </w:tc>
        <w:tc>
          <w:tcPr>
            <w:tcW w:type="dxa" w:w="2793"/>
          </w:tcPr>
          <w:p>
            <w:pPr>
              <w:pStyle w:val="Compact"/>
              <w:spacing w:before="40" w:after="40"/>
              <w:jc w:val="left"/>
            </w:pPr>
            <w:r>
              <w:rPr>
                <w:sz w:val="18"/>
              </w:rPr>
              <w:t xml:space="preserve">Datapath judged not achievable in the time remaining; agreed to declare it rather than imply completion</w:t>
            </w:r>
          </w:p>
        </w:tc>
      </w:tr>
      <w:tr>
        <w:tc>
          <w:tcPr>
            <w:tcW w:type="dxa" w:w="349"/>
          </w:tcPr>
          <w:p>
            <w:pPr>
              <w:pStyle w:val="Compact"/>
              <w:spacing w:before="40" w:after="40"/>
              <w:jc w:val="left"/>
            </w:pPr>
            <w:r>
              <w:rPr>
                <w:sz w:val="18"/>
              </w:rPr>
              <w:t xml:space="preserve">2</w:t>
            </w:r>
          </w:p>
        </w:tc>
        <w:tc>
          <w:tcPr>
            <w:tcW w:type="dxa" w:w="628"/>
          </w:tcPr>
          <w:p>
            <w:pPr>
              <w:pStyle w:val="Compact"/>
              <w:spacing w:before="40" w:after="40"/>
              <w:jc w:val="left"/>
            </w:pPr>
            <w:r>
              <w:rPr>
                <w:rStyle w:val="VerbatimChar"/>
                <w:sz w:val="18"/>
              </w:rPr>
              <w:t xml:space="preserve">[date]</w:t>
            </w:r>
          </w:p>
        </w:tc>
        <w:tc>
          <w:tcPr>
            <w:tcW w:type="dxa" w:w="768"/>
          </w:tcPr>
          <w:p>
            <w:pPr>
              <w:pStyle w:val="Compact"/>
              <w:spacing w:before="40" w:after="40"/>
              <w:jc w:val="left"/>
            </w:pPr>
            <w:r>
              <w:rPr>
                <w:rStyle w:val="VerbatimChar"/>
                <w:sz w:val="18"/>
              </w:rPr>
              <w:t xml:space="preserve">[time]</w:t>
            </w:r>
          </w:p>
        </w:tc>
        <w:tc>
          <w:tcPr>
            <w:tcW w:type="dxa" w:w="768"/>
          </w:tcPr>
          <w:p>
            <w:pPr>
              <w:pStyle w:val="Compact"/>
              <w:spacing w:before="40" w:after="40"/>
              <w:jc w:val="left"/>
            </w:pPr>
            <w:r>
              <w:rPr>
                <w:rStyle w:val="VerbatimChar"/>
                <w:sz w:val="18"/>
              </w:rPr>
              <w:t xml:space="preserve">[mins]</w:t>
            </w:r>
          </w:p>
        </w:tc>
        <w:tc>
          <w:tcPr>
            <w:tcW w:type="dxa" w:w="768"/>
          </w:tcPr>
          <w:p>
            <w:pPr>
              <w:pStyle w:val="Compact"/>
              <w:spacing w:before="40" w:after="40"/>
              <w:jc w:val="left"/>
            </w:pPr>
            <w:r>
              <w:rPr>
                <w:rStyle w:val="VerbatimChar"/>
                <w:sz w:val="18"/>
              </w:rPr>
              <w:t xml:space="preserve">[mode]</w:t>
            </w:r>
          </w:p>
        </w:tc>
        <w:tc>
          <w:tcPr>
            <w:tcW w:type="dxa" w:w="768"/>
          </w:tcPr>
          <w:p>
            <w:pPr>
              <w:pStyle w:val="Compact"/>
              <w:spacing w:before="40" w:after="40"/>
              <w:jc w:val="left"/>
            </w:pPr>
            <w:r>
              <w:rPr>
                <w:rStyle w:val="VerbatimChar"/>
                <w:sz w:val="18"/>
              </w:rPr>
              <w:t xml:space="preserve">[names]</w:t>
            </w:r>
          </w:p>
        </w:tc>
        <w:tc>
          <w:tcPr>
            <w:tcW w:type="dxa" w:w="2793"/>
          </w:tcPr>
          <w:p>
            <w:pPr>
              <w:pStyle w:val="Compact"/>
              <w:spacing w:before="40" w:after="40"/>
              <w:jc w:val="left"/>
            </w:pPr>
            <w:r>
              <w:rPr>
                <w:sz w:val="18"/>
              </w:rPr>
              <w:t xml:space="preserve">Review of the</w:t>
            </w:r>
            <w:r>
              <w:rPr>
                <w:sz w:val="18"/>
              </w:rPr>
              <w:t xml:space="preserve"> </w:t>
            </w:r>
            <w:r>
              <w:rPr>
                <w:rStyle w:val="VerbatimChar"/>
                <w:sz w:val="18"/>
              </w:rPr>
              <w:t xml:space="preserve">ForwardC</w:t>
            </w:r>
            <w:r>
              <w:rPr>
                <w:sz w:val="18"/>
              </w:rPr>
              <w:t xml:space="preserve">/</w:t>
            </w:r>
            <w:r>
              <w:rPr>
                <w:rStyle w:val="VerbatimChar"/>
                <w:sz w:val="18"/>
              </w:rPr>
              <w:t xml:space="preserve">ForwardD</w:t>
            </w:r>
            <w:r>
              <w:rPr>
                <w:sz w:val="18"/>
              </w:rPr>
              <w:t xml:space="preserve"> </w:t>
            </w:r>
            <w:r>
              <w:rPr>
                <w:sz w:val="18"/>
              </w:rPr>
              <w:t xml:space="preserve">gating defect</w:t>
            </w:r>
          </w:p>
        </w:tc>
        <w:tc>
          <w:tcPr>
            <w:tcW w:type="dxa" w:w="2793"/>
          </w:tcPr>
          <w:p>
            <w:pPr>
              <w:pStyle w:val="Compact"/>
              <w:spacing w:before="40" w:after="40"/>
              <w:jc w:val="left"/>
            </w:pPr>
            <w:r>
              <w:rPr>
                <w:sz w:val="18"/>
              </w:rPr>
              <w:t xml:space="preserve">Both circuits retained and both results reported; patch documented rather than silently applied</w:t>
            </w:r>
          </w:p>
        </w:tc>
      </w:tr>
      <w:tr>
        <w:tc>
          <w:tcPr>
            <w:tcW w:type="dxa" w:w="349"/>
          </w:tcPr>
          <w:p>
            <w:pPr>
              <w:pStyle w:val="Compact"/>
              <w:spacing w:before="40" w:after="40"/>
              <w:jc w:val="left"/>
            </w:pPr>
            <w:r>
              <w:rPr>
                <w:sz w:val="18"/>
              </w:rPr>
              <w:t xml:space="preserve">3</w:t>
            </w:r>
          </w:p>
        </w:tc>
        <w:tc>
          <w:tcPr>
            <w:tcW w:type="dxa" w:w="628"/>
          </w:tcPr>
          <w:p>
            <w:pPr>
              <w:pStyle w:val="Compact"/>
              <w:spacing w:before="40" w:after="40"/>
              <w:jc w:val="left"/>
            </w:pPr>
            <w:r>
              <w:rPr>
                <w:rStyle w:val="VerbatimChar"/>
                <w:sz w:val="18"/>
              </w:rPr>
              <w:t xml:space="preserve">[date]</w:t>
            </w:r>
          </w:p>
        </w:tc>
        <w:tc>
          <w:tcPr>
            <w:tcW w:type="dxa" w:w="768"/>
          </w:tcPr>
          <w:p>
            <w:pPr>
              <w:pStyle w:val="Compact"/>
              <w:spacing w:before="40" w:after="40"/>
              <w:jc w:val="left"/>
            </w:pPr>
            <w:r>
              <w:rPr>
                <w:rStyle w:val="VerbatimChar"/>
                <w:sz w:val="18"/>
              </w:rPr>
              <w:t xml:space="preserve">[time]</w:t>
            </w:r>
          </w:p>
        </w:tc>
        <w:tc>
          <w:tcPr>
            <w:tcW w:type="dxa" w:w="768"/>
          </w:tcPr>
          <w:p>
            <w:pPr>
              <w:pStyle w:val="Compact"/>
              <w:spacing w:before="40" w:after="40"/>
              <w:jc w:val="left"/>
            </w:pPr>
            <w:r>
              <w:rPr>
                <w:rStyle w:val="VerbatimChar"/>
                <w:sz w:val="18"/>
              </w:rPr>
              <w:t xml:space="preserve">[mins]</w:t>
            </w:r>
          </w:p>
        </w:tc>
        <w:tc>
          <w:tcPr>
            <w:tcW w:type="dxa" w:w="768"/>
          </w:tcPr>
          <w:p>
            <w:pPr>
              <w:pStyle w:val="Compact"/>
              <w:spacing w:before="40" w:after="40"/>
              <w:jc w:val="left"/>
            </w:pPr>
            <w:r>
              <w:rPr>
                <w:rStyle w:val="VerbatimChar"/>
                <w:sz w:val="18"/>
              </w:rPr>
              <w:t xml:space="preserve">[mode]</w:t>
            </w:r>
          </w:p>
        </w:tc>
        <w:tc>
          <w:tcPr>
            <w:tcW w:type="dxa" w:w="768"/>
          </w:tcPr>
          <w:p>
            <w:pPr>
              <w:pStyle w:val="Compact"/>
              <w:spacing w:before="40" w:after="40"/>
              <w:jc w:val="left"/>
            </w:pPr>
            <w:r>
              <w:rPr>
                <w:rStyle w:val="VerbatimChar"/>
                <w:sz w:val="18"/>
              </w:rPr>
              <w:t xml:space="preserve">[names]</w:t>
            </w:r>
          </w:p>
        </w:tc>
        <w:tc>
          <w:tcPr>
            <w:tcW w:type="dxa" w:w="2793"/>
          </w:tcPr>
          <w:p>
            <w:pPr>
              <w:pStyle w:val="Compact"/>
              <w:spacing w:before="40" w:after="40"/>
              <w:jc w:val="left"/>
            </w:pPr>
            <w:r>
              <w:rPr>
                <w:sz w:val="18"/>
              </w:rPr>
              <w:t xml:space="preserve">Defence rehearsal, timed</w:t>
            </w:r>
          </w:p>
        </w:tc>
        <w:tc>
          <w:tcPr>
            <w:tcW w:type="dxa" w:w="2793"/>
          </w:tcPr>
          <w:p>
            <w:pPr>
              <w:pStyle w:val="Compact"/>
              <w:spacing w:before="40" w:after="40"/>
              <w:jc w:val="left"/>
            </w:pPr>
            <w:r>
              <w:rPr>
                <w:rStyle w:val="VerbatimChar"/>
                <w:sz w:val="18"/>
              </w:rPr>
              <w:t xml:space="preserve">[outcome]</w:t>
            </w:r>
          </w:p>
        </w:tc>
      </w:tr>
    </w:tbl>
    <w:bookmarkEnd w:id="21"/>
    <w:bookmarkStart w:id="22" w:name="X7440fee7238b6742ba149dd15fe038cc8723e41"/>
    <w:p>
      <w:pPr>
        <w:pStyle w:val="Heading2"/>
      </w:pPr>
      <w:r>
        <w:t xml:space="preserve">3. Work Completed and Individual Contributions</w:t>
      </w:r>
    </w:p>
    <w:tbl>
      <w:tblPr>
        <w:tblStyle w:val="Table"/>
        <w:tblW w:type="dxa" w:w="9638"/>
        <w:tblLook w:firstRow="1" w:lastRow="0" w:firstColumn="0" w:lastColumn="0" w:noHBand="0" w:noVBand="0" w:val="002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Pr>
      <w:tblGrid>
        <w:gridCol w:w="2364"/>
        <w:gridCol w:w="3636"/>
        <w:gridCol w:w="3636"/>
      </w:tblGrid>
      <w:tr>
        <w:trPr>
          <w:tblHeader w:val="true"/>
        </w:trPr>
        <w:tc>
          <w:tcPr>
            <w:tcW w:type="dxa" w:w="2364"/>
            <w:shd w:val="clear" w:color="auto" w:fill="D9E2F3"/>
          </w:tcPr>
          <w:p>
            <w:pPr>
              <w:pStyle w:val="Compact"/>
              <w:spacing w:before="40" w:after="40"/>
              <w:jc w:val="left"/>
            </w:pPr>
            <w:r>
              <w:rPr>
                <w:b/>
                <w:sz w:val="18"/>
              </w:rPr>
              <w:t xml:space="preserve">Member</w:t>
            </w:r>
          </w:p>
        </w:tc>
        <w:tc>
          <w:tcPr>
            <w:tcW w:type="dxa" w:w="3636"/>
            <w:shd w:val="clear" w:color="auto" w:fill="D9E2F3"/>
          </w:tcPr>
          <w:p>
            <w:pPr>
              <w:pStyle w:val="Compact"/>
              <w:spacing w:before="40" w:after="40"/>
              <w:jc w:val="left"/>
            </w:pPr>
            <w:r>
              <w:rPr>
                <w:b/>
                <w:sz w:val="18"/>
              </w:rPr>
              <w:t xml:space="preserve">Role</w:t>
            </w:r>
          </w:p>
        </w:tc>
        <w:tc>
          <w:tcPr>
            <w:tcW w:type="dxa" w:w="3636"/>
            <w:shd w:val="clear" w:color="auto" w:fill="D9E2F3"/>
          </w:tcPr>
          <w:p>
            <w:pPr>
              <w:pStyle w:val="Compact"/>
              <w:spacing w:before="40" w:after="40"/>
              <w:jc w:val="left"/>
            </w:pPr>
            <w:r>
              <w:rPr>
                <w:b/>
                <w:sz w:val="18"/>
              </w:rPr>
              <w:t xml:space="preserve">Contribution this week</w:t>
            </w:r>
          </w:p>
        </w:tc>
      </w:tr>
      <w:tr>
        <w:tc>
          <w:tcPr>
            <w:tcW w:type="dxa" w:w="2364"/>
          </w:tcPr>
          <w:p>
            <w:pPr>
              <w:pStyle w:val="Compact"/>
              <w:spacing w:before="40" w:after="40"/>
              <w:jc w:val="left"/>
            </w:pPr>
            <w:r>
              <w:rPr>
                <w:sz w:val="18"/>
              </w:rPr>
              <w:t xml:space="preserve">Ishaan Bhardwaj (11004272)</w:t>
            </w:r>
          </w:p>
        </w:tc>
        <w:tc>
          <w:tcPr>
            <w:tcW w:type="dxa" w:w="3636"/>
          </w:tcPr>
          <w:p>
            <w:pPr>
              <w:pStyle w:val="Compact"/>
              <w:spacing w:before="40" w:after="40"/>
              <w:jc w:val="left"/>
            </w:pPr>
            <w:r>
              <w:rPr>
                <w:sz w:val="18"/>
              </w:rPr>
              <w:t xml:space="preserve">M1 — Project Manager &amp; Python/MATLAB Lead</w:t>
            </w:r>
          </w:p>
        </w:tc>
        <w:tc>
          <w:tcPr>
            <w:tcW w:type="dxa" w:w="3636"/>
          </w:tcPr>
          <w:p>
            <w:pPr>
              <w:pStyle w:val="Compact"/>
              <w:spacing w:before="40" w:after="40"/>
              <w:jc w:val="left"/>
            </w:pPr>
            <w:r>
              <w:rPr>
                <w:sz w:val="18"/>
              </w:rPr>
              <w:t xml:space="preserve">Extended the density suite to eleven programs and ran the full sweep. Produced</w:t>
            </w:r>
            <w:r>
              <w:rPr>
                <w:sz w:val="18"/>
              </w:rPr>
              <w:t xml:space="preserve"> </w:t>
            </w:r>
            <w:r>
              <w:rPr>
                <w:rStyle w:val="VerbatimChar"/>
                <w:sz w:val="18"/>
              </w:rPr>
              <w:t xml:space="preserve">cpi_vs_density.png</w:t>
            </w:r>
            <w:r>
              <w:rPr>
                <w:sz w:val="18"/>
              </w:rPr>
              <w:t xml:space="preserve">,</w:t>
            </w:r>
            <w:r>
              <w:rPr>
                <w:sz w:val="18"/>
              </w:rPr>
              <w:t xml:space="preserve"> </w:t>
            </w:r>
            <w:r>
              <w:rPr>
                <w:rStyle w:val="VerbatimChar"/>
                <w:sz w:val="18"/>
              </w:rPr>
              <w:t xml:space="preserve">speedup_vs_density.png</w:t>
            </w:r>
            <w:r>
              <w:rPr>
                <w:sz w:val="18"/>
              </w:rPr>
              <w:t xml:space="preserve"> </w:t>
            </w:r>
            <w:r>
              <w:rPr>
                <w:sz w:val="18"/>
              </w:rPr>
              <w:t xml:space="preserve">and</w:t>
            </w:r>
            <w:r>
              <w:rPr>
                <w:sz w:val="18"/>
              </w:rPr>
              <w:t xml:space="preserve"> </w:t>
            </w:r>
            <w:r>
              <w:rPr>
                <w:rStyle w:val="VerbatimChar"/>
                <w:sz w:val="18"/>
              </w:rPr>
              <w:t xml:space="preserve">cycle_breakdown.png</w:t>
            </w:r>
            <w:r>
              <w:rPr>
                <w:sz w:val="18"/>
              </w:rPr>
              <w:t xml:space="preserve">. Validated the analytical CPI model against all eleven measured points. Assembled the technical report and chaired the defence rehearsal.</w:t>
            </w:r>
          </w:p>
        </w:tc>
      </w:tr>
      <w:tr>
        <w:tc>
          <w:tcPr>
            <w:tcW w:type="dxa" w:w="2364"/>
          </w:tcPr>
          <w:p>
            <w:pPr>
              <w:pStyle w:val="Compact"/>
              <w:spacing w:before="40" w:after="40"/>
              <w:jc w:val="left"/>
            </w:pPr>
            <w:r>
              <w:rPr>
                <w:sz w:val="18"/>
              </w:rPr>
              <w:t xml:space="preserve">Nyavor Cyril (11023595)</w:t>
            </w:r>
          </w:p>
        </w:tc>
        <w:tc>
          <w:tcPr>
            <w:tcW w:type="dxa" w:w="3636"/>
          </w:tcPr>
          <w:p>
            <w:pPr>
              <w:pStyle w:val="Compact"/>
              <w:spacing w:before="40" w:after="40"/>
              <w:jc w:val="left"/>
            </w:pPr>
            <w:r>
              <w:rPr>
                <w:sz w:val="18"/>
              </w:rPr>
              <w:t xml:space="preserve">M2 — Hardware &amp; Architecture Lead</w:t>
            </w:r>
          </w:p>
        </w:tc>
        <w:tc>
          <w:tcPr>
            <w:tcW w:type="dxa" w:w="3636"/>
          </w:tcPr>
          <w:p>
            <w:pPr>
              <w:pStyle w:val="Compact"/>
              <w:spacing w:before="40" w:after="40"/>
              <w:jc w:val="left"/>
            </w:pPr>
            <w:r>
              <w:rPr>
                <w:sz w:val="18"/>
              </w:rPr>
              <w:t xml:space="preserve">Built the three Logisim hazard subcircuits. Wrote</w:t>
            </w:r>
            <w:r>
              <w:rPr>
                <w:sz w:val="18"/>
              </w:rPr>
              <w:t xml:space="preserve"> </w:t>
            </w:r>
            <w:r>
              <w:rPr>
                <w:rStyle w:val="VerbatimChar"/>
                <w:sz w:val="18"/>
              </w:rPr>
              <w:t xml:space="preserve">logisim_check.py</w:t>
            </w:r>
            <w:r>
              <w:rPr>
                <w:sz w:val="18"/>
              </w:rPr>
              <w:t xml:space="preserve">, which extracts the gate-level netlist and evaluates 3,000 random vectors per unit against the Week 1 truth tables, and</w:t>
            </w:r>
            <w:r>
              <w:rPr>
                <w:sz w:val="18"/>
              </w:rPr>
              <w:t xml:space="preserve"> </w:t>
            </w:r>
            <w:r>
              <w:rPr>
                <w:rStyle w:val="VerbatimChar"/>
                <w:sz w:val="18"/>
              </w:rPr>
              <w:t xml:space="preserve">logisim_vs_sim.py</w:t>
            </w:r>
            <w:r>
              <w:rPr>
                <w:sz w:val="18"/>
              </w:rPr>
              <w:t xml:space="preserve">, which drives the units with the real 25-cycle stimulus. Diagnosed the missing</w:t>
            </w:r>
            <w:r>
              <w:rPr>
                <w:sz w:val="18"/>
              </w:rPr>
              <w:t xml:space="preserve"> </w:t>
            </w:r>
            <w:r>
              <w:rPr>
                <w:rStyle w:val="VerbatimChar"/>
                <w:sz w:val="18"/>
              </w:rPr>
              <w:t xml:space="preserve">IsBranch</w:t>
            </w:r>
            <w:r>
              <w:rPr>
                <w:sz w:val="18"/>
              </w:rPr>
              <w:t xml:space="preserve"> </w:t>
            </w:r>
            <w:r>
              <w:rPr>
                <w:sz w:val="18"/>
              </w:rPr>
              <w:t xml:space="preserve">gate and wrote</w:t>
            </w:r>
            <w:r>
              <w:rPr>
                <w:sz w:val="18"/>
              </w:rPr>
              <w:t xml:space="preserve"> </w:t>
            </w:r>
            <w:r>
              <w:rPr>
                <w:rStyle w:val="VerbatimChar"/>
                <w:sz w:val="18"/>
              </w:rPr>
              <w:t xml:space="preserve">circ_patch.py</w:t>
            </w:r>
            <w:r>
              <w:rPr>
                <w:sz w:val="18"/>
              </w:rPr>
              <w:t xml:space="preserve">.</w:t>
            </w:r>
          </w:p>
        </w:tc>
      </w:tr>
      <w:tr>
        <w:tc>
          <w:tcPr>
            <w:tcW w:type="dxa" w:w="2364"/>
          </w:tcPr>
          <w:p>
            <w:pPr>
              <w:pStyle w:val="Compact"/>
              <w:spacing w:before="40" w:after="40"/>
              <w:jc w:val="left"/>
            </w:pPr>
            <w:r>
              <w:rPr>
                <w:sz w:val="18"/>
              </w:rPr>
              <w:t xml:space="preserve">Prince Philips (11218951)</w:t>
            </w:r>
          </w:p>
        </w:tc>
        <w:tc>
          <w:tcPr>
            <w:tcW w:type="dxa" w:w="3636"/>
          </w:tcPr>
          <w:p>
            <w:pPr>
              <w:pStyle w:val="Compact"/>
              <w:spacing w:before="40" w:after="40"/>
              <w:jc w:val="left"/>
            </w:pPr>
            <w:r>
              <w:rPr>
                <w:sz w:val="18"/>
              </w:rPr>
              <w:t xml:space="preserve">M3 — C/C++ Implementation Lead</w:t>
            </w:r>
          </w:p>
        </w:tc>
        <w:tc>
          <w:tcPr>
            <w:tcW w:type="dxa" w:w="3636"/>
          </w:tcPr>
          <w:p>
            <w:pPr>
              <w:pStyle w:val="Compact"/>
              <w:spacing w:before="40" w:after="40"/>
              <w:jc w:val="left"/>
            </w:pPr>
            <w:r>
              <w:rPr>
                <w:sz w:val="18"/>
              </w:rPr>
              <w:t xml:space="preserve">Completed the second, independently written simulator in</w:t>
            </w:r>
            <w:r>
              <w:rPr>
                <w:sz w:val="18"/>
              </w:rPr>
              <w:t xml:space="preserve"> </w:t>
            </w:r>
            <w:r>
              <w:rPr>
                <w:rStyle w:val="VerbatimChar"/>
                <w:sz w:val="18"/>
              </w:rPr>
              <w:t xml:space="preserve">sim/</w:t>
            </w:r>
            <w:r>
              <w:rPr>
                <w:sz w:val="18"/>
              </w:rPr>
              <w:t xml:space="preserve">. Wrote</w:t>
            </w:r>
            <w:r>
              <w:rPr>
                <w:sz w:val="18"/>
              </w:rPr>
              <w:t xml:space="preserve"> </w:t>
            </w:r>
            <w:r>
              <w:rPr>
                <w:rStyle w:val="VerbatimChar"/>
                <w:sz w:val="18"/>
              </w:rPr>
              <w:t xml:space="preserve">crossval_sims.py</w:t>
            </w:r>
            <w:r>
              <w:rPr>
                <w:sz w:val="18"/>
              </w:rPr>
              <w:t xml:space="preserve"> </w:t>
            </w:r>
            <w:r>
              <w:rPr>
                <w:sz w:val="18"/>
              </w:rPr>
              <w:t xml:space="preserve">and established agreement between the two implementations across eleven trace columns in both configurations. Produced the mis-forward assertion evidence and the taken-branch overlay run.</w:t>
            </w:r>
          </w:p>
        </w:tc>
      </w:tr>
      <w:tr>
        <w:tc>
          <w:tcPr>
            <w:tcW w:type="dxa" w:w="2364"/>
          </w:tcPr>
          <w:p>
            <w:pPr>
              <w:pStyle w:val="Compact"/>
              <w:spacing w:before="40" w:after="40"/>
              <w:jc w:val="left"/>
            </w:pPr>
            <w:r>
              <w:rPr>
                <w:sz w:val="18"/>
              </w:rPr>
              <w:t xml:space="preserve">Samia Soleimani (11010910)</w:t>
            </w:r>
          </w:p>
        </w:tc>
        <w:tc>
          <w:tcPr>
            <w:tcW w:type="dxa" w:w="3636"/>
          </w:tcPr>
          <w:p>
            <w:pPr>
              <w:pStyle w:val="Compact"/>
              <w:spacing w:before="40" w:after="40"/>
              <w:jc w:val="left"/>
            </w:pPr>
            <w:r>
              <w:rPr>
                <w:sz w:val="18"/>
              </w:rPr>
              <w:t xml:space="preserve">M4 — Testing, Documentation &amp; Reproducibility Lead</w:t>
            </w:r>
          </w:p>
        </w:tc>
        <w:tc>
          <w:tcPr>
            <w:tcW w:type="dxa" w:w="3636"/>
          </w:tcPr>
          <w:p>
            <w:pPr>
              <w:pStyle w:val="Compact"/>
              <w:spacing w:before="40" w:after="40"/>
              <w:jc w:val="left"/>
            </w:pPr>
            <w:r>
              <w:rPr>
                <w:sz w:val="18"/>
              </w:rPr>
              <w:t xml:space="preserve">Added vectors V8 and V9 and ran all ten against both simulators. Extended the scheduler evaluation to the eleven-program suite with semantic-equivalence checking on each. Wrote</w:t>
            </w:r>
            <w:r>
              <w:rPr>
                <w:sz w:val="18"/>
              </w:rPr>
              <w:t xml:space="preserve"> </w:t>
            </w:r>
            <w:r>
              <w:rPr>
                <w:rStyle w:val="VerbatimChar"/>
                <w:sz w:val="18"/>
              </w:rPr>
              <w:t xml:space="preserve">STATUS.md</w:t>
            </w:r>
            <w:r>
              <w:rPr>
                <w:sz w:val="18"/>
              </w:rPr>
              <w:t xml:space="preserve">, the reproducibility documentation, and the limitations section.</w:t>
            </w:r>
          </w:p>
        </w:tc>
      </w:tr>
    </w:tbl>
    <w:p>
      <w:pPr>
        <w:pStyle w:val="BodyText"/>
      </w:pPr>
      <w:r>
        <w:rPr>
          <w:bCs/>
          <w:b/>
        </w:rPr>
        <w:t xml:space="preserve">Git commit identifiers</w:t>
      </w:r>
    </w:p>
    <w:tbl>
      <w:tblPr>
        <w:tblStyle w:val="Table"/>
        <w:tblW w:type="dxa" w:w="9638"/>
        <w:tblLook w:firstRow="1" w:lastRow="0" w:firstColumn="0" w:lastColumn="0" w:noHBand="0" w:noVBand="0" w:val="002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Pr>
      <w:tblGrid>
        <w:gridCol w:w="3614"/>
        <w:gridCol w:w="2650"/>
        <w:gridCol w:w="3373"/>
      </w:tblGrid>
      <w:tr>
        <w:trPr>
          <w:tblHeader w:val="true"/>
        </w:trPr>
        <w:tc>
          <w:tcPr>
            <w:tcW w:type="dxa" w:w="3614"/>
            <w:shd w:val="clear" w:color="auto" w:fill="D9E2F3"/>
          </w:tcPr>
          <w:p>
            <w:pPr>
              <w:pStyle w:val="Compact"/>
              <w:spacing w:before="40" w:after="40"/>
              <w:jc w:val="left"/>
            </w:pPr>
            <w:r>
              <w:rPr>
                <w:b/>
                <w:sz w:val="18"/>
              </w:rPr>
              <w:t xml:space="preserve">Member</w:t>
            </w:r>
          </w:p>
        </w:tc>
        <w:tc>
          <w:tcPr>
            <w:tcW w:type="dxa" w:w="2650"/>
            <w:shd w:val="clear" w:color="auto" w:fill="D9E2F3"/>
          </w:tcPr>
          <w:p>
            <w:pPr>
              <w:pStyle w:val="Compact"/>
              <w:spacing w:before="40" w:after="40"/>
              <w:jc w:val="left"/>
            </w:pPr>
            <w:r>
              <w:rPr>
                <w:b/>
                <w:sz w:val="18"/>
              </w:rPr>
              <w:t xml:space="preserve">Commits</w:t>
            </w:r>
          </w:p>
        </w:tc>
        <w:tc>
          <w:tcPr>
            <w:tcW w:type="dxa" w:w="3373"/>
            <w:shd w:val="clear" w:color="auto" w:fill="D9E2F3"/>
          </w:tcPr>
          <w:p>
            <w:pPr>
              <w:pStyle w:val="Compact"/>
              <w:spacing w:before="40" w:after="40"/>
              <w:jc w:val="left"/>
            </w:pPr>
            <w:r>
              <w:rPr>
                <w:b/>
                <w:sz w:val="18"/>
              </w:rPr>
              <w:t xml:space="preserve">Range</w:t>
            </w:r>
          </w:p>
        </w:tc>
      </w:tr>
      <w:tr>
        <w:tc>
          <w:tcPr>
            <w:tcW w:type="dxa" w:w="3614"/>
          </w:tcPr>
          <w:p>
            <w:pPr>
              <w:pStyle w:val="Compact"/>
              <w:spacing w:before="40" w:after="40"/>
              <w:jc w:val="left"/>
            </w:pPr>
            <w:r>
              <w:rPr>
                <w:sz w:val="18"/>
              </w:rPr>
              <w:t xml:space="preserve">Ishaan Bhardwaj</w:t>
            </w:r>
          </w:p>
        </w:tc>
        <w:tc>
          <w:tcPr>
            <w:tcW w:type="dxa" w:w="2650"/>
          </w:tcPr>
          <w:p>
            <w:pPr>
              <w:pStyle w:val="Compact"/>
              <w:spacing w:before="40" w:after="40"/>
              <w:jc w:val="left"/>
            </w:pPr>
            <w:r>
              <w:rPr>
                <w:rStyle w:val="VerbatimChar"/>
                <w:sz w:val="18"/>
              </w:rPr>
              <w:t xml:space="preserve">[n]</w:t>
            </w:r>
          </w:p>
        </w:tc>
        <w:tc>
          <w:tcPr>
            <w:tcW w:type="dxa" w:w="3373"/>
          </w:tcPr>
          <w:p>
            <w:pPr>
              <w:pStyle w:val="Compact"/>
              <w:spacing w:before="40" w:after="40"/>
              <w:jc w:val="left"/>
            </w:pPr>
            <w:r>
              <w:rPr>
                <w:rStyle w:val="VerbatimChar"/>
                <w:sz w:val="18"/>
              </w:rPr>
              <w:t xml:space="preserve">[hash]..[hash]</w:t>
            </w:r>
          </w:p>
        </w:tc>
      </w:tr>
      <w:tr>
        <w:tc>
          <w:tcPr>
            <w:tcW w:type="dxa" w:w="3614"/>
          </w:tcPr>
          <w:p>
            <w:pPr>
              <w:pStyle w:val="Compact"/>
              <w:spacing w:before="40" w:after="40"/>
              <w:jc w:val="left"/>
            </w:pPr>
            <w:r>
              <w:rPr>
                <w:sz w:val="18"/>
              </w:rPr>
              <w:t xml:space="preserve">Nyavor Cyril</w:t>
            </w:r>
          </w:p>
        </w:tc>
        <w:tc>
          <w:tcPr>
            <w:tcW w:type="dxa" w:w="2650"/>
          </w:tcPr>
          <w:p>
            <w:pPr>
              <w:pStyle w:val="Compact"/>
              <w:spacing w:before="40" w:after="40"/>
              <w:jc w:val="left"/>
            </w:pPr>
            <w:r>
              <w:rPr>
                <w:rStyle w:val="VerbatimChar"/>
                <w:sz w:val="18"/>
              </w:rPr>
              <w:t xml:space="preserve">[n]</w:t>
            </w:r>
          </w:p>
        </w:tc>
        <w:tc>
          <w:tcPr>
            <w:tcW w:type="dxa" w:w="3373"/>
          </w:tcPr>
          <w:p>
            <w:pPr>
              <w:pStyle w:val="Compact"/>
              <w:spacing w:before="40" w:after="40"/>
              <w:jc w:val="left"/>
            </w:pPr>
            <w:r>
              <w:rPr>
                <w:rStyle w:val="VerbatimChar"/>
                <w:sz w:val="18"/>
              </w:rPr>
              <w:t xml:space="preserve">[hash]..[hash]</w:t>
            </w:r>
          </w:p>
        </w:tc>
      </w:tr>
      <w:tr>
        <w:tc>
          <w:tcPr>
            <w:tcW w:type="dxa" w:w="3614"/>
          </w:tcPr>
          <w:p>
            <w:pPr>
              <w:pStyle w:val="Compact"/>
              <w:spacing w:before="40" w:after="40"/>
              <w:jc w:val="left"/>
            </w:pPr>
            <w:r>
              <w:rPr>
                <w:sz w:val="18"/>
              </w:rPr>
              <w:t xml:space="preserve">Prince Philips</w:t>
            </w:r>
          </w:p>
        </w:tc>
        <w:tc>
          <w:tcPr>
            <w:tcW w:type="dxa" w:w="2650"/>
          </w:tcPr>
          <w:p>
            <w:pPr>
              <w:pStyle w:val="Compact"/>
              <w:spacing w:before="40" w:after="40"/>
              <w:jc w:val="left"/>
            </w:pPr>
            <w:r>
              <w:rPr>
                <w:rStyle w:val="VerbatimChar"/>
                <w:sz w:val="18"/>
              </w:rPr>
              <w:t xml:space="preserve">[n]</w:t>
            </w:r>
          </w:p>
        </w:tc>
        <w:tc>
          <w:tcPr>
            <w:tcW w:type="dxa" w:w="3373"/>
          </w:tcPr>
          <w:p>
            <w:pPr>
              <w:pStyle w:val="Compact"/>
              <w:spacing w:before="40" w:after="40"/>
              <w:jc w:val="left"/>
            </w:pPr>
            <w:r>
              <w:rPr>
                <w:rStyle w:val="VerbatimChar"/>
                <w:sz w:val="18"/>
              </w:rPr>
              <w:t xml:space="preserve">[hash]..[hash]</w:t>
            </w:r>
          </w:p>
        </w:tc>
      </w:tr>
      <w:tr>
        <w:tc>
          <w:tcPr>
            <w:tcW w:type="dxa" w:w="3614"/>
          </w:tcPr>
          <w:p>
            <w:pPr>
              <w:pStyle w:val="Compact"/>
              <w:spacing w:before="40" w:after="40"/>
              <w:jc w:val="left"/>
            </w:pPr>
            <w:r>
              <w:rPr>
                <w:sz w:val="18"/>
              </w:rPr>
              <w:t xml:space="preserve">Samia Soleimani</w:t>
            </w:r>
          </w:p>
        </w:tc>
        <w:tc>
          <w:tcPr>
            <w:tcW w:type="dxa" w:w="2650"/>
          </w:tcPr>
          <w:p>
            <w:pPr>
              <w:pStyle w:val="Compact"/>
              <w:spacing w:before="40" w:after="40"/>
              <w:jc w:val="left"/>
            </w:pPr>
            <w:r>
              <w:rPr>
                <w:rStyle w:val="VerbatimChar"/>
                <w:sz w:val="18"/>
              </w:rPr>
              <w:t xml:space="preserve">[n]</w:t>
            </w:r>
          </w:p>
        </w:tc>
        <w:tc>
          <w:tcPr>
            <w:tcW w:type="dxa" w:w="3373"/>
          </w:tcPr>
          <w:p>
            <w:pPr>
              <w:pStyle w:val="Compact"/>
              <w:spacing w:before="40" w:after="40"/>
              <w:jc w:val="left"/>
            </w:pPr>
            <w:r>
              <w:rPr>
                <w:rStyle w:val="VerbatimChar"/>
                <w:sz w:val="18"/>
              </w:rPr>
              <w:t xml:space="preserve">[hash]..[hash]</w:t>
            </w:r>
          </w:p>
        </w:tc>
      </w:tr>
    </w:tbl>
    <w:bookmarkEnd w:id="22"/>
    <w:bookmarkStart w:id="26" w:name="technical-activities"/>
    <w:p>
      <w:pPr>
        <w:pStyle w:val="Heading2"/>
      </w:pPr>
      <w:r>
        <w:t xml:space="preserve">4. Technical Activities</w:t>
      </w:r>
    </w:p>
    <w:bookmarkStart w:id="23" w:name="X12787d10fb6341340e70a627a82a98b881f85e3"/>
    <w:p>
      <w:pPr>
        <w:pStyle w:val="Heading3"/>
      </w:pPr>
      <w:r>
        <w:t xml:space="preserve">4.1 Cross-validating two independent simulators</w:t>
      </w:r>
    </w:p>
    <w:p>
      <w:pPr>
        <w:pStyle w:val="FirstParagraph"/>
      </w:pPr>
      <w:r>
        <w:t xml:space="preserve">Two simulators were written from the same specification without shared code. Both were run on the assigned routine in both configurations and compared cell by cell across eleven trace columns: 25 cycles in the forwarding configuration and 47 in the baseline,</w:t>
      </w:r>
      <w:r>
        <w:t xml:space="preserve"> </w:t>
      </w:r>
      <w:r>
        <w:rPr>
          <w:bCs/>
          <w:b/>
        </w:rPr>
        <w:t xml:space="preserve">PASS</w:t>
      </w:r>
      <w:r>
        <w:t xml:space="preserve"> </w:t>
      </w:r>
      <w:r>
        <w:t xml:space="preserve">on both. Both also pass all ten test vectors independently, and both fire the mis-forward assertion at the correct cycle.</w:t>
      </w:r>
    </w:p>
    <w:p>
      <w:pPr>
        <w:pStyle w:val="BodyText"/>
      </w:pPr>
      <w:r>
        <w:t xml:space="preserve">An agreement between two implementations is stronger evidence than either one passing its own tests, because the failure modes are unlikely to coincide.</w:t>
      </w:r>
    </w:p>
    <w:bookmarkEnd w:id="23"/>
    <w:bookmarkStart w:id="24" w:name="X99ae7175b9ecb7bffbe0b42501febe76bf6b62a"/>
    <w:p>
      <w:pPr>
        <w:pStyle w:val="Heading3"/>
      </w:pPr>
      <w:r>
        <w:t xml:space="preserve">4.2 A defect the truth-table check could not find</w:t>
      </w:r>
    </w:p>
    <w:p>
      <w:pPr>
        <w:pStyle w:val="FirstParagraph"/>
      </w:pPr>
      <w:r>
        <w:t xml:space="preserve">The three Logisim units passed 3,000 random vectors each against the Week 1 truth tables. Driven instead with</w:t>
      </w:r>
      <w:r>
        <w:t xml:space="preserve"> </w:t>
      </w:r>
      <w:r>
        <w:rPr>
          <w:rStyle w:val="VerbatimChar"/>
        </w:rPr>
        <w:t xml:space="preserve">unit_stimulus.csv</w:t>
      </w:r>
      <w:r>
        <w:t xml:space="preserve"> </w:t>
      </w:r>
      <w:r>
        <w:t xml:space="preserve">— the exact per-cycle inputs a datapath would present over the assigned routine — the as-built circuit</w:t>
      </w:r>
      <w:r>
        <w:t xml:space="preserve"> </w:t>
      </w:r>
      <w:r>
        <w:rPr>
          <w:bCs/>
          <w:b/>
        </w:rPr>
        <w:t xml:space="preserve">failed on 7 of 25 cycles</w:t>
      </w:r>
      <w:r>
        <w:t xml:space="preserve">, all on</w:t>
      </w:r>
      <w:r>
        <w:t xml:space="preserve"> </w:t>
      </w:r>
      <w:r>
        <w:rPr>
          <w:rStyle w:val="VerbatimChar"/>
        </w:rPr>
        <w:t xml:space="preserve">ForwardC</w:t>
      </w:r>
      <w:r>
        <w:t xml:space="preserve"> </w:t>
      </w:r>
      <w:r>
        <w:t xml:space="preserve">or</w:t>
      </w:r>
      <w:r>
        <w:t xml:space="preserve"> </w:t>
      </w:r>
      <w:r>
        <w:rPr>
          <w:rStyle w:val="VerbatimChar"/>
        </w:rPr>
        <w:t xml:space="preserve">ForwardD</w:t>
      </w:r>
      <w:r>
        <w:t xml:space="preserve">, all on cycles where the instruction in ID was not a branch.</w:t>
      </w:r>
    </w:p>
    <w:p>
      <w:pPr>
        <w:pStyle w:val="BodyText"/>
      </w:pPr>
      <w:r>
        <w:t xml:space="preserve">The Week 1 equation for</w:t>
      </w:r>
      <w:r>
        <w:t xml:space="preserve"> </w:t>
      </w:r>
      <w:r>
        <w:rPr>
          <w:rStyle w:val="VerbatimChar"/>
        </w:rPr>
        <w:t xml:space="preserve">ForwardC</w:t>
      </w:r>
      <w:r>
        <w:t xml:space="preserve">/</w:t>
      </w:r>
      <w:r>
        <w:rPr>
          <w:rStyle w:val="VerbatimChar"/>
        </w:rPr>
        <w:t xml:space="preserve">ForwardD</w:t>
      </w:r>
      <w:r>
        <w:t xml:space="preserve"> </w:t>
      </w:r>
      <w:r>
        <w:t xml:space="preserve">carries no</w:t>
      </w:r>
      <w:r>
        <w:t xml:space="preserve"> </w:t>
      </w:r>
      <w:r>
        <w:rPr>
          <w:rStyle w:val="VerbatimChar"/>
        </w:rPr>
        <w:t xml:space="preserve">IsBranch</w:t>
      </w:r>
      <w:r>
        <w:t xml:space="preserve"> </w:t>
      </w:r>
      <w:r>
        <w:t xml:space="preserve">term. It was written in the context of a branch occupying ID, and that context was never stated, so the circuit implemented it literally and asserted the comparator’s forwarding selects on ordinary arithmetic instructions. In a complete datapath this would be masked as long as</w:t>
      </w:r>
      <w:r>
        <w:t xml:space="preserve"> </w:t>
      </w:r>
      <w:r>
        <w:rPr>
          <w:rStyle w:val="VerbatimChar"/>
        </w:rPr>
        <w:t xml:space="preserve">PCSrc</w:t>
      </w:r>
      <w:r>
        <w:t xml:space="preserve"> </w:t>
      </w:r>
      <w:r>
        <w:t xml:space="preserve">is gated by</w:t>
      </w:r>
      <w:r>
        <w:t xml:space="preserve"> </w:t>
      </w:r>
      <w:r>
        <w:rPr>
          <w:rStyle w:val="VerbatimChar"/>
        </w:rPr>
        <w:t xml:space="preserve">IsBranch</w:t>
      </w:r>
      <w:r>
        <w:t xml:space="preserve"> </w:t>
      </w:r>
      <w:r>
        <w:t xml:space="preserve">elsewhere, but it makes the unit unverifiable in isolation.</w:t>
      </w:r>
    </w:p>
    <w:p>
      <w:pPr>
        <w:pStyle w:val="BodyText"/>
      </w:pPr>
      <w:r>
        <w:rPr>
          <w:rStyle w:val="VerbatimChar"/>
        </w:rPr>
        <w:t xml:space="preserve">circ_patch.py</w:t>
      </w:r>
      <w:r>
        <w:t xml:space="preserve"> </w:t>
      </w:r>
      <w:r>
        <w:t xml:space="preserve">ANDs</w:t>
      </w:r>
      <w:r>
        <w:t xml:space="preserve"> </w:t>
      </w:r>
      <w:r>
        <w:rPr>
          <w:rStyle w:val="VerbatimChar"/>
        </w:rPr>
        <w:t xml:space="preserve">IsBranch</w:t>
      </w:r>
      <w:r>
        <w:t xml:space="preserve"> </w:t>
      </w:r>
      <w:r>
        <w:t xml:space="preserve">into both outputs. The patched circuit passes all 25 cycles.</w:t>
      </w:r>
    </w:p>
    <w:p>
      <w:pPr>
        <w:pStyle w:val="BodyText"/>
      </w:pPr>
      <w:r>
        <w:t xml:space="preserve">We retain and report both circuits. The specification check passed on a circuit that was wrong; only comparison against a reference implementation caught it. That is the argument for cycle-level cross-validation, demonstrated on our own work.</w:t>
      </w:r>
    </w:p>
    <w:bookmarkEnd w:id="24"/>
    <w:bookmarkStart w:id="25" w:name="scheduling-across-the-density-suite"/>
    <w:p>
      <w:pPr>
        <w:pStyle w:val="Heading3"/>
      </w:pPr>
      <w:r>
        <w:t xml:space="preserve">4.3 Scheduling across the density suite</w:t>
      </w:r>
    </w:p>
    <w:p>
      <w:pPr>
        <w:pStyle w:val="FirstParagraph"/>
      </w:pPr>
      <w:r>
        <w:t xml:space="preserve">The Week 3 scheduler was evaluated on one program, where it removed one stall. Across the eleven-program suite it removes</w:t>
      </w:r>
      <w:r>
        <w:t xml:space="preserve"> </w:t>
      </w:r>
      <w:r>
        <w:rPr>
          <w:bCs/>
          <w:b/>
        </w:rPr>
        <w:t xml:space="preserve">40 of 48</w:t>
      </w:r>
      <w:r>
        <w:t xml:space="preserve"> </w:t>
      </w:r>
      <w:r>
        <w:t xml:space="preserve">surviving stalls, cutting 620 cycles to 580 (6.5%), with registers and memory verified identical on every program.</w:t>
      </w:r>
    </w:p>
    <w:p>
      <w:pPr>
        <w:pStyle w:val="BodyText"/>
      </w:pPr>
      <w:r>
        <w:t xml:space="preserve">The result the suite gives that one program could not: scheduled cycle counts converge on 52–55 almost independently of hazard density, while unscheduled counts spread from 52 to 62. Once forwarding is present, instruction ordering — not dependence frequency — accounts for most of the residual stall cost.</w:t>
      </w:r>
    </w:p>
    <w:bookmarkEnd w:id="25"/>
    <w:bookmarkEnd w:id="26"/>
    <w:bookmarkStart w:id="27" w:name="X030267d9fce49ddc6a46b3c10ac01e8bd743d52"/>
    <w:p>
      <w:pPr>
        <w:pStyle w:val="Heading2"/>
      </w:pPr>
      <w:r>
        <w:t xml:space="preserve">5. Problems Encountered and Corrective Actions</w:t>
      </w:r>
    </w:p>
    <w:p>
      <w:pPr>
        <w:pStyle w:val="FirstParagraph"/>
      </w:pPr>
      <w:r>
        <w:rPr>
          <w:bCs/>
          <w:b/>
        </w:rPr>
        <w:t xml:space="preserve">The Logisim datapath.</w:t>
      </w:r>
      <w:r>
        <w:t xml:space="preserve"> </w:t>
      </w:r>
      <w:r>
        <w:t xml:space="preserve">Not built. The team did not carry a Project-2 datapath forward, so it would have had to be constructed from scratch — four to five hours, on the critical path, in the final week.</w:t>
      </w:r>
      <w:r>
        <w:t xml:space="preserve"> </w:t>
      </w:r>
      <w:r>
        <w:rPr>
          <w:bCs/>
          <w:b/>
        </w:rPr>
        <w:t xml:space="preserve">Corrective action:</w:t>
      </w:r>
      <w:r>
        <w:t xml:space="preserve"> </w:t>
      </w:r>
      <w:r>
        <w:t xml:space="preserve">rather than an incomplete top-level circuit that cannot be run, we verified the hazard units against the golden simulator using recorded per-cycle stimulus, and declared the gap in</w:t>
      </w:r>
      <w:r>
        <w:t xml:space="preserve"> </w:t>
      </w:r>
      <w:r>
        <w:rPr>
          <w:rStyle w:val="VerbatimChar"/>
        </w:rPr>
        <w:t xml:space="preserve">STATUS.md</w:t>
      </w:r>
      <w:r>
        <w:t xml:space="preserve">, in §14 of the report, and on slide 11 of the defence deck.</w:t>
      </w:r>
      <w:r>
        <w:t xml:space="preserve"> </w:t>
      </w:r>
      <w:r>
        <w:rPr>
          <w:rStyle w:val="VerbatimChar"/>
        </w:rPr>
        <w:t xml:space="preserve">LOGISIM_BUILD.md</w:t>
      </w:r>
      <w:r>
        <w:t xml:space="preserve"> </w:t>
      </w:r>
      <w:r>
        <w:t xml:space="preserve">§5.2 documents the from-scratch build order for anyone continuing the work.</w:t>
      </w:r>
    </w:p>
    <w:p>
      <w:pPr>
        <w:pStyle w:val="BodyText"/>
      </w:pPr>
      <w:r>
        <w:rPr>
          <w:bCs/>
          <w:b/>
        </w:rPr>
        <w:t xml:space="preserve">The</w:t>
      </w:r>
      <w:r>
        <w:rPr>
          <w:bCs/>
          <w:b/>
        </w:rPr>
        <w:t xml:space="preserve"> </w:t>
      </w:r>
      <w:r>
        <w:rPr>
          <w:rStyle w:val="VerbatimChar"/>
          <w:bCs/>
          <w:b/>
        </w:rPr>
        <w:t xml:space="preserve">ForwardC</w:t>
      </w:r>
      <w:r>
        <w:rPr>
          <w:bCs/>
          <w:b/>
        </w:rPr>
        <w:t xml:space="preserve">/</w:t>
      </w:r>
      <w:r>
        <w:rPr>
          <w:rStyle w:val="VerbatimChar"/>
          <w:bCs/>
          <w:b/>
        </w:rPr>
        <w:t xml:space="preserve">ForwardD</w:t>
      </w:r>
      <w:r>
        <w:rPr>
          <w:bCs/>
          <w:b/>
        </w:rPr>
        <w:t xml:space="preserve"> </w:t>
      </w:r>
      <w:r>
        <w:rPr>
          <w:bCs/>
          <w:b/>
        </w:rPr>
        <w:t xml:space="preserve">gating defect.</w:t>
      </w:r>
      <w:r>
        <w:t xml:space="preserve"> </w:t>
      </w:r>
      <w:r>
        <w:t xml:space="preserve">§4.2.</w:t>
      </w:r>
      <w:r>
        <w:t xml:space="preserve"> </w:t>
      </w:r>
      <w:r>
        <w:rPr>
          <w:bCs/>
          <w:b/>
        </w:rPr>
        <w:t xml:space="preserve">Corrective action:</w:t>
      </w:r>
      <w:r>
        <w:t xml:space="preserve"> </w:t>
      </w:r>
      <w:r>
        <w:t xml:space="preserve">patch scripted rather than hand-edited, both circuits retained, both results reported.</w:t>
      </w:r>
    </w:p>
    <w:p>
      <w:pPr>
        <w:pStyle w:val="BodyText"/>
      </w:pPr>
      <w:r>
        <w:rPr>
          <w:bCs/>
          <w:b/>
        </w:rPr>
        <w:t xml:space="preserve">Week 2 forwarding counts.</w:t>
      </w:r>
      <w:r>
        <w:t xml:space="preserve"> </w:t>
      </w:r>
      <w:r>
        <w:t xml:space="preserve">The Week 2 weekly report stated 10/5/1; the correct figures are 9/7/1 and 17 of 19. A correction note accompanies the Week 3 submission. All Week 4 figures derive from</w:t>
      </w:r>
      <w:r>
        <w:t xml:space="preserve"> </w:t>
      </w:r>
      <w:r>
        <w:rPr>
          <w:rStyle w:val="VerbatimChar"/>
        </w:rPr>
        <w:t xml:space="preserve">MASTER_RESULTS.txt</w:t>
      </w:r>
      <w:r>
        <w:t xml:space="preserve">, which is generated.</w:t>
      </w:r>
    </w:p>
    <w:bookmarkEnd w:id="27"/>
    <w:bookmarkStart w:id="28" w:name="decisions-made"/>
    <w:p>
      <w:pPr>
        <w:pStyle w:val="Heading2"/>
      </w:pPr>
      <w:r>
        <w:t xml:space="preserve">6. Decisions Made</w:t>
      </w:r>
    </w:p>
    <w:tbl>
      <w:tblPr>
        <w:tblStyle w:val="Table"/>
        <w:tblW w:type="dxa" w:w="9638"/>
        <w:tblLook w:firstRow="1" w:lastRow="0" w:firstColumn="0" w:lastColumn="0" w:noHBand="0" w:noVBand="0" w:val="002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Pr>
      <w:tblGrid>
        <w:gridCol w:w="4819"/>
        <w:gridCol w:w="4819"/>
      </w:tblGrid>
      <w:tr>
        <w:trPr>
          <w:tblHeader w:val="true"/>
        </w:trPr>
        <w:tc>
          <w:tcPr>
            <w:tcW w:type="dxa" w:w="4818"/>
            <w:shd w:val="clear" w:color="auto" w:fill="D9E2F3"/>
          </w:tcPr>
          <w:p>
            <w:pPr>
              <w:pStyle w:val="Compact"/>
              <w:spacing w:before="40" w:after="40"/>
              <w:jc w:val="left"/>
            </w:pPr>
            <w:r>
              <w:rPr>
                <w:b/>
                <w:sz w:val="18"/>
              </w:rPr>
              <w:t xml:space="preserve">Decision</w:t>
            </w:r>
          </w:p>
        </w:tc>
        <w:tc>
          <w:tcPr>
            <w:tcW w:type="dxa" w:w="4818"/>
            <w:shd w:val="clear" w:color="auto" w:fill="D9E2F3"/>
          </w:tcPr>
          <w:p>
            <w:pPr>
              <w:pStyle w:val="Compact"/>
              <w:spacing w:before="40" w:after="40"/>
              <w:jc w:val="left"/>
            </w:pPr>
            <w:r>
              <w:rPr>
                <w:b/>
                <w:sz w:val="18"/>
              </w:rPr>
              <w:t xml:space="preserve">Rationale</w:t>
            </w:r>
          </w:p>
        </w:tc>
      </w:tr>
      <w:tr>
        <w:tc>
          <w:tcPr>
            <w:tcW w:type="dxa" w:w="4818"/>
          </w:tcPr>
          <w:p>
            <w:pPr>
              <w:pStyle w:val="Compact"/>
              <w:spacing w:before="40" w:after="40"/>
              <w:jc w:val="left"/>
            </w:pPr>
            <w:r>
              <w:rPr>
                <w:sz w:val="18"/>
              </w:rPr>
              <w:t xml:space="preserve">Declare the datapath gap rather than build a partial top-level circuit</w:t>
            </w:r>
          </w:p>
        </w:tc>
        <w:tc>
          <w:tcPr>
            <w:tcW w:type="dxa" w:w="4818"/>
          </w:tcPr>
          <w:p>
            <w:pPr>
              <w:pStyle w:val="Compact"/>
              <w:spacing w:before="40" w:after="40"/>
              <w:jc w:val="left"/>
            </w:pPr>
            <w:r>
              <w:rPr>
                <w:sz w:val="18"/>
              </w:rPr>
              <w:t xml:space="preserve">A clearly declared gap with strong evidence around it is worth more than an implied claim that fails when the file is opened</w:t>
            </w:r>
          </w:p>
        </w:tc>
      </w:tr>
      <w:tr>
        <w:tc>
          <w:tcPr>
            <w:tcW w:type="dxa" w:w="4818"/>
          </w:tcPr>
          <w:p>
            <w:pPr>
              <w:pStyle w:val="Compact"/>
              <w:spacing w:before="40" w:after="40"/>
              <w:jc w:val="left"/>
            </w:pPr>
            <w:r>
              <w:rPr>
                <w:sz w:val="18"/>
              </w:rPr>
              <w:t xml:space="preserve">Retain both circuit variants</w:t>
            </w:r>
          </w:p>
        </w:tc>
        <w:tc>
          <w:tcPr>
            <w:tcW w:type="dxa" w:w="4818"/>
          </w:tcPr>
          <w:p>
            <w:pPr>
              <w:pStyle w:val="Compact"/>
              <w:spacing w:before="40" w:after="40"/>
              <w:jc w:val="left"/>
            </w:pPr>
            <w:r>
              <w:rPr>
                <w:sz w:val="18"/>
              </w:rPr>
              <w:t xml:space="preserve">The faulty one is the evidence for why cycle-level cross-validation matters</w:t>
            </w:r>
          </w:p>
        </w:tc>
      </w:tr>
      <w:tr>
        <w:tc>
          <w:tcPr>
            <w:tcW w:type="dxa" w:w="4818"/>
          </w:tcPr>
          <w:p>
            <w:pPr>
              <w:pStyle w:val="Compact"/>
              <w:spacing w:before="40" w:after="40"/>
              <w:jc w:val="left"/>
            </w:pPr>
            <w:r>
              <w:rPr>
                <w:sz w:val="18"/>
              </w:rPr>
              <w:t xml:space="preserve">Report CPI over useful instructions as the headline, both figures in the table</w:t>
            </w:r>
          </w:p>
        </w:tc>
        <w:tc>
          <w:tcPr>
            <w:tcW w:type="dxa" w:w="4818"/>
          </w:tcPr>
          <w:p>
            <w:pPr>
              <w:pStyle w:val="Compact"/>
              <w:spacing w:before="40" w:after="40"/>
              <w:jc w:val="left"/>
            </w:pPr>
            <w:r>
              <w:rPr>
                <w:sz w:val="18"/>
              </w:rPr>
              <w:t xml:space="preserve">Instruction count is the controlled variable; the all-image figure flatters the baseline</w:t>
            </w:r>
          </w:p>
        </w:tc>
      </w:tr>
      <w:tr>
        <w:tc>
          <w:tcPr>
            <w:tcW w:type="dxa" w:w="4818"/>
          </w:tcPr>
          <w:p>
            <w:pPr>
              <w:pStyle w:val="Compact"/>
              <w:spacing w:before="40" w:after="40"/>
              <w:jc w:val="left"/>
            </w:pPr>
            <w:r>
              <w:rPr>
                <w:sz w:val="18"/>
              </w:rPr>
              <w:t xml:space="preserve">Level-3 extension: Research challenge (scheduler)</w:t>
            </w:r>
          </w:p>
        </w:tc>
        <w:tc>
          <w:tcPr>
            <w:tcW w:type="dxa" w:w="4818"/>
          </w:tcPr>
          <w:p>
            <w:pPr>
              <w:pStyle w:val="Compact"/>
              <w:spacing w:before="40" w:after="40"/>
              <w:jc w:val="left"/>
            </w:pPr>
            <w:r>
              <w:rPr>
                <w:sz w:val="18"/>
              </w:rPr>
              <w:t xml:space="preserve">Matures one artefact rather than starting a second in the final week</w:t>
            </w:r>
          </w:p>
        </w:tc>
      </w:tr>
    </w:tbl>
    <w:bookmarkEnd w:id="28"/>
    <w:bookmarkStart w:id="29" w:name="team-accountability-declaration"/>
    <w:p>
      <w:pPr>
        <w:pStyle w:val="Heading2"/>
      </w:pPr>
      <w:r>
        <w:t xml:space="preserve">7. Team Accountability Declaration</w:t>
      </w:r>
    </w:p>
    <w:p>
      <w:pPr>
        <w:pStyle w:val="FirstParagraph"/>
      </w:pPr>
      <w:r>
        <w:rPr>
          <w:bCs/>
          <w:b/>
        </w:rPr>
        <w:t xml:space="preserve">Reproducibility.</w:t>
      </w:r>
      <w:r>
        <w:t xml:space="preserve"> </w:t>
      </w:r>
      <w:r>
        <w:rPr>
          <w:rStyle w:val="VerbatimChar"/>
        </w:rPr>
        <w:t xml:space="preserve">python3 rebuild.py --seed 16993</w:t>
      </w:r>
      <w:r>
        <w:t xml:space="preserve"> </w:t>
      </w:r>
      <w:r>
        <w:t xml:space="preserve">regenerates every artefact and re-runs every check. Requires</w:t>
      </w:r>
      <w:r>
        <w:t xml:space="preserve"> </w:t>
      </w:r>
      <w:r>
        <w:rPr>
          <w:rStyle w:val="VerbatimChar"/>
        </w:rPr>
        <w:t xml:space="preserve">gcc</w:t>
      </w:r>
      <w:r>
        <w:t xml:space="preserve"> </w:t>
      </w:r>
      <w:r>
        <w:t xml:space="preserve">and Python 3.10+.</w:t>
      </w:r>
    </w:p>
    <w:p>
      <w:pPr>
        <w:pStyle w:val="BodyText"/>
      </w:pPr>
      <w:r>
        <w:rPr>
          <w:bCs/>
          <w:b/>
        </w:rPr>
        <w:t xml:space="preserve">Seed status.</w:t>
      </w:r>
      <w:r>
        <w:t xml:space="preserve"> </w:t>
      </w:r>
      <w:r>
        <w:t xml:space="preserve">16993 remains</w:t>
      </w:r>
      <w:r>
        <w:t xml:space="preserve"> </w:t>
      </w:r>
      <w:r>
        <w:rPr>
          <w:bCs/>
          <w:b/>
        </w:rPr>
        <w:t xml:space="preserve">provisional</w:t>
      </w:r>
      <w:r>
        <w:t xml:space="preserve">, drawn 19 August 2026 as documented in the proposal. The instructor-assigned seed had not been issued at the time of writing.</w:t>
      </w:r>
    </w:p>
    <w:p>
      <w:pPr>
        <w:pStyle w:val="BodyText"/>
      </w:pPr>
      <w:r>
        <w:rPr>
          <w:bCs/>
          <w:b/>
        </w:rPr>
        <w:t xml:space="preserve">External and AI assistance.</w:t>
      </w:r>
      <w:r>
        <w:t xml:space="preserve"> </w:t>
      </w:r>
      <w:r>
        <w:t xml:space="preserve">Declared in full in</w:t>
      </w:r>
      <w:r>
        <w:t xml:space="preserve"> </w:t>
      </w:r>
      <w:r>
        <w:rPr>
          <w:rStyle w:val="VerbatimChar"/>
        </w:rPr>
        <w:t xml:space="preserve">07_ai_use/ai_use_declaration.md</w:t>
      </w:r>
      <w:r>
        <w:t xml:space="preserve">, with tool, date, component, assistance used and verification performed for every entry.</w:t>
      </w:r>
    </w:p>
    <w:p>
      <w:pPr>
        <w:pStyle w:val="BodyText"/>
      </w:pPr>
      <w:r>
        <w:rPr>
          <w:bCs/>
          <w:b/>
        </w:rPr>
        <w:t xml:space="preserve">Declaration.</w:t>
      </w:r>
      <w:r>
        <w:t xml:space="preserve"> </w:t>
      </w:r>
      <w:r>
        <w:t xml:space="preserve">Each member confirms that the contribution attributed to them in §3 is accurate, that the meeting record in §2 reflects meetings that took place as described, and that the assistance disclosed is complete.</w:t>
      </w:r>
    </w:p>
    <w:tbl>
      <w:tblPr>
        <w:tblStyle w:val="Table"/>
        <w:tblW w:type="dxa" w:w="9638"/>
        <w:tblLook w:firstRow="1" w:lastRow="0" w:firstColumn="0" w:lastColumn="0" w:noHBand="0" w:noVBand="0" w:val="002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Pr>
      <w:tblGrid>
        <w:gridCol w:w="3285"/>
        <w:gridCol w:w="1971"/>
        <w:gridCol w:w="2409"/>
        <w:gridCol w:w="1971"/>
      </w:tblGrid>
      <w:tr>
        <w:trPr>
          <w:tblHeader w:val="true"/>
        </w:trPr>
        <w:tc>
          <w:tcPr>
            <w:tcW w:type="dxa" w:w="3285"/>
            <w:shd w:val="clear" w:color="auto" w:fill="D9E2F3"/>
          </w:tcPr>
          <w:p>
            <w:pPr>
              <w:pStyle w:val="Compact"/>
              <w:spacing w:before="40" w:after="40"/>
              <w:jc w:val="left"/>
            </w:pPr>
            <w:r>
              <w:rPr>
                <w:b/>
                <w:sz w:val="18"/>
              </w:rPr>
              <w:t xml:space="preserve">Member</w:t>
            </w:r>
          </w:p>
        </w:tc>
        <w:tc>
          <w:tcPr>
            <w:tcW w:type="dxa" w:w="1971"/>
            <w:shd w:val="clear" w:color="auto" w:fill="D9E2F3"/>
          </w:tcPr>
          <w:p>
            <w:pPr>
              <w:pStyle w:val="Compact"/>
              <w:spacing w:before="40" w:after="40"/>
              <w:jc w:val="left"/>
            </w:pPr>
            <w:r>
              <w:rPr>
                <w:b/>
                <w:sz w:val="18"/>
              </w:rPr>
              <w:t xml:space="preserve">ID</w:t>
            </w:r>
          </w:p>
        </w:tc>
        <w:tc>
          <w:tcPr>
            <w:tcW w:type="dxa" w:w="2409"/>
            <w:shd w:val="clear" w:color="auto" w:fill="D9E2F3"/>
          </w:tcPr>
          <w:p>
            <w:pPr>
              <w:pStyle w:val="Compact"/>
              <w:spacing w:before="40" w:after="40"/>
              <w:jc w:val="left"/>
            </w:pPr>
            <w:r>
              <w:rPr>
                <w:b/>
                <w:sz w:val="18"/>
              </w:rPr>
              <w:t xml:space="preserve">Signature</w:t>
            </w:r>
          </w:p>
        </w:tc>
        <w:tc>
          <w:tcPr>
            <w:tcW w:type="dxa" w:w="1971"/>
            <w:shd w:val="clear" w:color="auto" w:fill="D9E2F3"/>
          </w:tcPr>
          <w:p>
            <w:pPr>
              <w:pStyle w:val="Compact"/>
              <w:spacing w:before="40" w:after="40"/>
              <w:jc w:val="left"/>
            </w:pPr>
            <w:r>
              <w:rPr>
                <w:b/>
                <w:sz w:val="18"/>
              </w:rPr>
              <w:t xml:space="preserve">Date</w:t>
            </w:r>
          </w:p>
        </w:tc>
      </w:tr>
      <w:tr>
        <w:tc>
          <w:tcPr>
            <w:tcW w:type="dxa" w:w="3285"/>
          </w:tcPr>
          <w:p>
            <w:pPr>
              <w:pStyle w:val="Compact"/>
              <w:spacing w:before="40" w:after="40"/>
              <w:jc w:val="left"/>
            </w:pPr>
            <w:r>
              <w:rPr>
                <w:sz w:val="18"/>
              </w:rPr>
              <w:t xml:space="preserve">Ishaan Bhardwaj</w:t>
            </w:r>
          </w:p>
        </w:tc>
        <w:tc>
          <w:tcPr>
            <w:tcW w:type="dxa" w:w="1971"/>
          </w:tcPr>
          <w:p>
            <w:pPr>
              <w:pStyle w:val="Compact"/>
              <w:spacing w:before="40" w:after="40"/>
              <w:jc w:val="left"/>
            </w:pPr>
            <w:r>
              <w:rPr>
                <w:sz w:val="18"/>
              </w:rPr>
              <w:t xml:space="preserve">11004272</w:t>
            </w:r>
          </w:p>
        </w:tc>
        <w:tc>
          <w:tcPr>
            <w:tcW w:type="dxa" w:w="2409"/>
          </w:tcPr>
          <w:p>
            <w:pPr>
              <w:pStyle w:val="Compact"/>
              <w:spacing w:before="40" w:after="40"/>
            </w:pPr>
          </w:p>
        </w:tc>
        <w:tc>
          <w:tcPr>
            <w:tcW w:type="dxa" w:w="1971"/>
          </w:tcPr>
          <w:p>
            <w:pPr>
              <w:pStyle w:val="Compact"/>
              <w:spacing w:before="40" w:after="40"/>
            </w:pPr>
          </w:p>
        </w:tc>
      </w:tr>
      <w:tr>
        <w:tc>
          <w:tcPr>
            <w:tcW w:type="dxa" w:w="3285"/>
          </w:tcPr>
          <w:p>
            <w:pPr>
              <w:pStyle w:val="Compact"/>
              <w:spacing w:before="40" w:after="40"/>
              <w:jc w:val="left"/>
            </w:pPr>
            <w:r>
              <w:rPr>
                <w:sz w:val="18"/>
              </w:rPr>
              <w:t xml:space="preserve">Nyavor Cyril</w:t>
            </w:r>
          </w:p>
        </w:tc>
        <w:tc>
          <w:tcPr>
            <w:tcW w:type="dxa" w:w="1971"/>
          </w:tcPr>
          <w:p>
            <w:pPr>
              <w:pStyle w:val="Compact"/>
              <w:spacing w:before="40" w:after="40"/>
              <w:jc w:val="left"/>
            </w:pPr>
            <w:r>
              <w:rPr>
                <w:sz w:val="18"/>
              </w:rPr>
              <w:t xml:space="preserve">11023595</w:t>
            </w:r>
          </w:p>
        </w:tc>
        <w:tc>
          <w:tcPr>
            <w:tcW w:type="dxa" w:w="2409"/>
          </w:tcPr>
          <w:p>
            <w:pPr>
              <w:pStyle w:val="Compact"/>
              <w:spacing w:before="40" w:after="40"/>
            </w:pPr>
          </w:p>
        </w:tc>
        <w:tc>
          <w:tcPr>
            <w:tcW w:type="dxa" w:w="1971"/>
          </w:tcPr>
          <w:p>
            <w:pPr>
              <w:pStyle w:val="Compact"/>
              <w:spacing w:before="40" w:after="40"/>
            </w:pPr>
          </w:p>
        </w:tc>
      </w:tr>
      <w:tr>
        <w:tc>
          <w:tcPr>
            <w:tcW w:type="dxa" w:w="3285"/>
          </w:tcPr>
          <w:p>
            <w:pPr>
              <w:pStyle w:val="Compact"/>
              <w:spacing w:before="40" w:after="40"/>
              <w:jc w:val="left"/>
            </w:pPr>
            <w:r>
              <w:rPr>
                <w:sz w:val="18"/>
              </w:rPr>
              <w:t xml:space="preserve">Prince Philips</w:t>
            </w:r>
          </w:p>
        </w:tc>
        <w:tc>
          <w:tcPr>
            <w:tcW w:type="dxa" w:w="1971"/>
          </w:tcPr>
          <w:p>
            <w:pPr>
              <w:pStyle w:val="Compact"/>
              <w:spacing w:before="40" w:after="40"/>
              <w:jc w:val="left"/>
            </w:pPr>
            <w:r>
              <w:rPr>
                <w:sz w:val="18"/>
              </w:rPr>
              <w:t xml:space="preserve">11218951</w:t>
            </w:r>
          </w:p>
        </w:tc>
        <w:tc>
          <w:tcPr>
            <w:tcW w:type="dxa" w:w="2409"/>
          </w:tcPr>
          <w:p>
            <w:pPr>
              <w:pStyle w:val="Compact"/>
              <w:spacing w:before="40" w:after="40"/>
            </w:pPr>
          </w:p>
        </w:tc>
        <w:tc>
          <w:tcPr>
            <w:tcW w:type="dxa" w:w="1971"/>
          </w:tcPr>
          <w:p>
            <w:pPr>
              <w:pStyle w:val="Compact"/>
              <w:spacing w:before="40" w:after="40"/>
            </w:pPr>
          </w:p>
        </w:tc>
      </w:tr>
      <w:tr>
        <w:tc>
          <w:tcPr>
            <w:tcW w:type="dxa" w:w="3285"/>
          </w:tcPr>
          <w:p>
            <w:pPr>
              <w:pStyle w:val="Compact"/>
              <w:spacing w:before="40" w:after="40"/>
              <w:jc w:val="left"/>
            </w:pPr>
            <w:r>
              <w:rPr>
                <w:sz w:val="18"/>
              </w:rPr>
              <w:t xml:space="preserve">Samia Soleimani</w:t>
            </w:r>
          </w:p>
        </w:tc>
        <w:tc>
          <w:tcPr>
            <w:tcW w:type="dxa" w:w="1971"/>
          </w:tcPr>
          <w:p>
            <w:pPr>
              <w:pStyle w:val="Compact"/>
              <w:spacing w:before="40" w:after="40"/>
              <w:jc w:val="left"/>
            </w:pPr>
            <w:r>
              <w:rPr>
                <w:sz w:val="18"/>
              </w:rPr>
              <w:t xml:space="preserve">11010910</w:t>
            </w:r>
          </w:p>
        </w:tc>
        <w:tc>
          <w:tcPr>
            <w:tcW w:type="dxa" w:w="2409"/>
          </w:tcPr>
          <w:p>
            <w:pPr>
              <w:pStyle w:val="Compact"/>
              <w:spacing w:before="40" w:after="40"/>
            </w:pPr>
          </w:p>
        </w:tc>
        <w:tc>
          <w:tcPr>
            <w:tcW w:type="dxa" w:w="1971"/>
          </w:tcPr>
          <w:p>
            <w:pPr>
              <w:pStyle w:val="Compact"/>
              <w:spacing w:before="40" w:after="40"/>
            </w:pPr>
          </w:p>
        </w:tc>
      </w:tr>
    </w:tbl>
    <w:bookmarkEnd w:id="29"/>
    <w:bookmarkStart w:id="30" w:name="references-consulted"/>
    <w:p>
      <w:pPr>
        <w:pStyle w:val="Heading2"/>
      </w:pPr>
      <w:r>
        <w:t xml:space="preserve">8. References Consulted</w:t>
      </w:r>
    </w:p>
    <w:p>
      <w:pPr>
        <w:numPr>
          <w:ilvl w:val="0"/>
          <w:numId w:val="1001"/>
        </w:numPr>
        <w:pStyle w:val="Compact"/>
      </w:pPr>
      <w:r>
        <w:t xml:space="preserve">J. L. Hennessy and D. A. Patterson,</w:t>
      </w:r>
      <w:r>
        <w:t xml:space="preserve"> </w:t>
      </w:r>
      <w:r>
        <w:rPr>
          <w:iCs/>
          <w:i/>
        </w:rPr>
        <w:t xml:space="preserve">Computer Architecture: A Quantitative Approach</w:t>
      </w:r>
      <w:r>
        <w:t xml:space="preserve">, 6th ed., Appendix C and Chapter 1.</w:t>
      </w:r>
    </w:p>
    <w:p>
      <w:pPr>
        <w:numPr>
          <w:ilvl w:val="0"/>
          <w:numId w:val="1001"/>
        </w:numPr>
        <w:pStyle w:val="Compact"/>
      </w:pPr>
      <w:r>
        <w:t xml:space="preserve">Team Week 1 design document — the authority for the truth tables, the hazard-detection condition and the branch logic.</w:t>
      </w:r>
    </w:p>
    <w:p>
      <w:pPr>
        <w:numPr>
          <w:ilvl w:val="0"/>
          <w:numId w:val="1001"/>
        </w:numPr>
        <w:pStyle w:val="Compact"/>
      </w:pPr>
      <w:r>
        <w:rPr>
          <w:rStyle w:val="VerbatimChar"/>
        </w:rPr>
        <w:t xml:space="preserve">[The two reviewed papers.]</w:t>
      </w:r>
    </w:p>
    <w:bookmarkEnd w:id="30"/>
    <w:bookmarkEnd w:id="31"/>
    <w:sectPr>
      <w:footerReference w:type="default" r:id="rId9"/>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2026-08-28T18:17:29Z</dcterms:created>
  <dcterms:modified xsi:type="dcterms:W3CDTF">2026-08-28T18:17:29Z</dcterms:modified>
</cp:coreProperties>
</file>

<file path=docProps/custom.xml><?xml version="1.0" encoding="utf-8"?>
<Properties xmlns="http://schemas.openxmlformats.org/officeDocument/2006/custom-properties" xmlns:vt="http://schemas.openxmlformats.org/officeDocument/2006/docPropsVTypes"/>
</file>