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5E2F" w14:textId="2CFCEE66" w:rsidR="00D24B5F" w:rsidRDefault="00000000">
      <w:pPr>
        <w:jc w:val="center"/>
      </w:pPr>
      <w:r>
        <w:rPr>
          <w:b/>
          <w:color w:val="000000"/>
          <w:sz w:val="28"/>
        </w:rPr>
        <w:t>MRFS v1.0 — Volume 2: Evaluation Metric Catalog</w:t>
        <w:br/>
        <w:t xml:space="preserve">Marketplace Ranking Fairness </w:t>
      </w:r>
    </w:p>
    <w:p w14:paraId="24E54584" w14:textId="77777777" w:rsidR="00D24B5F" w:rsidRDefault="00D24B5F"/>
    <w:p w14:paraId="0AA89041" w14:textId="77777777" w:rsidR="00D24B5F" w:rsidRDefault="00000000">
      <w:pPr>
        <w:pStyle w:val="Heading2"/>
      </w:pPr>
      <w:r>
        <w:rPr>
          <w:rFonts w:ascii="Times New Roman" w:hAnsi="Times New Roman"/>
          <w:color w:val="000000"/>
        </w:rPr>
        <w:t>1. Purpose</w:t>
      </w:r>
    </w:p>
    <w:p w14:paraId="7FB2C309" w14:textId="77777777" w:rsidR="00D24B5F" w:rsidRDefault="00000000">
      <w:r>
        <w:t>This catalog defines the complete set of metrics used by the Audit Protocol v1 and Sample Audit Report. It serves as a standalone reference for platform operators, auditors, and governance reviewers. Metrics are organized into four categories: Exposure, Outcome, Stability, and Quality Guardrails.</w:t>
      </w:r>
    </w:p>
    <w:p w14:paraId="07F11DAB" w14:textId="77777777" w:rsidR="00D24B5F" w:rsidRDefault="00000000">
      <w:pPr>
        <w:pStyle w:val="Heading2"/>
      </w:pPr>
      <w:r>
        <w:rPr>
          <w:rFonts w:ascii="Times New Roman" w:hAnsi="Times New Roman"/>
          <w:color w:val="000000"/>
        </w:rPr>
        <w:t>2. Exposure Metrics</w:t>
      </w:r>
    </w:p>
    <w:p w14:paraId="480BE417" w14:textId="77777777" w:rsidR="00D24B5F" w:rsidRDefault="00000000">
      <w:r>
        <w:t>Exposure metrics measure how the ranking system distributes visibility across seller cohorts. This exposure-as-fairness-currency framing follows Singh &amp; Joachims (2018) [1] and the Attention-Weighted Rank Fairness approach formalized by Biega, Diaz, Ekstrand &amp; Kohlmeier (2023) [2]; MRFS uses simpler rank-position and share-based measures rather than their Jensen–Shannon-divergence formulation.</w:t>
      </w:r>
    </w:p>
    <w:tbl>
      <w:tblPr>
        <w:tblStyle w:val="TableGrid"/>
        <w:tblW w:w="0" w:type="auto"/>
        <w:jc w:val="center"/>
        <w:tblLook w:val="04A0" w:firstRow="1" w:lastRow="0" w:firstColumn="1" w:lastColumn="0" w:noHBand="0" w:noVBand="1"/>
      </w:tblPr>
      <w:tblGrid>
        <w:gridCol w:w="2160"/>
        <w:gridCol w:w="2160"/>
        <w:gridCol w:w="2160"/>
        <w:gridCol w:w="2160"/>
      </w:tblGrid>
      <w:tr w:rsidR="00D24B5F" w14:paraId="5747AD4B" w14:textId="77777777">
        <w:trPr>
          <w:jc w:val="center"/>
        </w:trPr>
        <w:tc>
          <w:tcPr>
            <w:tcW w:w="2160" w:type="dxa"/>
          </w:tcPr>
          <w:p w14:paraId="0B3A1E53" w14:textId="77777777" w:rsidR="00D24B5F" w:rsidRDefault="00000000">
            <w:r>
              <w:rPr>
                <w:b/>
                <w:sz w:val="18"/>
              </w:rPr>
              <w:t>ID</w:t>
            </w:r>
          </w:p>
        </w:tc>
        <w:tc>
          <w:tcPr>
            <w:tcW w:w="2160" w:type="dxa"/>
          </w:tcPr>
          <w:p w14:paraId="4FAA1312" w14:textId="77777777" w:rsidR="00D24B5F" w:rsidRDefault="00000000">
            <w:r>
              <w:rPr>
                <w:b/>
                <w:sz w:val="18"/>
              </w:rPr>
              <w:t>Metric</w:t>
            </w:r>
          </w:p>
        </w:tc>
        <w:tc>
          <w:tcPr>
            <w:tcW w:w="2160" w:type="dxa"/>
          </w:tcPr>
          <w:p w14:paraId="4AAA66DD" w14:textId="77777777" w:rsidR="00D24B5F" w:rsidRDefault="00000000">
            <w:r>
              <w:rPr>
                <w:b/>
                <w:sz w:val="18"/>
              </w:rPr>
              <w:t>Definition &amp; Formula</w:t>
            </w:r>
          </w:p>
        </w:tc>
        <w:tc>
          <w:tcPr>
            <w:tcW w:w="2160" w:type="dxa"/>
          </w:tcPr>
          <w:p w14:paraId="06391783" w14:textId="77777777" w:rsidR="00D24B5F" w:rsidRDefault="00000000">
            <w:r>
              <w:rPr>
                <w:b/>
                <w:sz w:val="18"/>
              </w:rPr>
              <w:t>Thresholds</w:t>
            </w:r>
          </w:p>
        </w:tc>
      </w:tr>
      <w:tr w:rsidR="00D24B5F" w14:paraId="55CCC534" w14:textId="77777777">
        <w:trPr>
          <w:jc w:val="center"/>
        </w:trPr>
        <w:tc>
          <w:tcPr>
            <w:tcW w:w="2160" w:type="dxa"/>
          </w:tcPr>
          <w:p w14:paraId="73CFF2A1" w14:textId="77777777" w:rsidR="00D24B5F" w:rsidRDefault="00000000">
            <w:r>
              <w:rPr>
                <w:sz w:val="18"/>
              </w:rPr>
              <w:t>E1</w:t>
            </w:r>
          </w:p>
        </w:tc>
        <w:tc>
          <w:tcPr>
            <w:tcW w:w="2160" w:type="dxa"/>
          </w:tcPr>
          <w:p w14:paraId="0B9C0945" w14:textId="77777777" w:rsidR="00D24B5F" w:rsidRDefault="00000000">
            <w:r>
              <w:rPr>
                <w:sz w:val="18"/>
              </w:rPr>
              <w:t>ExposureShare@K</w:t>
            </w:r>
          </w:p>
        </w:tc>
        <w:tc>
          <w:tcPr>
            <w:tcW w:w="2160" w:type="dxa"/>
          </w:tcPr>
          <w:p w14:paraId="7C1C5C6D" w14:textId="77777777" w:rsidR="00D24B5F" w:rsidRDefault="00000000">
            <w:r>
              <w:rPr>
                <w:sz w:val="18"/>
              </w:rPr>
              <w:t>Ratio of a cohort’s observed top-K exposure to its proportional share under a proportional-allocation baseline.</w:t>
              <w:br/>
              <w:br/>
              <w:t>ES@K = [Cohort’s top-K count / Total top-K slots] / [Cohort size / Total sellers]</w:t>
              <w:br/>
              <w:br/>
              <w:t>1.0 = proportional; &lt;1.0 = underexposure; &gt;1.0 = overexposure.</w:t>
              <w:br/>
              <w:t>Default K=10; robustness K=20.</w:t>
            </w:r>
          </w:p>
        </w:tc>
        <w:tc>
          <w:tcPr>
            <w:tcW w:w="2160" w:type="dxa"/>
          </w:tcPr>
          <w:p w14:paraId="6712C2EC" w14:textId="77777777" w:rsidR="00D24B5F" w:rsidRDefault="00000000">
            <w:r>
              <w:rPr>
                <w:sz w:val="18"/>
              </w:rPr>
              <w:t>Pass: ≥ 0.85</w:t>
              <w:br/>
              <w:t>Monitor: 0.80–0.85</w:t>
              <w:br/>
              <w:t>Review Req.: &lt; 0.80</w:t>
            </w:r>
          </w:p>
        </w:tc>
      </w:tr>
      <w:tr w:rsidR="00D24B5F" w14:paraId="3BD6C795" w14:textId="77777777">
        <w:trPr>
          <w:jc w:val="center"/>
        </w:trPr>
        <w:tc>
          <w:tcPr>
            <w:tcW w:w="2160" w:type="dxa"/>
          </w:tcPr>
          <w:p w14:paraId="2BB64431" w14:textId="77777777" w:rsidR="00D24B5F" w:rsidRDefault="00000000">
            <w:r>
              <w:rPr>
                <w:sz w:val="18"/>
              </w:rPr>
              <w:t>E2</w:t>
            </w:r>
          </w:p>
        </w:tc>
        <w:tc>
          <w:tcPr>
            <w:tcW w:w="2160" w:type="dxa"/>
          </w:tcPr>
          <w:p w14:paraId="0A62DFA6" w14:textId="77777777" w:rsidR="00D24B5F" w:rsidRDefault="00000000">
            <w:r>
              <w:rPr>
                <w:sz w:val="18"/>
              </w:rPr>
              <w:t>Mean Rank Position</w:t>
            </w:r>
          </w:p>
        </w:tc>
        <w:tc>
          <w:tcPr>
            <w:tcW w:w="2160" w:type="dxa"/>
          </w:tcPr>
          <w:p w14:paraId="0E2AA099" w14:textId="77777777" w:rsidR="00D24B5F" w:rsidRDefault="00000000">
            <w:r>
              <w:rPr>
                <w:sz w:val="18"/>
              </w:rPr>
              <w:t>Arithmetic mean of rank positions for a cohort across all ranking events.</w:t>
              <w:br/>
              <w:br/>
              <w:t>MeanRankΔ = difference between cohort means. Lower = more visible.</w:t>
              <w:br/>
              <w:t>Report with 95% confidence intervals.</w:t>
            </w:r>
          </w:p>
        </w:tc>
        <w:tc>
          <w:tcPr>
            <w:tcW w:w="2160" w:type="dxa"/>
          </w:tcPr>
          <w:p w14:paraId="145FD764" w14:textId="77777777" w:rsidR="00D24B5F" w:rsidRDefault="00000000">
            <w:r>
              <w:rPr>
                <w:sz w:val="18"/>
              </w:rPr>
              <w:t>Pass: Δ &lt; 5 positions</w:t>
              <w:br/>
              <w:t>Monitor: Δ 5–10</w:t>
              <w:br/>
              <w:t>Review Req.: Δ ≥ 10</w:t>
            </w:r>
          </w:p>
        </w:tc>
      </w:tr>
      <w:tr w:rsidR="00D24B5F" w14:paraId="7CFBC0BC" w14:textId="77777777">
        <w:trPr>
          <w:jc w:val="center"/>
        </w:trPr>
        <w:tc>
          <w:tcPr>
            <w:tcW w:w="2160" w:type="dxa"/>
          </w:tcPr>
          <w:p w14:paraId="39B37812" w14:textId="77777777" w:rsidR="00D24B5F" w:rsidRDefault="00000000">
            <w:r>
              <w:rPr>
                <w:sz w:val="18"/>
              </w:rPr>
              <w:t>E3</w:t>
            </w:r>
          </w:p>
        </w:tc>
        <w:tc>
          <w:tcPr>
            <w:tcW w:w="2160" w:type="dxa"/>
          </w:tcPr>
          <w:p w14:paraId="35121552" w14:textId="77777777" w:rsidR="00D24B5F" w:rsidRDefault="00000000">
            <w:r>
              <w:rPr>
                <w:sz w:val="18"/>
              </w:rPr>
              <w:t>Exposure Gini</w:t>
            </w:r>
          </w:p>
        </w:tc>
        <w:tc>
          <w:tcPr>
            <w:tcW w:w="2160" w:type="dxa"/>
          </w:tcPr>
          <w:p w14:paraId="11C8A8E8" w14:textId="77777777" w:rsidR="00D24B5F" w:rsidRDefault="00000000">
            <w:r>
              <w:rPr>
                <w:sz w:val="18"/>
              </w:rPr>
              <w:t>Gini index of top-K appearance distribution within a single cohort.</w:t>
              <w:br/>
              <w:br/>
              <w:t>0.0 = perfectly equitable; 1.0 = one seller captures all visibility.</w:t>
              <w:br/>
              <w:t>Higher Gini within an underexposed cohort is especially concerning.</w:t>
            </w:r>
          </w:p>
        </w:tc>
        <w:tc>
          <w:tcPr>
            <w:tcW w:w="2160" w:type="dxa"/>
          </w:tcPr>
          <w:p w14:paraId="5A049602" w14:textId="77777777" w:rsidR="00D24B5F" w:rsidRDefault="00000000">
            <w:r>
              <w:rPr>
                <w:sz w:val="18"/>
              </w:rPr>
              <w:t>No hard threshold.</w:t>
              <w:br/>
              <w:t>Flag Gini &gt; 0.60 within</w:t>
              <w:br/>
              <w:t>underexposed cohorts</w:t>
              <w:br/>
              <w:t>(ES@K &lt; 0.80).</w:t>
            </w:r>
          </w:p>
        </w:tc>
      </w:tr>
    </w:tbl>
    <w:p w14:paraId="611DEFB8" w14:textId="77777777" w:rsidR="00D24B5F" w:rsidRDefault="00D24B5F"/>
    <w:p w14:paraId="61100001" w14:textId="77777777" w:rsidR="00D24B5F" w:rsidRDefault="00000000">
      <w:r>
        <w:t xml:space="preserve">E1 and E2 are each reported with a 95% confidence interval alongside the point estimate, computed via a nonparametric bootstrap that resamples whole ranking events (not individual top-K rows, which are correlated within an event and would understate uncertainty if resampled independently). A small-sample validation test found that point estimates alone, without an interval, produced a false Review Required verdict on a genuinely fair marketplace 8% of the time at a 10,000-event audit — see the Confidence Intervals validation addendum. Section 6 defines how the interval, not just the point estimate, determines status.</w:t>
      </w:r>
    </w:p>
    <w:p w14:paraId="5482569C" w14:textId="77777777" w:rsidR="00D24B5F" w:rsidRDefault="00000000">
      <w:pPr>
        <w:pStyle w:val="Heading2"/>
      </w:pPr>
      <w:r>
        <w:rPr>
          <w:rFonts w:ascii="Times New Roman" w:hAnsi="Times New Roman"/>
          <w:color w:val="000000"/>
        </w:rPr>
        <w:lastRenderedPageBreak/>
        <w:t>3. Outcome Metrics</w:t>
      </w:r>
    </w:p>
    <w:p w14:paraId="274186AD" w14:textId="77777777" w:rsidR="00D24B5F" w:rsidRDefault="00000000">
      <w:r>
        <w:t>Outcome metrics assess whether exposure disparities translate into click and conversion disparities. Computed only when click and conversion data is available; otherwise noted as a limitation.</w:t>
      </w:r>
    </w:p>
    <w:tbl>
      <w:tblPr>
        <w:tblStyle w:val="TableGrid"/>
        <w:tblW w:w="0" w:type="auto"/>
        <w:jc w:val="center"/>
        <w:tblLook w:val="04A0" w:firstRow="1" w:lastRow="0" w:firstColumn="1" w:lastColumn="0" w:noHBand="0" w:noVBand="1"/>
      </w:tblPr>
      <w:tblGrid>
        <w:gridCol w:w="2160"/>
        <w:gridCol w:w="2160"/>
        <w:gridCol w:w="2160"/>
        <w:gridCol w:w="2160"/>
      </w:tblGrid>
      <w:tr w:rsidR="00D24B5F" w14:paraId="69021F99" w14:textId="77777777">
        <w:trPr>
          <w:jc w:val="center"/>
        </w:trPr>
        <w:tc>
          <w:tcPr>
            <w:tcW w:w="2160" w:type="dxa"/>
          </w:tcPr>
          <w:p w14:paraId="17D852D2" w14:textId="77777777" w:rsidR="00D24B5F" w:rsidRDefault="00000000">
            <w:r>
              <w:rPr>
                <w:b/>
                <w:sz w:val="18"/>
              </w:rPr>
              <w:t>ID</w:t>
            </w:r>
          </w:p>
        </w:tc>
        <w:tc>
          <w:tcPr>
            <w:tcW w:w="2160" w:type="dxa"/>
          </w:tcPr>
          <w:p w14:paraId="60EE1010" w14:textId="77777777" w:rsidR="00D24B5F" w:rsidRDefault="00000000">
            <w:r>
              <w:rPr>
                <w:b/>
                <w:sz w:val="18"/>
              </w:rPr>
              <w:t>Metric</w:t>
            </w:r>
          </w:p>
        </w:tc>
        <w:tc>
          <w:tcPr>
            <w:tcW w:w="2160" w:type="dxa"/>
          </w:tcPr>
          <w:p w14:paraId="27EB247C" w14:textId="77777777" w:rsidR="00D24B5F" w:rsidRDefault="00000000">
            <w:r>
              <w:rPr>
                <w:b/>
                <w:sz w:val="18"/>
              </w:rPr>
              <w:t>Definition &amp; Formula</w:t>
            </w:r>
          </w:p>
        </w:tc>
        <w:tc>
          <w:tcPr>
            <w:tcW w:w="2160" w:type="dxa"/>
          </w:tcPr>
          <w:p w14:paraId="02E36764" w14:textId="77777777" w:rsidR="00D24B5F" w:rsidRDefault="00000000">
            <w:r>
              <w:rPr>
                <w:b/>
                <w:sz w:val="18"/>
              </w:rPr>
              <w:t>Thresholds</w:t>
            </w:r>
          </w:p>
        </w:tc>
      </w:tr>
      <w:tr w:rsidR="00D24B5F" w14:paraId="3419D5D9" w14:textId="77777777">
        <w:trPr>
          <w:jc w:val="center"/>
        </w:trPr>
        <w:tc>
          <w:tcPr>
            <w:tcW w:w="2160" w:type="dxa"/>
          </w:tcPr>
          <w:p w14:paraId="11831A3D" w14:textId="77777777" w:rsidR="00D24B5F" w:rsidRDefault="00000000">
            <w:r>
              <w:rPr>
                <w:sz w:val="18"/>
              </w:rPr>
              <w:t>O1</w:t>
            </w:r>
          </w:p>
        </w:tc>
        <w:tc>
          <w:tcPr>
            <w:tcW w:w="2160" w:type="dxa"/>
          </w:tcPr>
          <w:p w14:paraId="6D923E9E" w14:textId="77777777" w:rsidR="00D24B5F" w:rsidRDefault="00000000">
            <w:r>
              <w:rPr>
                <w:sz w:val="18"/>
              </w:rPr>
              <w:t>CTR Parity Ratio</w:t>
            </w:r>
          </w:p>
        </w:tc>
        <w:tc>
          <w:tcPr>
            <w:tcW w:w="2160" w:type="dxa"/>
          </w:tcPr>
          <w:p w14:paraId="1E7936E6" w14:textId="77777777" w:rsidR="00D24B5F" w:rsidRDefault="00000000">
            <w:r>
              <w:rPr>
                <w:sz w:val="18"/>
              </w:rPr>
              <w:t>CTR(small cohort) / CTR(large cohort)</w:t>
              <w:br/>
              <w:br/>
              <w:t>where CTR = Clicks / Impressions in top-K.</w:t>
              <w:br/>
              <w:t>1.0 = parity; &lt;1.0 = disadvantaged cohort gets fewer clicks per impression.</w:t>
            </w:r>
          </w:p>
        </w:tc>
        <w:tc>
          <w:tcPr>
            <w:tcW w:w="2160" w:type="dxa"/>
          </w:tcPr>
          <w:p w14:paraId="2B3BE701" w14:textId="77777777" w:rsidR="00D24B5F" w:rsidRDefault="00000000">
            <w:r>
              <w:rPr>
                <w:sz w:val="18"/>
              </w:rPr>
              <w:t>Evaluated via DI</w:t>
              <w:br/>
              <w:t>(see O3 below).</w:t>
            </w:r>
          </w:p>
        </w:tc>
      </w:tr>
      <w:tr w:rsidR="00D24B5F" w14:paraId="199467D0" w14:textId="77777777">
        <w:trPr>
          <w:jc w:val="center"/>
        </w:trPr>
        <w:tc>
          <w:tcPr>
            <w:tcW w:w="2160" w:type="dxa"/>
          </w:tcPr>
          <w:p w14:paraId="5E2DC06B" w14:textId="77777777" w:rsidR="00D24B5F" w:rsidRDefault="00000000">
            <w:r>
              <w:rPr>
                <w:sz w:val="18"/>
              </w:rPr>
              <w:t>O2</w:t>
            </w:r>
          </w:p>
        </w:tc>
        <w:tc>
          <w:tcPr>
            <w:tcW w:w="2160" w:type="dxa"/>
          </w:tcPr>
          <w:p w14:paraId="1C3BB9DE" w14:textId="77777777" w:rsidR="00D24B5F" w:rsidRDefault="00000000">
            <w:r>
              <w:rPr>
                <w:sz w:val="18"/>
              </w:rPr>
              <w:t>CVR Parity Ratio</w:t>
            </w:r>
          </w:p>
        </w:tc>
        <w:tc>
          <w:tcPr>
            <w:tcW w:w="2160" w:type="dxa"/>
          </w:tcPr>
          <w:p w14:paraId="3A5629D4" w14:textId="77777777" w:rsidR="00D24B5F" w:rsidRDefault="00000000">
            <w:r>
              <w:rPr>
                <w:sz w:val="18"/>
              </w:rPr>
              <w:t>CVR(small cohort) / CVR(large cohort)</w:t>
              <w:br/>
              <w:br/>
              <w:t>where CVR = Conversions / Impressions in top-K.</w:t>
              <w:br/>
              <w:t>1.0 = parity; &lt;1.0 = disadvantaged cohort converts less per impression.</w:t>
            </w:r>
          </w:p>
        </w:tc>
        <w:tc>
          <w:tcPr>
            <w:tcW w:w="2160" w:type="dxa"/>
          </w:tcPr>
          <w:p w14:paraId="168F7BFD" w14:textId="77777777" w:rsidR="00D24B5F" w:rsidRDefault="00000000">
            <w:r>
              <w:rPr>
                <w:sz w:val="18"/>
              </w:rPr>
              <w:t>Evaluated via DI</w:t>
              <w:br/>
              <w:t>(see O3 below).</w:t>
            </w:r>
          </w:p>
        </w:tc>
      </w:tr>
      <w:tr w:rsidR="00D24B5F" w14:paraId="7286522D" w14:textId="77777777">
        <w:trPr>
          <w:jc w:val="center"/>
        </w:trPr>
        <w:tc>
          <w:tcPr>
            <w:tcW w:w="2160" w:type="dxa"/>
          </w:tcPr>
          <w:p w14:paraId="6D5F544D" w14:textId="77777777" w:rsidR="00D24B5F" w:rsidRDefault="00000000">
            <w:r>
              <w:rPr>
                <w:sz w:val="18"/>
              </w:rPr>
              <w:t>O3</w:t>
            </w:r>
          </w:p>
        </w:tc>
        <w:tc>
          <w:tcPr>
            <w:tcW w:w="2160" w:type="dxa"/>
          </w:tcPr>
          <w:p w14:paraId="7D320195" w14:textId="77777777" w:rsidR="00D24B5F" w:rsidRDefault="00000000">
            <w:r>
              <w:rPr>
                <w:sz w:val="18"/>
              </w:rPr>
              <w:t>CTR/CVR DI Ratio</w:t>
            </w:r>
          </w:p>
        </w:tc>
        <w:tc>
          <w:tcPr>
            <w:tcW w:w="2160" w:type="dxa"/>
          </w:tcPr>
          <w:p w14:paraId="0273BBD3" w14:textId="77777777" w:rsidR="00D24B5F" w:rsidRDefault="00000000">
            <w:r>
              <w:rPr>
                <w:sz w:val="18"/>
              </w:rPr>
              <w:t>Disparate Impact ratio applied to CTR and CVR outcomes.</w:t>
              <w:br/>
              <w:br/>
              <w:t>DI = Outcome rate(disadvantaged) / Outcome rate(reference)</w:t>
              <w:br/>
              <w:br/>
              <w:t>Adapted from the EEOC four-fifths rule [3]. Applied to outcome metrics only; exposure disparity is measured directly by ExposureShare@K (E1).</w:t>
            </w:r>
          </w:p>
        </w:tc>
        <w:tc>
          <w:tcPr>
            <w:tcW w:w="2160" w:type="dxa"/>
          </w:tcPr>
          <w:p w14:paraId="2CF94986" w14:textId="77777777" w:rsidR="00D24B5F" w:rsidRDefault="00000000">
            <w:r>
              <w:rPr>
                <w:sz w:val="18"/>
              </w:rPr>
              <w:t>Pass: DI ≥ 0.85</w:t>
              <w:br/>
              <w:t>Monitor: 0.80–0.85</w:t>
              <w:br/>
              <w:t>Review Req.: &lt; 0.80</w:t>
            </w:r>
          </w:p>
        </w:tc>
      </w:tr>
    </w:tbl>
    <w:p w14:paraId="260B778B" w14:textId="77777777" w:rsidR="00D24B5F" w:rsidRDefault="00D24B5F"/>
    <w:p w14:paraId="20F5D841" w14:textId="77777777" w:rsidR="00D24B5F" w:rsidRDefault="00000000">
      <w:r>
        <w:t>Note: These thresholds are operational governance triggers used for audit triage and do not constitute legal conclusions.</w:t>
      </w:r>
    </w:p>
    <w:p w14:paraId="1275F767" w14:textId="77777777" w:rsidR="00D24B5F" w:rsidRDefault="00000000">
      <w:pPr>
        <w:pStyle w:val="Heading2"/>
      </w:pPr>
      <w:r>
        <w:rPr>
          <w:rFonts w:ascii="Times New Roman" w:hAnsi="Times New Roman"/>
          <w:color w:val="000000"/>
        </w:rPr>
        <w:t>4. Stability Metrics</w:t>
      </w:r>
    </w:p>
    <w:p w14:paraId="52A0F053" w14:textId="77777777" w:rsidR="00D24B5F" w:rsidRDefault="00000000">
      <w:r>
        <w:t>Stability metrics detect drift over time and regression from model updates.</w:t>
      </w:r>
    </w:p>
    <w:tbl>
      <w:tblPr>
        <w:tblStyle w:val="TableGrid"/>
        <w:tblW w:w="0" w:type="auto"/>
        <w:jc w:val="center"/>
        <w:tblLook w:val="04A0" w:firstRow="1" w:lastRow="0" w:firstColumn="1" w:lastColumn="0" w:noHBand="0" w:noVBand="1"/>
      </w:tblPr>
      <w:tblGrid>
        <w:gridCol w:w="2160"/>
        <w:gridCol w:w="2160"/>
        <w:gridCol w:w="2160"/>
        <w:gridCol w:w="2160"/>
      </w:tblGrid>
      <w:tr w:rsidR="00D24B5F" w14:paraId="0B97717F" w14:textId="77777777">
        <w:trPr>
          <w:jc w:val="center"/>
        </w:trPr>
        <w:tc>
          <w:tcPr>
            <w:tcW w:w="2160" w:type="dxa"/>
          </w:tcPr>
          <w:p w14:paraId="03308C0E" w14:textId="77777777" w:rsidR="00D24B5F" w:rsidRDefault="00000000">
            <w:r>
              <w:rPr>
                <w:b/>
                <w:sz w:val="18"/>
              </w:rPr>
              <w:t>ID</w:t>
            </w:r>
          </w:p>
        </w:tc>
        <w:tc>
          <w:tcPr>
            <w:tcW w:w="2160" w:type="dxa"/>
          </w:tcPr>
          <w:p w14:paraId="787997C6" w14:textId="77777777" w:rsidR="00D24B5F" w:rsidRDefault="00000000">
            <w:r>
              <w:rPr>
                <w:b/>
                <w:sz w:val="18"/>
              </w:rPr>
              <w:t>Metric</w:t>
            </w:r>
          </w:p>
        </w:tc>
        <w:tc>
          <w:tcPr>
            <w:tcW w:w="2160" w:type="dxa"/>
          </w:tcPr>
          <w:p w14:paraId="6BC08AF4" w14:textId="77777777" w:rsidR="00D24B5F" w:rsidRDefault="00000000">
            <w:r>
              <w:rPr>
                <w:b/>
                <w:sz w:val="18"/>
              </w:rPr>
              <w:t>Definition &amp; Formula</w:t>
            </w:r>
          </w:p>
        </w:tc>
        <w:tc>
          <w:tcPr>
            <w:tcW w:w="2160" w:type="dxa"/>
          </w:tcPr>
          <w:p w14:paraId="549FA55B" w14:textId="77777777" w:rsidR="00D24B5F" w:rsidRDefault="00000000">
            <w:r>
              <w:rPr>
                <w:b/>
                <w:sz w:val="18"/>
              </w:rPr>
              <w:t>Thresholds</w:t>
            </w:r>
          </w:p>
        </w:tc>
      </w:tr>
      <w:tr w:rsidR="00D24B5F" w14:paraId="78C22671" w14:textId="77777777">
        <w:trPr>
          <w:jc w:val="center"/>
        </w:trPr>
        <w:tc>
          <w:tcPr>
            <w:tcW w:w="2160" w:type="dxa"/>
          </w:tcPr>
          <w:p w14:paraId="4BE9DC05" w14:textId="77777777" w:rsidR="00D24B5F" w:rsidRDefault="00000000">
            <w:r>
              <w:rPr>
                <w:sz w:val="18"/>
              </w:rPr>
              <w:t>S1</w:t>
            </w:r>
          </w:p>
        </w:tc>
        <w:tc>
          <w:tcPr>
            <w:tcW w:w="2160" w:type="dxa"/>
          </w:tcPr>
          <w:p w14:paraId="65AA7F36" w14:textId="085E301C" w:rsidR="00D24B5F" w:rsidRDefault="00000000">
            <w:r>
              <w:rPr>
                <w:sz w:val="18"/>
              </w:rPr>
              <w:t xml:space="preserve">ExposureShare@K Drift</w:t>
            </w:r>
          </w:p>
        </w:tc>
        <w:tc>
          <w:tcPr>
            <w:tcW w:w="2160" w:type="dxa"/>
          </w:tcPr>
          <w:p w14:paraId="58DF1AD3" w14:textId="77777777" w:rsidR="00D24B5F" w:rsidRDefault="00000000">
            <w:r>
              <w:rPr>
                <w:sz w:val="18"/>
              </w:rPr>
              <w:t>Relative change in ExposureShare@K vs. trailing 4-week moving average.</w:t>
              <w:br/>
              <w:br/>
              <w:t xml:space="preserve">Drift = (ES@K(current) − ES@K(4-wk avg)) / </w:t>
              <w:lastRenderedPageBreak/>
              <w:t>ES@K(4-wk avg) × 100%</w:t>
            </w:r>
          </w:p>
        </w:tc>
        <w:tc>
          <w:tcPr>
            <w:tcW w:w="2160" w:type="dxa"/>
          </w:tcPr>
          <w:p w14:paraId="0214F330" w14:textId="77777777" w:rsidR="00D24B5F" w:rsidRDefault="00000000">
            <w:r>
              <w:rPr>
                <w:sz w:val="18"/>
              </w:rPr>
              <w:lastRenderedPageBreak/>
              <w:t>Pass: &lt; 10% decline</w:t>
              <w:br/>
              <w:t>Monitor: ≥ 10% decline</w:t>
              <w:br/>
              <w:t>Review Req.: ≥ 20%</w:t>
              <w:br/>
              <w:t>or sustained &gt; 2 wks</w:t>
            </w:r>
          </w:p>
        </w:tc>
      </w:tr>
      <w:tr w:rsidR="00D24B5F" w14:paraId="53C58EB7" w14:textId="77777777">
        <w:trPr>
          <w:jc w:val="center"/>
        </w:trPr>
        <w:tc>
          <w:tcPr>
            <w:tcW w:w="2160" w:type="dxa"/>
          </w:tcPr>
          <w:p w14:paraId="4B49AB1F" w14:textId="77777777" w:rsidR="00D24B5F" w:rsidRDefault="00000000">
            <w:r>
              <w:rPr>
                <w:sz w:val="18"/>
              </w:rPr>
              <w:t>S2</w:t>
            </w:r>
          </w:p>
        </w:tc>
        <w:tc>
          <w:tcPr>
            <w:tcW w:w="2160" w:type="dxa"/>
          </w:tcPr>
          <w:p w14:paraId="6436AE95" w14:textId="69BDCAE9" w:rsidR="00D24B5F" w:rsidRDefault="00000000">
            <w:r>
              <w:rPr>
                <w:sz w:val="18"/>
              </w:rPr>
              <w:t xml:space="preserve">Model Regression Delta</w:t>
            </w:r>
          </w:p>
        </w:tc>
        <w:tc>
          <w:tcPr>
            <w:tcW w:w="2160" w:type="dxa"/>
          </w:tcPr>
          <w:p w14:paraId="20D480AB" w14:textId="77777777" w:rsidR="00D24B5F" w:rsidRDefault="00000000">
            <w:r>
              <w:rPr>
                <w:sz w:val="18"/>
              </w:rPr>
              <w:t>Comparison of ES@K and outcome metrics pre- and post- model deployment.</w:t>
              <w:br/>
              <w:br/>
              <w:t>RegressionΔ = ES@K(post avg) − ES@K(pre avg)</w:t>
              <w:br/>
              <w:br/>
              <w:t xml:space="preserve">Any model version change auto-triggers a regression comparison.</w:t>
            </w:r>
          </w:p>
        </w:tc>
        <w:tc>
          <w:tcPr>
            <w:tcW w:w="2160" w:type="dxa"/>
          </w:tcPr>
          <w:p w14:paraId="1358E13D" w14:textId="77777777" w:rsidR="00D24B5F" w:rsidRDefault="00000000">
            <w:r>
              <w:rPr>
                <w:sz w:val="18"/>
              </w:rPr>
              <w:t>Any metric crossing</w:t>
              <w:br/>
              <w:t>S1 thresholds triggers</w:t>
              <w:br/>
              <w:t>full audit.</w:t>
            </w:r>
          </w:p>
        </w:tc>
      </w:tr>
    </w:tbl>
    <w:p w14:paraId="5D00ED1A" w14:textId="77777777" w:rsidR="00D24B5F" w:rsidRDefault="00D24B5F"/>
    <w:p w14:paraId="5D00ED2B" w14:textId="77777777" w:rsidR="00D24B5F" w:rsidRDefault="00000000">
      <w:r>
        <w:t xml:space="preserve">S1 is similarly reported with a 95% confidence interval on the drift statistic itself, computed via the same event-level bootstrap, resampling the current week’s and each trailing baseline week’s events independently and averaging the baseline replicates. A follow-up validation test found that the point estimate alone, without an interval, produced a false Monitor-or-worse verdict on a genuinely stable marketplace 92.5% of the time at floor-scale weekly volume (~42 events/week) — see the S1 Confidence Intervals validation addendum. At that same floor-scale volume, the interval-based fix has a measured cost: detection of a large real regression drops from roughly 100% to 60–80%, and the standard’s sustained &gt; 2-week Review Required escalation path becomes effectively unreachable. This tradeoff is flagged for Volume 4 governance sign-off and is not resolved by this document. Section 6 defines how the interval, not just the point estimate, determines status for S1 as for every other metric in this section.</w:t>
      </w:r>
    </w:p>
    <w:p w14:paraId="0794EA7F" w14:textId="77777777" w:rsidR="00D24B5F" w:rsidRDefault="00000000">
      <w:pPr>
        <w:pStyle w:val="Heading2"/>
      </w:pPr>
      <w:r>
        <w:rPr>
          <w:rFonts w:ascii="Times New Roman" w:hAnsi="Times New Roman"/>
          <w:color w:val="000000"/>
        </w:rPr>
        <w:t>5. Quality Guardrail Metrics</w:t>
      </w:r>
    </w:p>
    <w:p w14:paraId="76F4BAC3" w14:textId="77777777" w:rsidR="00D24B5F" w:rsidRDefault="00000000">
      <w:r>
        <w:t>Quality guardrails protect marketplace performance during fairness interventions. If a fairness-improving change degrades quality beyond these thresholds, the intervention must be adjusted or rolled back.</w:t>
      </w:r>
    </w:p>
    <w:tbl>
      <w:tblPr>
        <w:tblStyle w:val="TableGrid"/>
        <w:tblW w:w="0" w:type="auto"/>
        <w:jc w:val="center"/>
        <w:tblLook w:val="04A0" w:firstRow="1" w:lastRow="0" w:firstColumn="1" w:lastColumn="0" w:noHBand="0" w:noVBand="1"/>
      </w:tblPr>
      <w:tblGrid>
        <w:gridCol w:w="2160"/>
        <w:gridCol w:w="2160"/>
        <w:gridCol w:w="2160"/>
        <w:gridCol w:w="2160"/>
      </w:tblGrid>
      <w:tr w:rsidR="00D24B5F" w14:paraId="37B6DCE9" w14:textId="77777777">
        <w:trPr>
          <w:jc w:val="center"/>
        </w:trPr>
        <w:tc>
          <w:tcPr>
            <w:tcW w:w="2160" w:type="dxa"/>
          </w:tcPr>
          <w:p w14:paraId="25ADC6A0" w14:textId="77777777" w:rsidR="00D24B5F" w:rsidRDefault="00000000">
            <w:r>
              <w:rPr>
                <w:b/>
                <w:sz w:val="18"/>
              </w:rPr>
              <w:t>ID</w:t>
            </w:r>
          </w:p>
        </w:tc>
        <w:tc>
          <w:tcPr>
            <w:tcW w:w="2160" w:type="dxa"/>
          </w:tcPr>
          <w:p w14:paraId="16A99E4D" w14:textId="77777777" w:rsidR="00D24B5F" w:rsidRDefault="00000000">
            <w:r>
              <w:rPr>
                <w:b/>
                <w:sz w:val="18"/>
              </w:rPr>
              <w:t>Metric</w:t>
            </w:r>
          </w:p>
        </w:tc>
        <w:tc>
          <w:tcPr>
            <w:tcW w:w="2160" w:type="dxa"/>
          </w:tcPr>
          <w:p w14:paraId="042AAFF7" w14:textId="77777777" w:rsidR="00D24B5F" w:rsidRDefault="00000000">
            <w:r>
              <w:rPr>
                <w:b/>
                <w:sz w:val="18"/>
              </w:rPr>
              <w:t>Definition &amp; Formula</w:t>
            </w:r>
          </w:p>
        </w:tc>
        <w:tc>
          <w:tcPr>
            <w:tcW w:w="2160" w:type="dxa"/>
          </w:tcPr>
          <w:p w14:paraId="74AD4ED9" w14:textId="77777777" w:rsidR="00D24B5F" w:rsidRDefault="00000000">
            <w:r>
              <w:rPr>
                <w:b/>
                <w:sz w:val="18"/>
              </w:rPr>
              <w:t>Threshold</w:t>
            </w:r>
          </w:p>
        </w:tc>
      </w:tr>
      <w:tr w:rsidR="00D24B5F" w14:paraId="759CC0DE" w14:textId="77777777">
        <w:trPr>
          <w:jc w:val="center"/>
        </w:trPr>
        <w:tc>
          <w:tcPr>
            <w:tcW w:w="2160" w:type="dxa"/>
          </w:tcPr>
          <w:p w14:paraId="7D4596B4" w14:textId="77777777" w:rsidR="00D24B5F" w:rsidRDefault="00000000">
            <w:r>
              <w:rPr>
                <w:sz w:val="18"/>
              </w:rPr>
              <w:t>Q1</w:t>
            </w:r>
          </w:p>
        </w:tc>
        <w:tc>
          <w:tcPr>
            <w:tcW w:w="2160" w:type="dxa"/>
          </w:tcPr>
          <w:p w14:paraId="71B38334" w14:textId="77777777" w:rsidR="00D24B5F" w:rsidRDefault="00000000">
            <w:r>
              <w:rPr>
                <w:sz w:val="18"/>
              </w:rPr>
              <w:t>Overall CTR</w:t>
            </w:r>
          </w:p>
        </w:tc>
        <w:tc>
          <w:tcPr>
            <w:tcW w:w="2160" w:type="dxa"/>
          </w:tcPr>
          <w:p w14:paraId="0EBD5FD9" w14:textId="77777777" w:rsidR="00D24B5F" w:rsidRDefault="00000000">
            <w:r>
              <w:rPr>
                <w:sz w:val="18"/>
              </w:rPr>
              <w:t>Marketplace-wide click-through rate.</w:t>
              <w:br/>
              <w:t>Overall CTR = Total clicks / Total impressions</w:t>
            </w:r>
          </w:p>
        </w:tc>
        <w:tc>
          <w:tcPr>
            <w:tcW w:w="2160" w:type="dxa"/>
          </w:tcPr>
          <w:p w14:paraId="1212C859" w14:textId="77777777" w:rsidR="00D24B5F" w:rsidRDefault="00000000">
            <w:r>
              <w:rPr>
                <w:sz w:val="18"/>
              </w:rPr>
              <w:t>≤ 2% relative decline</w:t>
              <w:br/>
              <w:t>from baseline.</w:t>
            </w:r>
          </w:p>
        </w:tc>
      </w:tr>
      <w:tr w:rsidR="00D24B5F" w14:paraId="17496E0B" w14:textId="77777777">
        <w:trPr>
          <w:jc w:val="center"/>
        </w:trPr>
        <w:tc>
          <w:tcPr>
            <w:tcW w:w="2160" w:type="dxa"/>
          </w:tcPr>
          <w:p w14:paraId="199FE9E1" w14:textId="77777777" w:rsidR="00D24B5F" w:rsidRDefault="00000000">
            <w:r>
              <w:rPr>
                <w:sz w:val="18"/>
              </w:rPr>
              <w:t>Q2</w:t>
            </w:r>
          </w:p>
        </w:tc>
        <w:tc>
          <w:tcPr>
            <w:tcW w:w="2160" w:type="dxa"/>
          </w:tcPr>
          <w:p w14:paraId="26DC1F80" w14:textId="77777777" w:rsidR="00D24B5F" w:rsidRDefault="00000000">
            <w:r>
              <w:rPr>
                <w:sz w:val="18"/>
              </w:rPr>
              <w:t>Overall CVR</w:t>
            </w:r>
          </w:p>
        </w:tc>
        <w:tc>
          <w:tcPr>
            <w:tcW w:w="2160" w:type="dxa"/>
          </w:tcPr>
          <w:p w14:paraId="65B14545" w14:textId="77777777" w:rsidR="00D24B5F" w:rsidRDefault="00000000">
            <w:r>
              <w:rPr>
                <w:sz w:val="18"/>
              </w:rPr>
              <w:t>Marketplace-wide conversion rate.</w:t>
              <w:br/>
              <w:t>Overall CVR = Total conversions / Total impressions</w:t>
            </w:r>
          </w:p>
        </w:tc>
        <w:tc>
          <w:tcPr>
            <w:tcW w:w="2160" w:type="dxa"/>
          </w:tcPr>
          <w:p w14:paraId="5CBB44C0" w14:textId="77777777" w:rsidR="00D24B5F" w:rsidRDefault="00000000">
            <w:r>
              <w:rPr>
                <w:sz w:val="18"/>
              </w:rPr>
              <w:t>≤ 2% relative decline</w:t>
              <w:br/>
              <w:t>from baseline.</w:t>
            </w:r>
          </w:p>
        </w:tc>
      </w:tr>
      <w:tr w:rsidR="00D24B5F" w14:paraId="42457DC5" w14:textId="77777777">
        <w:trPr>
          <w:jc w:val="center"/>
        </w:trPr>
        <w:tc>
          <w:tcPr>
            <w:tcW w:w="2160" w:type="dxa"/>
          </w:tcPr>
          <w:p w14:paraId="770F4BDF" w14:textId="77777777" w:rsidR="00D24B5F" w:rsidRDefault="00000000">
            <w:r>
              <w:rPr>
                <w:sz w:val="18"/>
              </w:rPr>
              <w:t>Q3</w:t>
            </w:r>
          </w:p>
        </w:tc>
        <w:tc>
          <w:tcPr>
            <w:tcW w:w="2160" w:type="dxa"/>
          </w:tcPr>
          <w:p w14:paraId="20DEACD7" w14:textId="338FD38B" w:rsidR="00D24B5F" w:rsidRDefault="00000000">
            <w:r>
              <w:rPr>
                <w:sz w:val="18"/>
              </w:rPr>
              <w:t xml:space="preserve">NDCG@K </w:t>
              <w:br/>
            </w:r>
            <w:r>
              <w:rPr>
                <w:sz w:val="18"/>
                <w:szCs w:val="18"/>
              </w:rPr>
              <w:t>(</w:t>
            </w:r>
            <w:r>
              <w:rPr>
                <w:color w:val="000000"/>
                <w:sz w:val="18"/>
                <w:szCs w:val="18"/>
              </w:rPr>
              <w:t>Normalized Discounted Cumulative Gain)</w:t>
            </w:r>
          </w:p>
        </w:tc>
        <w:tc>
          <w:tcPr>
            <w:tcW w:w="2160" w:type="dxa"/>
          </w:tcPr>
          <w:p w14:paraId="19996D21" w14:textId="77777777" w:rsidR="00D24B5F" w:rsidRDefault="00000000">
            <w:r>
              <w:rPr>
                <w:sz w:val="18"/>
              </w:rPr>
              <w:t>Normalized Discounted Cumulative Gain. Standard IR relevance metric.</w:t>
              <w:br/>
              <w:t>NDCG@K = DCG@K / IDCG@K</w:t>
            </w:r>
          </w:p>
        </w:tc>
        <w:tc>
          <w:tcPr>
            <w:tcW w:w="2160" w:type="dxa"/>
          </w:tcPr>
          <w:p w14:paraId="2DFC473B" w14:textId="77777777" w:rsidR="00D24B5F" w:rsidRDefault="00000000">
            <w:r>
              <w:rPr>
                <w:sz w:val="18"/>
              </w:rPr>
              <w:t>≤ 5% relative decline</w:t>
              <w:br/>
              <w:t>from baseline.</w:t>
            </w:r>
          </w:p>
        </w:tc>
      </w:tr>
    </w:tbl>
    <w:p w14:paraId="7EF6D883" w14:textId="77777777" w:rsidR="00D24B5F" w:rsidRDefault="00D24B5F"/>
    <w:p w14:paraId="5EDD13A5" w14:textId="77777777" w:rsidR="00D24B5F" w:rsidRDefault="00000000">
      <w:pPr>
        <w:pStyle w:val="Heading2"/>
      </w:pPr>
      <w:r>
        <w:rPr>
          <w:rFonts w:ascii="Times New Roman" w:hAnsi="Times New Roman"/>
          <w:color w:val="000000"/>
        </w:rPr>
        <w:t>6. Consolidated Threshold Reference</w:t>
      </w:r>
    </w:p>
    <w:tbl>
      <w:tblPr>
        <w:tblStyle w:val="TableGrid"/>
        <w:tblW w:w="0" w:type="auto"/>
        <w:jc w:val="center"/>
        <w:tblLook w:val="04A0" w:firstRow="1" w:lastRow="0" w:firstColumn="1" w:lastColumn="0" w:noHBand="0" w:noVBand="1"/>
      </w:tblPr>
      <w:tblGrid>
        <w:gridCol w:w="2160"/>
        <w:gridCol w:w="2160"/>
        <w:gridCol w:w="2160"/>
        <w:gridCol w:w="2160"/>
      </w:tblGrid>
      <w:tr w:rsidR="00D24B5F" w14:paraId="77DA32D9" w14:textId="77777777">
        <w:trPr>
          <w:jc w:val="center"/>
        </w:trPr>
        <w:tc>
          <w:tcPr>
            <w:tcW w:w="2160" w:type="dxa"/>
          </w:tcPr>
          <w:p w14:paraId="62479D19" w14:textId="77777777" w:rsidR="00D24B5F" w:rsidRDefault="00000000">
            <w:r>
              <w:rPr>
                <w:b/>
                <w:sz w:val="18"/>
              </w:rPr>
              <w:t>Metric</w:t>
            </w:r>
          </w:p>
        </w:tc>
        <w:tc>
          <w:tcPr>
            <w:tcW w:w="2160" w:type="dxa"/>
          </w:tcPr>
          <w:p w14:paraId="7062A118" w14:textId="77777777" w:rsidR="00D24B5F" w:rsidRDefault="00000000">
            <w:r>
              <w:rPr>
                <w:b/>
                <w:sz w:val="18"/>
              </w:rPr>
              <w:t>Pass</w:t>
            </w:r>
          </w:p>
        </w:tc>
        <w:tc>
          <w:tcPr>
            <w:tcW w:w="2160" w:type="dxa"/>
          </w:tcPr>
          <w:p w14:paraId="12CB0DD5" w14:textId="77777777" w:rsidR="00D24B5F" w:rsidRDefault="00000000">
            <w:r>
              <w:rPr>
                <w:b/>
                <w:sz w:val="18"/>
              </w:rPr>
              <w:t>Monitor</w:t>
            </w:r>
          </w:p>
        </w:tc>
        <w:tc>
          <w:tcPr>
            <w:tcW w:w="2160" w:type="dxa"/>
          </w:tcPr>
          <w:p w14:paraId="12DE5E74" w14:textId="77777777" w:rsidR="00D24B5F" w:rsidRDefault="00000000">
            <w:r>
              <w:rPr>
                <w:b/>
                <w:sz w:val="18"/>
              </w:rPr>
              <w:t>Review Required</w:t>
            </w:r>
          </w:p>
        </w:tc>
      </w:tr>
      <w:tr w:rsidR="00D24B5F" w14:paraId="2620EA6E" w14:textId="77777777">
        <w:trPr>
          <w:jc w:val="center"/>
        </w:trPr>
        <w:tc>
          <w:tcPr>
            <w:tcW w:w="2160" w:type="dxa"/>
          </w:tcPr>
          <w:p w14:paraId="08DD9D35" w14:textId="77777777" w:rsidR="00D24B5F" w:rsidRDefault="00000000">
            <w:r>
              <w:rPr>
                <w:sz w:val="18"/>
              </w:rPr>
              <w:t>ExposureShare@K (E1)</w:t>
            </w:r>
          </w:p>
        </w:tc>
        <w:tc>
          <w:tcPr>
            <w:tcW w:w="2160" w:type="dxa"/>
          </w:tcPr>
          <w:p w14:paraId="38E49CCC" w14:textId="77777777" w:rsidR="00D24B5F" w:rsidRDefault="00000000">
            <w:r>
              <w:rPr>
                <w:sz w:val="18"/>
              </w:rPr>
              <w:t>≥ 0.85</w:t>
            </w:r>
          </w:p>
        </w:tc>
        <w:tc>
          <w:tcPr>
            <w:tcW w:w="2160" w:type="dxa"/>
          </w:tcPr>
          <w:p w14:paraId="35600DD6" w14:textId="77777777" w:rsidR="00D24B5F" w:rsidRDefault="00000000">
            <w:r>
              <w:rPr>
                <w:sz w:val="18"/>
              </w:rPr>
              <w:t>0.80–0.85</w:t>
            </w:r>
          </w:p>
        </w:tc>
        <w:tc>
          <w:tcPr>
            <w:tcW w:w="2160" w:type="dxa"/>
          </w:tcPr>
          <w:p w14:paraId="40FF8869" w14:textId="77777777" w:rsidR="00D24B5F" w:rsidRDefault="00000000">
            <w:r>
              <w:rPr>
                <w:sz w:val="18"/>
              </w:rPr>
              <w:t>&lt; 0.80</w:t>
            </w:r>
          </w:p>
        </w:tc>
      </w:tr>
      <w:tr w:rsidR="00D24B5F" w14:paraId="3171F0B9" w14:textId="77777777">
        <w:trPr>
          <w:jc w:val="center"/>
        </w:trPr>
        <w:tc>
          <w:tcPr>
            <w:tcW w:w="2160" w:type="dxa"/>
          </w:tcPr>
          <w:p w14:paraId="57CE3FF9" w14:textId="77777777" w:rsidR="00D24B5F" w:rsidRDefault="00000000">
            <w:r>
              <w:rPr>
                <w:sz w:val="18"/>
              </w:rPr>
              <w:t>MeanRankΔ (E2)</w:t>
            </w:r>
          </w:p>
        </w:tc>
        <w:tc>
          <w:tcPr>
            <w:tcW w:w="2160" w:type="dxa"/>
          </w:tcPr>
          <w:p w14:paraId="1E790E46" w14:textId="77777777" w:rsidR="00D24B5F" w:rsidRDefault="00000000">
            <w:r>
              <w:rPr>
                <w:sz w:val="18"/>
              </w:rPr>
              <w:t>&lt; 5 pos.</w:t>
            </w:r>
          </w:p>
        </w:tc>
        <w:tc>
          <w:tcPr>
            <w:tcW w:w="2160" w:type="dxa"/>
          </w:tcPr>
          <w:p w14:paraId="25254C9A" w14:textId="77777777" w:rsidR="00D24B5F" w:rsidRDefault="00000000">
            <w:r>
              <w:rPr>
                <w:sz w:val="18"/>
              </w:rPr>
              <w:t>5–10 pos.</w:t>
            </w:r>
          </w:p>
        </w:tc>
        <w:tc>
          <w:tcPr>
            <w:tcW w:w="2160" w:type="dxa"/>
          </w:tcPr>
          <w:p w14:paraId="22F87A20" w14:textId="77777777" w:rsidR="00D24B5F" w:rsidRDefault="00000000">
            <w:r>
              <w:rPr>
                <w:sz w:val="18"/>
              </w:rPr>
              <w:t>≥ 10 pos.</w:t>
            </w:r>
          </w:p>
        </w:tc>
      </w:tr>
      <w:tr w:rsidR="00D24B5F" w14:paraId="39D1365B" w14:textId="77777777">
        <w:trPr>
          <w:jc w:val="center"/>
        </w:trPr>
        <w:tc>
          <w:tcPr>
            <w:tcW w:w="2160" w:type="dxa"/>
          </w:tcPr>
          <w:p w14:paraId="7B2CAD8A" w14:textId="77777777" w:rsidR="00D24B5F" w:rsidRDefault="00000000">
            <w:r>
              <w:rPr>
                <w:sz w:val="18"/>
              </w:rPr>
              <w:t>Exposure Gini (E3)</w:t>
            </w:r>
          </w:p>
        </w:tc>
        <w:tc>
          <w:tcPr>
            <w:tcW w:w="2160" w:type="dxa"/>
          </w:tcPr>
          <w:p w14:paraId="7C0A7A25" w14:textId="77777777" w:rsidR="00D24B5F" w:rsidRDefault="00000000">
            <w:r>
              <w:rPr>
                <w:sz w:val="18"/>
              </w:rPr>
              <w:t>Contextual</w:t>
            </w:r>
          </w:p>
        </w:tc>
        <w:tc>
          <w:tcPr>
            <w:tcW w:w="2160" w:type="dxa"/>
          </w:tcPr>
          <w:p w14:paraId="38FCD6C0" w14:textId="77777777" w:rsidR="00D24B5F" w:rsidRDefault="00000000">
            <w:r>
              <w:rPr>
                <w:sz w:val="18"/>
              </w:rPr>
              <w:t>&gt; 0.60 + underexposed</w:t>
            </w:r>
          </w:p>
        </w:tc>
        <w:tc>
          <w:tcPr>
            <w:tcW w:w="2160" w:type="dxa"/>
          </w:tcPr>
          <w:p w14:paraId="56C76096" w14:textId="77777777" w:rsidR="00D24B5F" w:rsidRDefault="00000000">
            <w:r>
              <w:rPr>
                <w:sz w:val="18"/>
              </w:rPr>
              <w:t>N/A</w:t>
            </w:r>
          </w:p>
        </w:tc>
      </w:tr>
      <w:tr w:rsidR="00D24B5F" w14:paraId="5006E22B" w14:textId="77777777">
        <w:trPr>
          <w:jc w:val="center"/>
        </w:trPr>
        <w:tc>
          <w:tcPr>
            <w:tcW w:w="2160" w:type="dxa"/>
          </w:tcPr>
          <w:p w14:paraId="2A1F0F10" w14:textId="77777777" w:rsidR="00D24B5F" w:rsidRDefault="00000000">
            <w:r>
              <w:rPr>
                <w:sz w:val="18"/>
              </w:rPr>
              <w:t>CTR/CVR DI (O3)</w:t>
            </w:r>
          </w:p>
        </w:tc>
        <w:tc>
          <w:tcPr>
            <w:tcW w:w="2160" w:type="dxa"/>
          </w:tcPr>
          <w:p w14:paraId="04918FAA" w14:textId="77777777" w:rsidR="00D24B5F" w:rsidRDefault="00000000">
            <w:r>
              <w:rPr>
                <w:sz w:val="18"/>
              </w:rPr>
              <w:t>≥ 0.85</w:t>
            </w:r>
          </w:p>
        </w:tc>
        <w:tc>
          <w:tcPr>
            <w:tcW w:w="2160" w:type="dxa"/>
          </w:tcPr>
          <w:p w14:paraId="5F411EBC" w14:textId="4DE38E3C" w:rsidR="00D24B5F" w:rsidRDefault="00000000">
            <w:r>
              <w:rPr>
                <w:sz w:val="18"/>
              </w:rPr>
              <w:t>0.80-0.85</w:t>
            </w:r>
          </w:p>
        </w:tc>
        <w:tc>
          <w:tcPr>
            <w:tcW w:w="2160" w:type="dxa"/>
          </w:tcPr>
          <w:p w14:paraId="6044F20E" w14:textId="77777777" w:rsidR="00D24B5F" w:rsidRDefault="00000000">
            <w:r>
              <w:rPr>
                <w:sz w:val="18"/>
              </w:rPr>
              <w:t>&lt; 0.80</w:t>
            </w:r>
          </w:p>
        </w:tc>
      </w:tr>
      <w:tr w:rsidR="00D24B5F" w14:paraId="2000D3DE" w14:textId="77777777">
        <w:trPr>
          <w:jc w:val="center"/>
        </w:trPr>
        <w:tc>
          <w:tcPr>
            <w:tcW w:w="2160" w:type="dxa"/>
          </w:tcPr>
          <w:p w14:paraId="331F78B8" w14:textId="77777777" w:rsidR="00D24B5F" w:rsidRDefault="00000000">
            <w:r>
              <w:rPr>
                <w:sz w:val="18"/>
              </w:rPr>
              <w:t>ES@K Drift (S1)</w:t>
            </w:r>
          </w:p>
        </w:tc>
        <w:tc>
          <w:tcPr>
            <w:tcW w:w="2160" w:type="dxa"/>
          </w:tcPr>
          <w:p w14:paraId="5966F04D" w14:textId="77777777" w:rsidR="00D24B5F" w:rsidRDefault="00000000">
            <w:r>
              <w:rPr>
                <w:sz w:val="18"/>
              </w:rPr>
              <w:t>&lt; 10%</w:t>
            </w:r>
          </w:p>
        </w:tc>
        <w:tc>
          <w:tcPr>
            <w:tcW w:w="2160" w:type="dxa"/>
          </w:tcPr>
          <w:p w14:paraId="5D1DA26C" w14:textId="77777777" w:rsidR="00D24B5F" w:rsidRDefault="00000000">
            <w:r>
              <w:rPr>
                <w:sz w:val="18"/>
              </w:rPr>
              <w:t>≥ 10%</w:t>
            </w:r>
          </w:p>
        </w:tc>
        <w:tc>
          <w:tcPr>
            <w:tcW w:w="2160" w:type="dxa"/>
          </w:tcPr>
          <w:p w14:paraId="54ECEB04" w14:textId="77777777" w:rsidR="00D24B5F" w:rsidRDefault="00000000">
            <w:r>
              <w:rPr>
                <w:sz w:val="18"/>
              </w:rPr>
              <w:t>≥ 20% or &gt; 2 wks</w:t>
            </w:r>
          </w:p>
        </w:tc>
      </w:tr>
      <w:tr w:rsidR="00D24B5F" w14:paraId="02EE1559" w14:textId="77777777">
        <w:trPr>
          <w:jc w:val="center"/>
        </w:trPr>
        <w:tc>
          <w:tcPr>
            <w:tcW w:w="2160" w:type="dxa"/>
          </w:tcPr>
          <w:p w14:paraId="5ACCB633" w14:textId="77777777" w:rsidR="00D24B5F" w:rsidRDefault="00000000">
            <w:r>
              <w:rPr>
                <w:sz w:val="18"/>
              </w:rPr>
              <w:t>Model Regression (S2)</w:t>
            </w:r>
          </w:p>
        </w:tc>
        <w:tc>
          <w:tcPr>
            <w:tcW w:w="2160" w:type="dxa"/>
          </w:tcPr>
          <w:p w14:paraId="7A76B876" w14:textId="77777777" w:rsidR="00D24B5F" w:rsidRDefault="00000000">
            <w:r>
              <w:rPr>
                <w:sz w:val="18"/>
              </w:rPr>
              <w:t>No degradation</w:t>
            </w:r>
          </w:p>
        </w:tc>
        <w:tc>
          <w:tcPr>
            <w:tcW w:w="2160" w:type="dxa"/>
          </w:tcPr>
          <w:p w14:paraId="378F8353" w14:textId="77777777" w:rsidR="00D24B5F" w:rsidRDefault="00000000">
            <w:r>
              <w:rPr>
                <w:sz w:val="18"/>
              </w:rPr>
              <w:t>Any ≥ Monitor</w:t>
            </w:r>
          </w:p>
        </w:tc>
        <w:tc>
          <w:tcPr>
            <w:tcW w:w="2160" w:type="dxa"/>
          </w:tcPr>
          <w:p w14:paraId="17ADD5C1" w14:textId="77777777" w:rsidR="00D24B5F" w:rsidRDefault="00000000">
            <w:r>
              <w:rPr>
                <w:sz w:val="18"/>
              </w:rPr>
              <w:t>Any ≥ Review Req.</w:t>
            </w:r>
          </w:p>
        </w:tc>
      </w:tr>
      <w:tr w:rsidR="00D24B5F" w14:paraId="27F68DAC" w14:textId="77777777">
        <w:trPr>
          <w:jc w:val="center"/>
        </w:trPr>
        <w:tc>
          <w:tcPr>
            <w:tcW w:w="2160" w:type="dxa"/>
          </w:tcPr>
          <w:p w14:paraId="02B5AEB5" w14:textId="77777777" w:rsidR="00D24B5F" w:rsidRDefault="00000000">
            <w:r>
              <w:rPr>
                <w:sz w:val="18"/>
              </w:rPr>
              <w:t>Overall CTR (Q1)</w:t>
            </w:r>
          </w:p>
        </w:tc>
        <w:tc>
          <w:tcPr>
            <w:tcW w:w="2160" w:type="dxa"/>
          </w:tcPr>
          <w:p w14:paraId="0EFC1227" w14:textId="77777777" w:rsidR="00D24B5F" w:rsidRDefault="00000000">
            <w:r>
              <w:rPr>
                <w:sz w:val="18"/>
              </w:rPr>
              <w:t>≤ 2% decline</w:t>
            </w:r>
          </w:p>
        </w:tc>
        <w:tc>
          <w:tcPr>
            <w:tcW w:w="2160" w:type="dxa"/>
          </w:tcPr>
          <w:p w14:paraId="775115B6" w14:textId="77777777" w:rsidR="00D24B5F" w:rsidRDefault="00000000">
            <w:r>
              <w:rPr>
                <w:sz w:val="18"/>
              </w:rPr>
              <w:t>N/A</w:t>
            </w:r>
          </w:p>
        </w:tc>
        <w:tc>
          <w:tcPr>
            <w:tcW w:w="2160" w:type="dxa"/>
          </w:tcPr>
          <w:p w14:paraId="7CBADE7E" w14:textId="77777777" w:rsidR="00D24B5F" w:rsidRDefault="00000000">
            <w:r>
              <w:rPr>
                <w:sz w:val="18"/>
              </w:rPr>
              <w:t>&gt; 2% decline</w:t>
            </w:r>
          </w:p>
        </w:tc>
      </w:tr>
      <w:tr w:rsidR="00D24B5F" w14:paraId="535C23B5" w14:textId="77777777">
        <w:trPr>
          <w:jc w:val="center"/>
        </w:trPr>
        <w:tc>
          <w:tcPr>
            <w:tcW w:w="2160" w:type="dxa"/>
          </w:tcPr>
          <w:p w14:paraId="38A5C9BD" w14:textId="77777777" w:rsidR="00D24B5F" w:rsidRDefault="00000000">
            <w:r>
              <w:rPr>
                <w:sz w:val="18"/>
              </w:rPr>
              <w:t>Overall CVR (Q2)</w:t>
            </w:r>
          </w:p>
        </w:tc>
        <w:tc>
          <w:tcPr>
            <w:tcW w:w="2160" w:type="dxa"/>
          </w:tcPr>
          <w:p w14:paraId="4B3931B9" w14:textId="77777777" w:rsidR="00D24B5F" w:rsidRDefault="00000000">
            <w:r>
              <w:rPr>
                <w:sz w:val="18"/>
              </w:rPr>
              <w:t>≤ 2% decline</w:t>
            </w:r>
          </w:p>
        </w:tc>
        <w:tc>
          <w:tcPr>
            <w:tcW w:w="2160" w:type="dxa"/>
          </w:tcPr>
          <w:p w14:paraId="6C356CC8" w14:textId="77777777" w:rsidR="00D24B5F" w:rsidRDefault="00000000">
            <w:r>
              <w:rPr>
                <w:sz w:val="18"/>
              </w:rPr>
              <w:t>N/A</w:t>
            </w:r>
          </w:p>
        </w:tc>
        <w:tc>
          <w:tcPr>
            <w:tcW w:w="2160" w:type="dxa"/>
          </w:tcPr>
          <w:p w14:paraId="589B280B" w14:textId="77777777" w:rsidR="00D24B5F" w:rsidRDefault="00000000">
            <w:r>
              <w:rPr>
                <w:sz w:val="18"/>
              </w:rPr>
              <w:t>&gt; 2% decline</w:t>
            </w:r>
          </w:p>
        </w:tc>
      </w:tr>
      <w:tr w:rsidR="00D24B5F" w14:paraId="7D5D9750" w14:textId="77777777">
        <w:trPr>
          <w:jc w:val="center"/>
        </w:trPr>
        <w:tc>
          <w:tcPr>
            <w:tcW w:w="2160" w:type="dxa"/>
          </w:tcPr>
          <w:p w14:paraId="10D2BE4F" w14:textId="77777777" w:rsidR="00D24B5F" w:rsidRDefault="00000000">
            <w:r>
              <w:rPr>
                <w:sz w:val="18"/>
              </w:rPr>
              <w:t>NDCG@K (Q3)</w:t>
            </w:r>
          </w:p>
        </w:tc>
        <w:tc>
          <w:tcPr>
            <w:tcW w:w="2160" w:type="dxa"/>
          </w:tcPr>
          <w:p w14:paraId="7FDB9138" w14:textId="77777777" w:rsidR="00D24B5F" w:rsidRDefault="00000000">
            <w:r>
              <w:rPr>
                <w:sz w:val="18"/>
              </w:rPr>
              <w:t>≤ 5% decline</w:t>
            </w:r>
          </w:p>
        </w:tc>
        <w:tc>
          <w:tcPr>
            <w:tcW w:w="2160" w:type="dxa"/>
          </w:tcPr>
          <w:p w14:paraId="255F1E36" w14:textId="77777777" w:rsidR="00D24B5F" w:rsidRDefault="00000000">
            <w:r>
              <w:rPr>
                <w:sz w:val="18"/>
              </w:rPr>
              <w:t>N/A</w:t>
            </w:r>
          </w:p>
        </w:tc>
        <w:tc>
          <w:tcPr>
            <w:tcW w:w="2160" w:type="dxa"/>
          </w:tcPr>
          <w:p w14:paraId="4D16C3AD" w14:textId="77777777" w:rsidR="00D24B5F" w:rsidRDefault="00000000">
            <w:r>
              <w:rPr>
                <w:sz w:val="18"/>
              </w:rPr>
              <w:t>&gt; 5% decline</w:t>
            </w:r>
          </w:p>
        </w:tc>
      </w:tr>
    </w:tbl>
    <w:p w14:paraId="0A82E59B" w14:textId="77777777" w:rsidR="00D24B5F" w:rsidRDefault="00D24B5F"/>
    <w:p w14:paraId="5AAF236E" w14:textId="77777777" w:rsidR="00D24B5F" w:rsidRDefault="00000000">
      <w:r>
        <w:t>These thresholds are operational governance triggers used for audit triage and do not constitute legal conclusions.</w:t>
      </w:r>
    </w:p>
    <w:p w14:paraId="5AAF2370" w14:textId="77777777" w:rsidR="00D24B5F" w:rsidRDefault="00000000">
      <w:r>
        <w:t>The 0.85/0.80 Pass/Monitor/Review bands applied to ExposureShare@K (E1) and the CTR/CVR Disparate Impact ratio (O3) are adapted from the U.S. Equal Employment Opportunity Commission's "four-fifths rule" [3], which was originally derived for employment-selection adverse-impact determinations, not ranking exposure. MRFS adopts these bands by analogy as a provisional starting point pending marketplace-specific empirical calibration — they are not validated cutoffs for ranking contexts. Treat them as a reasonable, citable starting position, not fixed constants; see References (Section 8) for full citations.</w:t>
      </w:r>
    </w:p>
    <w:p w14:paraId="0BEF0001" w14:textId="77777777" w:rsidR="00D24B5F" w:rsidRDefault="00000000">
      <w:r>
        <w:t xml:space="preserve">A fourth status, Insufficient Data, applies whenever a metric’s 95% confidence interval straddles a threshold line above (e.g. part of the interval falls above 0.85 and part below) -- meaning the audit does not have enough data at its current sample size to confidently distinguish between the two adjacent statuses. This is the correct, honest result at small sample sizes, and should not be forced into Pass, Monitor, or Review Required.</w:t>
      </w:r>
    </w:p>
    <w:p w14:paraId="0BEF0EAD" w14:textId="77777777" w:rsidR="00D24B5F" w:rsidRDefault="00000000">
      <w:pPr>
        <w:pStyle w:val="Heading2"/>
      </w:pPr>
      <w:r>
        <w:rPr>
          <w:rFonts w:ascii="Times New Roman" w:hAnsi="Times New Roman"/>
          <w:color w:val="000000"/>
        </w:rPr>
        <w:t>7. Notes</w:t>
      </w:r>
    </w:p>
    <w:p w14:paraId="6D12C2E9" w14:textId="77777777" w:rsidR="00D24B5F" w:rsidRDefault="00000000">
      <w:pPr>
        <w:pStyle w:val="ListBullet"/>
      </w:pPr>
      <w:r>
        <w:t>All metrics computed at cohort level (Small/Large by listing volume quartile). Optional category stratification supported.</w:t>
      </w:r>
    </w:p>
    <w:p w14:paraId="03CC4A1A" w14:textId="77777777" w:rsidR="00D24B5F" w:rsidRDefault="00000000">
      <w:pPr>
        <w:pStyle w:val="ListBullet"/>
      </w:pPr>
      <w:r>
        <w:t>Default K = 10 (primary); K = 20 (robustness). Confidence intervals (95%) recommended for E1 and E2.</w:t>
      </w:r>
    </w:p>
    <w:p w14:paraId="4F4378AC" w14:textId="77777777" w:rsidR="00D24B5F" w:rsidRDefault="00000000">
      <w:pPr>
        <w:pStyle w:val="ListBullet"/>
      </w:pPr>
      <w:r>
        <w:t>When outcome data is unavailable, audit proceeds on exposure (E1–E3) and stability (S1–S2) metrics alone.</w:t>
      </w:r>
    </w:p>
    <w:p w14:paraId="6A794549" w14:textId="77777777" w:rsidR="00D24B5F" w:rsidRDefault="00000000">
      <w:pPr>
        <w:pStyle w:val="ListBullet"/>
      </w:pPr>
      <w:r>
        <w:t>Quality guardrails (Q1–Q3) apply only when fairness interventions are proposed or deployed.</w:t>
      </w:r>
    </w:p>
    <w:p w14:paraId="18199C21" w14:textId="54281184" w:rsidR="00D24B5F" w:rsidRDefault="00D24B5F"/>
    <w:p w14:paraId="18199C22" w14:textId="77777777" w:rsidR="00D24B5F" w:rsidRDefault="00000000">
      <w:pPr>
        <w:pStyle w:val="Heading2"/>
      </w:pPr>
      <w:r>
        <w:rPr>
          <w:rFonts w:ascii="Times New Roman" w:hAnsi="Times New Roman"/>
          <w:color w:val="000000"/>
        </w:rPr>
        <w:t>8. References</w:t>
      </w:r>
    </w:p>
    <w:p w14:paraId="18199C23" w14:textId="77777777" w:rsidR="00D24B5F" w:rsidRDefault="00000000">
      <w:r>
        <w:t>[1] Singh, A., &amp; Joachims, T. (2018). Fairness of Exposure in Rankings. Proceedings of the 24th ACM SIGKDD International Conference on Knowledge Discovery &amp; Data Mining (KDD '18), 2219–2228. https://doi.org/10.1145/3219819.3220088</w:t>
      </w:r>
    </w:p>
    <w:p w14:paraId="18199C24" w14:textId="77777777" w:rsidR="00D24B5F" w:rsidRDefault="00000000">
      <w:r>
        <w:t>[2] Biega, A. J., Diaz, F., Ekstrand, M. D., &amp; Kohlmeier, S. (2023). Overview of the TREC 2021 Fair Ranking Track. arXiv:2302.10856. https://arxiv.org/abs/2302.10856</w:t>
      </w:r>
    </w:p>
    <w:p w14:paraId="18199C25" w14:textId="77777777" w:rsidR="00D24B5F" w:rsidRDefault="00000000">
      <w:r>
        <w:t>[3] Equal Employment Opportunity Commission, Civil Service Commission, Department of Labor, &amp; Department of Justice. (1978). Uniform Guidelines on Employee Selection Procedures, 29 C.F.R. § 1607 (1978), specifically § 1607.4(D). https://www.ecfr.gov/current/title-29/subtitle-B/chapter-XIV/part-1607</w:t>
      </w:r>
    </w:p>
    <w:sectPr w:rsidR="00D24B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664026">
    <w:abstractNumId w:val="8"/>
  </w:num>
  <w:num w:numId="2" w16cid:durableId="304630497">
    <w:abstractNumId w:val="6"/>
  </w:num>
  <w:num w:numId="3" w16cid:durableId="1733850489">
    <w:abstractNumId w:val="5"/>
  </w:num>
  <w:num w:numId="4" w16cid:durableId="1502965076">
    <w:abstractNumId w:val="4"/>
  </w:num>
  <w:num w:numId="5" w16cid:durableId="1605769727">
    <w:abstractNumId w:val="7"/>
  </w:num>
  <w:num w:numId="6" w16cid:durableId="318995277">
    <w:abstractNumId w:val="3"/>
  </w:num>
  <w:num w:numId="7" w16cid:durableId="1541550089">
    <w:abstractNumId w:val="2"/>
  </w:num>
  <w:num w:numId="8" w16cid:durableId="62877788">
    <w:abstractNumId w:val="1"/>
  </w:num>
  <w:num w:numId="9" w16cid:durableId="183174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A40"/>
    <w:rsid w:val="009E4CCC"/>
    <w:rsid w:val="00A31ABC"/>
    <w:rsid w:val="00AA1D8D"/>
    <w:rsid w:val="00B47730"/>
    <w:rsid w:val="00BD426F"/>
    <w:rsid w:val="00CB0664"/>
    <w:rsid w:val="00CD3566"/>
    <w:rsid w:val="00D24B5F"/>
    <w:rsid w:val="00DF6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1D313"/>
  <w14:defaultImageDpi w14:val="300"/>
  <w15:docId w15:val="{C5094DF4-F596-4C4D-B1BD-BE2CE15F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773</Words>
  <Characters>4267</Characters>
  <Application>Microsoft Office Word</Application>
  <DocSecurity>0</DocSecurity>
  <Lines>266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Ieshika Chandra</cp:lastModifiedBy>
  <cp:revision>5</cp:revision>
  <dcterms:created xsi:type="dcterms:W3CDTF">2013-12-23T23:15:00Z</dcterms:created>
  <dcterms:modified xsi:type="dcterms:W3CDTF">2026-04-09T04:23:00Z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2026-03-03T00:12:49Z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db6d88f1-1e76-4fbc-ad7a-1118cbd78224</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