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937"/>
          <w:sz w:val="56"/>
          <w:szCs w:val="56"/>
        </w:rPr>
        <w:t xml:space="preserve">MRFS</w:t>
      </w:r>
    </w:p>
    <w:p>
      <w:pPr>
        <w:spacing w:after="40"/>
        <w:jc w:val="center"/>
      </w:pPr>
      <w:r>
        <w:rPr>
          <w:b/>
          <w:bCs/>
          <w:sz w:val="30"/>
          <w:szCs w:val="30"/>
        </w:rPr>
        <w:t xml:space="preserve">Marketplace Ranking Fairness Standard</w:t>
      </w:r>
    </w:p>
    <w:p>
      <w:pPr>
        <w:spacing w:after="360"/>
        <w:jc w:val="center"/>
      </w:pPr>
      <w:r>
        <w:rPr>
          <w:i/>
          <w:iCs/>
          <w:color w:val="555555"/>
          <w:sz w:val="22"/>
          <w:szCs w:val="22"/>
        </w:rPr>
        <w:t xml:space="preserve">Version 1.0 — Volume 1: Standard Overview</w:t>
      </w:r>
    </w:p>
    <w:p>
      <w:pPr>
        <w:spacing w:after="500"/>
        <w:jc w:val="center"/>
      </w:pPr>
      <w:r>
        <w:rPr>
          <w:color w:val="555555"/>
          <w:sz w:val="20"/>
          <w:szCs w:val="20"/>
        </w:rPr>
        <w:t xml:space="preserve">Author: Ieshika Chandra</w:t>
      </w:r>
    </w:p>
    <w:p>
      <w:pPr>
        <w:pStyle w:val="Heading1"/>
        <w:spacing w:after="160" w:before="280"/>
      </w:pPr>
      <w:r>
        <w:t xml:space="preserve">1. Purpose</w:t>
      </w:r>
    </w:p>
    <w:p>
      <w:pPr>
        <w:spacing w:after="200"/>
      </w:pPr>
      <w:r>
        <w:t xml:space="preserve">MRFS is a standard for auditing, governing, and enabling independent oversight of fairness in marketplace ranking and recommendation systems. It defines what to measure, how to measure it repeatably, how findings should be governed and acted on, and what platforms must log to make independent audit possible.</w:t>
      </w:r>
    </w:p>
    <w:p>
      <w:pPr>
        <w:pStyle w:val="Heading1"/>
        <w:spacing w:after="160" w:before="280"/>
      </w:pPr>
      <w:r>
        <w:t xml:space="preserve">2. The Gap MRFS Addresses</w:t>
      </w:r>
    </w:p>
    <w:p>
      <w:pPr>
        <w:spacing w:after="200"/>
      </w:pPr>
      <w:r>
        <w:t xml:space="preserve">Academic research has established methods for measuring exposure fairness in ranked retrieval — most notably the NIST TREC Fair Ranking Track and the Attention-Weighted Rank Fairness (AWRF) metric, which quantify whether visibility across ranked results matches a fair target distribution. Separately, NIST's AI Risk Management Framework (AI RMF) provides general-purpose governance guidance for AI systems across the Govern, Map, Measure, and Manage functions.</w:t>
      </w:r>
    </w:p>
    <w:p>
      <w:pPr>
        <w:spacing w:after="200"/>
      </w:pPr>
      <w:r>
        <w:t xml:space="preserve">Neither has been translated into an operational standard for commercial marketplace ranking: a deployable audit protocol, a cohort-based metric catalog suited to seller-visibility contexts, a platform-neutral logging specification enabling third-party audit without proprietary access, and governance gates that convert audit findings into concrete organizational action.</w:t>
      </w:r>
    </w:p>
    <w:p>
      <w:pPr>
        <w:spacing w:after="200"/>
      </w:pPr>
      <w:r>
        <w:rPr>
          <w:b/>
          <w:bCs/>
        </w:rPr>
        <w:t xml:space="preserve">MRFS closes that gap. It operationalizes exposure-fairness research and NIST AI RMF governance principles into a repeatable, deployable standard purpose-built for marketplace ranking systems.</w:t>
      </w:r>
    </w:p>
    <w:p>
      <w:pPr>
        <w:spacing w:after="200"/>
      </w:pPr>
      <w:r>
        <w:t xml:space="preserve">Existing AI fairness toolkits — including AI Fairness 360, Fairlearn, and Aequitas — are built for classification problems (loan approvals, hiring decisions, binary predictions). They do not address ranking systems, seller cohorts, or exposure allocation, which are the core constructs of marketplace ranking fairness.</w:t>
      </w:r>
    </w:p>
    <w:p>
      <w:pPr>
        <w:pStyle w:val="Heading1"/>
        <w:spacing w:after="160" w:before="280"/>
      </w:pPr>
      <w:r>
        <w:t xml:space="preserve">3. Scope (v1.0)</w:t>
      </w:r>
    </w:p>
    <w:p>
      <w:pPr>
        <w:spacing w:after="200"/>
      </w:pPr>
      <w:r>
        <w:t xml:space="preserve">In scope: Ranking and recommendation systems that determine seller and item visibility in marketplace search results. Cohort definitions include Small vs. Large sellers (listing volume quartiles) and New vs. Established sellers (tenure-based).</w:t>
      </w:r>
    </w:p>
    <w:p>
      <w:pPr>
        <w:spacing w:after="200"/>
      </w:pPr>
      <w:r>
        <w:t xml:space="preserve">Out of scope (deferred to future versions): Advertising or sponsored placements, pricing algorithms, and additional cohort dimensions such as geography.</w:t>
      </w:r>
    </w:p>
    <w:p>
      <w:pPr>
        <w:pStyle w:val="Heading1"/>
        <w:spacing w:after="160" w:before="280"/>
      </w:pPr>
      <w:r>
        <w:t xml:space="preserve">4. Architecture</w:t>
      </w:r>
    </w:p>
    <w:p>
      <w:pPr>
        <w:spacing w:after="200"/>
      </w:pPr>
      <w:r>
        <w:t xml:space="preserve">MRFS v1.0 comprises three functional components, documented across six volumes:</w:t>
      </w:r>
    </w:p>
    <w:p>
      <w:pPr>
        <w:pStyle w:val="ListParagraph"/>
        <w:numPr>
          <w:ilvl w:val="0"/>
          <w:numId w:val="1"/>
        </w:numPr>
        <w:spacing w:after="100"/>
      </w:pPr>
      <w:r>
        <w:t xml:space="preserve">Audit System (Volumes 2–3) — the Evaluation Metric Catalog and Audit Protocol, defining what to measure and how to measure it repeatably.</w:t>
      </w:r>
    </w:p>
    <w:p>
      <w:pPr>
        <w:pStyle w:val="ListParagraph"/>
        <w:numPr>
          <w:ilvl w:val="0"/>
          <w:numId w:val="1"/>
        </w:numPr>
        <w:spacing w:after="100"/>
      </w:pPr>
      <w:r>
        <w:t xml:space="preserve">Governance Layer (Volume 4) — the Governance Charter and Release Gate Policy, defining how audit findings translate into organizational action, aligned to NIST AI RMF.</w:t>
      </w:r>
    </w:p>
    <w:p>
      <w:pPr>
        <w:pStyle w:val="ListParagraph"/>
        <w:numPr>
          <w:ilvl w:val="0"/>
          <w:numId w:val="1"/>
        </w:numPr>
        <w:spacing w:after="100"/>
      </w:pPr>
      <w:r>
        <w:t xml:space="preserve">Data Layer (Volume 5) — the Marketplace Logging and Data Specification, defining what must be captured to make independent, third-party auditing possible.</w:t>
      </w:r>
    </w:p>
    <w:p>
      <w:pPr>
        <w:spacing w:after="200"/>
      </w:pPr>
      <w:r>
        <w:t xml:space="preserve">Volume 6 provides a reference demonstration of the full pipeline executed end-to-end on a synthetic dataset.</w:t>
      </w:r>
    </w:p>
    <w:p>
      <w:pPr>
        <w:pStyle w:val="Heading1"/>
        <w:spacing w:after="160" w:before="280"/>
      </w:pPr>
      <w:r>
        <w:t xml:space="preserve">5. Document Index</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40"/>
      </w:tblGrid>
      <w:tr>
        <w:trPr>
          <w:tblHeader/>
        </w:trPr>
        <w:tc>
          <w:tcPr>
            <w:tcW w:type="dxa" w:w="900"/>
            <w:shd w:fill="1F2937" w:val="clear"/>
          </w:tcPr>
          <w:p>
            <w:r>
              <w:rPr>
                <w:b/>
                <w:bCs/>
                <w:color w:val="FFFFFF"/>
                <w:sz w:val="20"/>
                <w:szCs w:val="20"/>
              </w:rPr>
              <w:t xml:space="preserve">Volume</w:t>
            </w:r>
          </w:p>
        </w:tc>
        <w:tc>
          <w:tcPr>
            <w:tcW w:type="dxa" w:w="3200"/>
            <w:shd w:fill="1F2937" w:val="clear"/>
          </w:tcPr>
          <w:p>
            <w:r>
              <w:rPr>
                <w:b/>
                <w:bCs/>
                <w:color w:val="FFFFFF"/>
                <w:sz w:val="20"/>
                <w:szCs w:val="20"/>
              </w:rPr>
              <w:t xml:space="preserve">Title</w:t>
            </w:r>
          </w:p>
        </w:tc>
        <w:tc>
          <w:tcPr>
            <w:tcW w:type="dxa" w:w="5140"/>
            <w:shd w:fill="1F2937" w:val="clear"/>
          </w:tcPr>
          <w:p>
            <w:r>
              <w:rPr>
                <w:b/>
                <w:bCs/>
                <w:color w:val="FFFFFF"/>
                <w:sz w:val="20"/>
                <w:szCs w:val="20"/>
              </w:rPr>
              <w:t xml:space="preserve">Contents</w:t>
            </w:r>
          </w:p>
        </w:tc>
      </w:tr>
      <w:tr>
        <w:tc>
          <w:tcPr>
            <w:tcW w:type="dxa" w:w="900"/>
          </w:tcPr>
          <w:p>
            <w:r>
              <w:rPr>
                <w:sz w:val="20"/>
                <w:szCs w:val="20"/>
              </w:rPr>
              <w:t xml:space="preserve">1</w:t>
            </w:r>
          </w:p>
        </w:tc>
        <w:tc>
          <w:tcPr>
            <w:tcW w:type="dxa" w:w="3200"/>
          </w:tcPr>
          <w:p>
            <w:r>
              <w:rPr>
                <w:sz w:val="20"/>
                <w:szCs w:val="20"/>
              </w:rPr>
              <w:t xml:space="preserve">Standard Overview</w:t>
            </w:r>
          </w:p>
        </w:tc>
        <w:tc>
          <w:tcPr>
            <w:tcW w:type="dxa" w:w="5140"/>
          </w:tcPr>
          <w:p>
            <w:r>
              <w:rPr>
                <w:sz w:val="20"/>
                <w:szCs w:val="20"/>
              </w:rPr>
              <w:t xml:space="preserve">Purpose, scope, architecture, terminology (this document)</w:t>
            </w:r>
          </w:p>
        </w:tc>
      </w:tr>
      <w:tr>
        <w:tc>
          <w:tcPr>
            <w:tcW w:type="dxa" w:w="900"/>
          </w:tcPr>
          <w:p>
            <w:r>
              <w:rPr>
                <w:sz w:val="20"/>
                <w:szCs w:val="20"/>
              </w:rPr>
              <w:t xml:space="preserve">2</w:t>
            </w:r>
          </w:p>
        </w:tc>
        <w:tc>
          <w:tcPr>
            <w:tcW w:type="dxa" w:w="3200"/>
          </w:tcPr>
          <w:p>
            <w:r>
              <w:rPr>
                <w:sz w:val="20"/>
                <w:szCs w:val="20"/>
              </w:rPr>
              <w:t xml:space="preserve">Evaluation Metric Catalog</w:t>
            </w:r>
          </w:p>
        </w:tc>
        <w:tc>
          <w:tcPr>
            <w:tcW w:type="dxa" w:w="5140"/>
          </w:tcPr>
          <w:p>
            <w:r>
              <w:rPr>
                <w:sz w:val="20"/>
                <w:szCs w:val="20"/>
              </w:rPr>
              <w:t xml:space="preserve">11 fairness metrics across Exposure, Outcome, Stability, and Quality categories, with formulas and thresholds</w:t>
            </w:r>
          </w:p>
        </w:tc>
      </w:tr>
      <w:tr>
        <w:tc>
          <w:tcPr>
            <w:tcW w:type="dxa" w:w="900"/>
          </w:tcPr>
          <w:p>
            <w:r>
              <w:rPr>
                <w:sz w:val="20"/>
                <w:szCs w:val="20"/>
              </w:rPr>
              <w:t xml:space="preserve">3</w:t>
            </w:r>
          </w:p>
        </w:tc>
        <w:tc>
          <w:tcPr>
            <w:tcW w:type="dxa" w:w="3200"/>
          </w:tcPr>
          <w:p>
            <w:r>
              <w:rPr>
                <w:sz w:val="20"/>
                <w:szCs w:val="20"/>
              </w:rPr>
              <w:t xml:space="preserve">Audit Protocol</w:t>
            </w:r>
          </w:p>
        </w:tc>
        <w:tc>
          <w:tcPr>
            <w:tcW w:type="dxa" w:w="5140"/>
          </w:tcPr>
          <w:p>
            <w:r>
              <w:rPr>
                <w:sz w:val="20"/>
                <w:szCs w:val="20"/>
              </w:rPr>
              <w:t xml:space="preserve">Repeatable, platform-agnostic methodology for executing a ranking fairness audit</w:t>
            </w:r>
          </w:p>
        </w:tc>
      </w:tr>
      <w:tr>
        <w:tc>
          <w:tcPr>
            <w:tcW w:type="dxa" w:w="900"/>
          </w:tcPr>
          <w:p>
            <w:r>
              <w:rPr>
                <w:sz w:val="20"/>
                <w:szCs w:val="20"/>
              </w:rPr>
              <w:t xml:space="preserve">4</w:t>
            </w:r>
          </w:p>
        </w:tc>
        <w:tc>
          <w:tcPr>
            <w:tcW w:type="dxa" w:w="3200"/>
          </w:tcPr>
          <w:p>
            <w:r>
              <w:rPr>
                <w:sz w:val="20"/>
                <w:szCs w:val="20"/>
              </w:rPr>
              <w:t xml:space="preserve">Governance Charter &amp; Release Gate Policy</w:t>
            </w:r>
          </w:p>
        </w:tc>
        <w:tc>
          <w:tcPr>
            <w:tcW w:type="dxa" w:w="5140"/>
          </w:tcPr>
          <w:p>
            <w:r>
              <w:rPr>
                <w:sz w:val="20"/>
                <w:szCs w:val="20"/>
              </w:rPr>
              <w:t xml:space="preserve">Roles, review cadence, deployment gates, and mitigation playbook, aligned to NIST AI RMF</w:t>
            </w:r>
          </w:p>
        </w:tc>
      </w:tr>
      <w:tr>
        <w:tc>
          <w:tcPr>
            <w:tcW w:type="dxa" w:w="900"/>
          </w:tcPr>
          <w:p>
            <w:r>
              <w:rPr>
                <w:sz w:val="20"/>
                <w:szCs w:val="20"/>
              </w:rPr>
              <w:t xml:space="preserve">5</w:t>
            </w:r>
          </w:p>
        </w:tc>
        <w:tc>
          <w:tcPr>
            <w:tcW w:type="dxa" w:w="3200"/>
          </w:tcPr>
          <w:p>
            <w:r>
              <w:rPr>
                <w:sz w:val="20"/>
                <w:szCs w:val="20"/>
              </w:rPr>
              <w:t xml:space="preserve">Marketplace Logging &amp; Data Specification</w:t>
            </w:r>
          </w:p>
        </w:tc>
        <w:tc>
          <w:tcPr>
            <w:tcW w:type="dxa" w:w="5140"/>
          </w:tcPr>
          <w:p>
            <w:r>
              <w:rPr>
                <w:sz w:val="20"/>
                <w:szCs w:val="20"/>
              </w:rPr>
              <w:t xml:space="preserve">Platform-neutral logging schemas enabling third-party auditing without proprietary access</w:t>
            </w:r>
          </w:p>
        </w:tc>
      </w:tr>
      <w:tr>
        <w:tc>
          <w:tcPr>
            <w:tcW w:type="dxa" w:w="900"/>
          </w:tcPr>
          <w:p>
            <w:r>
              <w:rPr>
                <w:sz w:val="20"/>
                <w:szCs w:val="20"/>
              </w:rPr>
              <w:t xml:space="preserve">6</w:t>
            </w:r>
          </w:p>
        </w:tc>
        <w:tc>
          <w:tcPr>
            <w:tcW w:type="dxa" w:w="3200"/>
          </w:tcPr>
          <w:p>
            <w:r>
              <w:rPr>
                <w:sz w:val="20"/>
                <w:szCs w:val="20"/>
              </w:rPr>
              <w:t xml:space="preserve">Sample Audit Report</w:t>
            </w:r>
          </w:p>
        </w:tc>
        <w:tc>
          <w:tcPr>
            <w:tcW w:type="dxa" w:w="5140"/>
          </w:tcPr>
          <w:p>
            <w:r>
              <w:rPr>
                <w:sz w:val="20"/>
                <w:szCs w:val="20"/>
              </w:rPr>
              <w:t xml:space="preserve">End-to-end reference demonstration of the protocol executed on a synthetic dataset</w:t>
            </w:r>
          </w:p>
        </w:tc>
      </w:tr>
    </w:tbl>
    <w:p>
      <w:pPr>
        <w:pStyle w:val="Heading1"/>
        <w:spacing w:after="160" w:before="280"/>
      </w:pPr>
      <w:r>
        <w:t xml:space="preserve">6. Design Principles</w:t>
      </w:r>
    </w:p>
    <w:p>
      <w:pPr>
        <w:pStyle w:val="ListParagraph"/>
        <w:numPr>
          <w:ilvl w:val="0"/>
          <w:numId w:val="1"/>
        </w:numPr>
        <w:spacing w:after="100"/>
      </w:pPr>
      <w:r>
        <w:t xml:space="preserve">Platform-agnostic — works across marketplaces without proprietary dependencies.</w:t>
      </w:r>
    </w:p>
    <w:p>
      <w:pPr>
        <w:pStyle w:val="ListParagraph"/>
        <w:numPr>
          <w:ilvl w:val="0"/>
          <w:numId w:val="1"/>
        </w:numPr>
        <w:spacing w:after="100"/>
      </w:pPr>
      <w:r>
        <w:t xml:space="preserve">Auditability — all inputs, assumptions, thresholds, and version changes are documented and traceable.</w:t>
      </w:r>
    </w:p>
    <w:p>
      <w:pPr>
        <w:pStyle w:val="ListParagraph"/>
        <w:numPr>
          <w:ilvl w:val="0"/>
          <w:numId w:val="1"/>
        </w:numPr>
        <w:spacing w:after="100"/>
      </w:pPr>
      <w:r>
        <w:t xml:space="preserve">Dual applicability — usable for internal operator self-assessment and independent third-party or regulatory audit under the same methodology.</w:t>
      </w:r>
    </w:p>
    <w:p>
      <w:pPr>
        <w:pStyle w:val="ListParagraph"/>
        <w:numPr>
          <w:ilvl w:val="0"/>
          <w:numId w:val="1"/>
        </w:numPr>
        <w:spacing w:after="100"/>
      </w:pPr>
      <w:r>
        <w:t xml:space="preserve">Conservatism — governance thresholds trigger review and triage; they are operational signals, not legal conclusions.</w:t>
      </w:r>
    </w:p>
    <w:p>
      <w:pPr>
        <w:pStyle w:val="Heading1"/>
        <w:spacing w:after="160" w:before="280"/>
      </w:pPr>
      <w:r>
        <w:t xml:space="preserve">7. Status and Versioning</w:t>
      </w:r>
    </w:p>
    <w:p>
      <w:pPr>
        <w:spacing w:after="200"/>
      </w:pPr>
      <w:r>
        <w:t xml:space="preserve">MRFS v1.0 has completed methodology validation on synthetic data (Volume 6). Live marketplace pilot validation is in progress. Version history and change logs are maintained in the MRFS repository.</w:t>
      </w:r>
    </w:p>
    <w:p>
      <w:pPr>
        <w:pStyle w:val="Heading1"/>
        <w:spacing w:after="160" w:before="280"/>
      </w:pPr>
      <w:r>
        <w:t xml:space="preserve">8. Relationship to This Document Set</w:t>
      </w:r>
    </w:p>
    <w:p>
      <w:pPr>
        <w:spacing w:after="200"/>
      </w:pPr>
      <w:r>
        <w:t xml:space="preserve">Volumes 2 through 6 were originally developed as independent technical artifacts. This overview (Volume 1) and the consistent MRFS naming across all volumes were introduced to present them as a single, cohesive standard rather than a set of separate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2026-07-16T22:18:20.829Z</dcterms:created>
  <dcterms:modified xsi:type="dcterms:W3CDTF">2026-07-16T22:18:20.842Z</dcterms:modified>
</cp:coreProperties>
</file>

<file path=docProps/custom.xml><?xml version="1.0" encoding="utf-8"?>
<Properties xmlns="http://schemas.openxmlformats.org/officeDocument/2006/custom-properties" xmlns:vt="http://schemas.openxmlformats.org/officeDocument/2006/docPropsVTypes"/>
</file>