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75E2F" w14:textId="2CFCEE66" w:rsidR="00D24B5F" w:rsidRDefault="00000000">
      <w:pPr>
        <w:jc w:val="center"/>
      </w:pPr>
      <w:r>
        <w:rPr>
          <w:b/>
          <w:color w:val="000000"/>
          <w:sz w:val="28"/>
        </w:rPr>
        <w:t>MRFS v1.0 — Volume 2: Evaluation Metric Catalog</w:t>
        <w:br/>
        <w:t xml:space="preserve">Marketplace Ranking Fairness </w:t>
      </w:r>
    </w:p>
    <w:p w14:paraId="24E54584" w14:textId="77777777" w:rsidR="00D24B5F" w:rsidRDefault="00D24B5F"/>
    <w:p w14:paraId="0AA89041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1. Purpose</w:t>
      </w:r>
    </w:p>
    <w:p w14:paraId="7FB2C309" w14:textId="77777777" w:rsidR="00D24B5F" w:rsidRDefault="00000000">
      <w:r>
        <w:t>This catalog defines the complete set of metrics used by the Audit Protocol v1 and Sample Audit Report. It serves as a standalone reference for platform operators, auditors, and governance reviewers. Metrics are organized into four categories: Exposure, Outcome, Stability, and Quality Guardrails.</w:t>
      </w:r>
    </w:p>
    <w:p w14:paraId="07F11DAB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2. Exposure Metrics</w:t>
      </w:r>
    </w:p>
    <w:p w14:paraId="480BE417" w14:textId="77777777" w:rsidR="00D24B5F" w:rsidRDefault="00000000">
      <w:r>
        <w:t>Exposure metrics measure how the ranking system distributes visibility across seller cohorts.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4B5F" w14:paraId="5747AD4B" w14:textId="77777777">
        <w:trPr>
          <w:jc w:val="center"/>
        </w:trPr>
        <w:tc>
          <w:tcPr>
            <w:tcW w:w="2160" w:type="dxa"/>
          </w:tcPr>
          <w:p w14:paraId="0B3A1E53" w14:textId="77777777" w:rsidR="00D24B5F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14:paraId="4FAA1312" w14:textId="77777777" w:rsidR="00D24B5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2160" w:type="dxa"/>
          </w:tcPr>
          <w:p w14:paraId="4AAA66DD" w14:textId="77777777" w:rsidR="00D24B5F" w:rsidRDefault="00000000">
            <w:r>
              <w:rPr>
                <w:b/>
                <w:sz w:val="18"/>
              </w:rPr>
              <w:t>Definition &amp; Formula</w:t>
            </w:r>
          </w:p>
        </w:tc>
        <w:tc>
          <w:tcPr>
            <w:tcW w:w="2160" w:type="dxa"/>
          </w:tcPr>
          <w:p w14:paraId="06391783" w14:textId="77777777" w:rsidR="00D24B5F" w:rsidRDefault="00000000">
            <w:r>
              <w:rPr>
                <w:b/>
                <w:sz w:val="18"/>
              </w:rPr>
              <w:t>Thresholds</w:t>
            </w:r>
          </w:p>
        </w:tc>
      </w:tr>
      <w:tr w:rsidR="00D24B5F" w14:paraId="55CCC534" w14:textId="77777777">
        <w:trPr>
          <w:jc w:val="center"/>
        </w:trPr>
        <w:tc>
          <w:tcPr>
            <w:tcW w:w="2160" w:type="dxa"/>
          </w:tcPr>
          <w:p w14:paraId="73CFF2A1" w14:textId="77777777" w:rsidR="00D24B5F" w:rsidRDefault="00000000">
            <w:r>
              <w:rPr>
                <w:sz w:val="18"/>
              </w:rPr>
              <w:t>E1</w:t>
            </w:r>
          </w:p>
        </w:tc>
        <w:tc>
          <w:tcPr>
            <w:tcW w:w="2160" w:type="dxa"/>
          </w:tcPr>
          <w:p w14:paraId="0B9C0945" w14:textId="77777777" w:rsidR="00D24B5F" w:rsidRDefault="00000000">
            <w:r>
              <w:rPr>
                <w:sz w:val="18"/>
              </w:rPr>
              <w:t>ExposureShare@K</w:t>
            </w:r>
          </w:p>
        </w:tc>
        <w:tc>
          <w:tcPr>
            <w:tcW w:w="2160" w:type="dxa"/>
          </w:tcPr>
          <w:p w14:paraId="7C1C5C6D" w14:textId="77777777" w:rsidR="00D24B5F" w:rsidRDefault="00000000">
            <w:r>
              <w:rPr>
                <w:sz w:val="18"/>
              </w:rPr>
              <w:t>Ratio of a cohort’s observed top-K exposure to its proportional share under a proportional-allocation baseline.</w:t>
              <w:br/>
              <w:br/>
              <w:t>ES@K = [Cohort’s top-K count / Total top-K slots] / [Cohort size / Total sellers]</w:t>
              <w:br/>
              <w:br/>
              <w:t>1.0 = proportional; &lt;1.0 = underexposure; &gt;1.0 = overexposure.</w:t>
              <w:br/>
              <w:t>Default K=10; robustness K=20.</w:t>
            </w:r>
          </w:p>
        </w:tc>
        <w:tc>
          <w:tcPr>
            <w:tcW w:w="2160" w:type="dxa"/>
          </w:tcPr>
          <w:p w14:paraId="6712C2EC" w14:textId="77777777" w:rsidR="00D24B5F" w:rsidRDefault="00000000">
            <w:r>
              <w:rPr>
                <w:sz w:val="18"/>
              </w:rPr>
              <w:t>Pass: ≥ 0.85</w:t>
              <w:br/>
              <w:t>Monitor: 0.80–0.85</w:t>
              <w:br/>
              <w:t>Review Req.: &lt; 0.80</w:t>
            </w:r>
          </w:p>
        </w:tc>
      </w:tr>
      <w:tr w:rsidR="00D24B5F" w14:paraId="3BD6C795" w14:textId="77777777">
        <w:trPr>
          <w:jc w:val="center"/>
        </w:trPr>
        <w:tc>
          <w:tcPr>
            <w:tcW w:w="2160" w:type="dxa"/>
          </w:tcPr>
          <w:p w14:paraId="2BB64431" w14:textId="77777777" w:rsidR="00D24B5F" w:rsidRDefault="00000000">
            <w:r>
              <w:rPr>
                <w:sz w:val="18"/>
              </w:rPr>
              <w:t>E2</w:t>
            </w:r>
          </w:p>
        </w:tc>
        <w:tc>
          <w:tcPr>
            <w:tcW w:w="2160" w:type="dxa"/>
          </w:tcPr>
          <w:p w14:paraId="0A62DFA6" w14:textId="77777777" w:rsidR="00D24B5F" w:rsidRDefault="00000000">
            <w:r>
              <w:rPr>
                <w:sz w:val="18"/>
              </w:rPr>
              <w:t>Mean Rank Position</w:t>
            </w:r>
          </w:p>
        </w:tc>
        <w:tc>
          <w:tcPr>
            <w:tcW w:w="2160" w:type="dxa"/>
          </w:tcPr>
          <w:p w14:paraId="0E2AA099" w14:textId="77777777" w:rsidR="00D24B5F" w:rsidRDefault="00000000">
            <w:r>
              <w:rPr>
                <w:sz w:val="18"/>
              </w:rPr>
              <w:t>Arithmetic mean of rank positions for a cohort across all ranking events.</w:t>
              <w:br/>
              <w:br/>
              <w:t>MeanRankΔ = difference between cohort means. Lower = more visible.</w:t>
              <w:br/>
              <w:t>Report with 95% confidence intervals.</w:t>
            </w:r>
          </w:p>
        </w:tc>
        <w:tc>
          <w:tcPr>
            <w:tcW w:w="2160" w:type="dxa"/>
          </w:tcPr>
          <w:p w14:paraId="145FD764" w14:textId="77777777" w:rsidR="00D24B5F" w:rsidRDefault="00000000">
            <w:r>
              <w:rPr>
                <w:sz w:val="18"/>
              </w:rPr>
              <w:t>Pass: Δ &lt; 5 positions</w:t>
              <w:br/>
              <w:t>Monitor: Δ 5–10</w:t>
              <w:br/>
              <w:t>Review Req.: Δ ≥ 10</w:t>
            </w:r>
          </w:p>
        </w:tc>
      </w:tr>
      <w:tr w:rsidR="00D24B5F" w14:paraId="7CFBC0BC" w14:textId="77777777">
        <w:trPr>
          <w:jc w:val="center"/>
        </w:trPr>
        <w:tc>
          <w:tcPr>
            <w:tcW w:w="2160" w:type="dxa"/>
          </w:tcPr>
          <w:p w14:paraId="39B37812" w14:textId="77777777" w:rsidR="00D24B5F" w:rsidRDefault="00000000">
            <w:r>
              <w:rPr>
                <w:sz w:val="18"/>
              </w:rPr>
              <w:t>E3</w:t>
            </w:r>
          </w:p>
        </w:tc>
        <w:tc>
          <w:tcPr>
            <w:tcW w:w="2160" w:type="dxa"/>
          </w:tcPr>
          <w:p w14:paraId="35121552" w14:textId="77777777" w:rsidR="00D24B5F" w:rsidRDefault="00000000">
            <w:r>
              <w:rPr>
                <w:sz w:val="18"/>
              </w:rPr>
              <w:t>Exposure Gini</w:t>
            </w:r>
          </w:p>
        </w:tc>
        <w:tc>
          <w:tcPr>
            <w:tcW w:w="2160" w:type="dxa"/>
          </w:tcPr>
          <w:p w14:paraId="11C8A8E8" w14:textId="77777777" w:rsidR="00D24B5F" w:rsidRDefault="00000000">
            <w:r>
              <w:rPr>
                <w:sz w:val="18"/>
              </w:rPr>
              <w:t>Gini index of top-K appearance distribution within a single cohort.</w:t>
              <w:br/>
              <w:br/>
              <w:t>0.0 = perfectly equitable; 1.0 = one seller captures all visibility.</w:t>
              <w:br/>
              <w:t>Higher Gini within an underexposed cohort is especially concerning.</w:t>
            </w:r>
          </w:p>
        </w:tc>
        <w:tc>
          <w:tcPr>
            <w:tcW w:w="2160" w:type="dxa"/>
          </w:tcPr>
          <w:p w14:paraId="5A049602" w14:textId="77777777" w:rsidR="00D24B5F" w:rsidRDefault="00000000">
            <w:r>
              <w:rPr>
                <w:sz w:val="18"/>
              </w:rPr>
              <w:t>No hard threshold.</w:t>
              <w:br/>
              <w:t>Flag Gini &gt; 0.60 within</w:t>
              <w:br/>
              <w:t>underexposed cohorts</w:t>
              <w:br/>
              <w:t>(ES@K &lt; 0.80).</w:t>
            </w:r>
          </w:p>
        </w:tc>
      </w:tr>
    </w:tbl>
    <w:p w14:paraId="611DEFB8" w14:textId="77777777" w:rsidR="00D24B5F" w:rsidRDefault="00D24B5F"/>
    <w:p w14:paraId="5482569C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lastRenderedPageBreak/>
        <w:t>3. Outcome Metrics</w:t>
      </w:r>
    </w:p>
    <w:p w14:paraId="274186AD" w14:textId="77777777" w:rsidR="00D24B5F" w:rsidRDefault="00000000">
      <w:r>
        <w:t>Outcome metrics assess whether exposure disparities translate into click and conversion disparities. Computed only when click and conversion data is available; otherwise noted as a limitation.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4B5F" w14:paraId="69021F99" w14:textId="77777777">
        <w:trPr>
          <w:jc w:val="center"/>
        </w:trPr>
        <w:tc>
          <w:tcPr>
            <w:tcW w:w="2160" w:type="dxa"/>
          </w:tcPr>
          <w:p w14:paraId="17D852D2" w14:textId="77777777" w:rsidR="00D24B5F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14:paraId="60EE1010" w14:textId="77777777" w:rsidR="00D24B5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2160" w:type="dxa"/>
          </w:tcPr>
          <w:p w14:paraId="27EB247C" w14:textId="77777777" w:rsidR="00D24B5F" w:rsidRDefault="00000000">
            <w:r>
              <w:rPr>
                <w:b/>
                <w:sz w:val="18"/>
              </w:rPr>
              <w:t>Definition &amp; Formula</w:t>
            </w:r>
          </w:p>
        </w:tc>
        <w:tc>
          <w:tcPr>
            <w:tcW w:w="2160" w:type="dxa"/>
          </w:tcPr>
          <w:p w14:paraId="02E36764" w14:textId="77777777" w:rsidR="00D24B5F" w:rsidRDefault="00000000">
            <w:r>
              <w:rPr>
                <w:b/>
                <w:sz w:val="18"/>
              </w:rPr>
              <w:t>Thresholds</w:t>
            </w:r>
          </w:p>
        </w:tc>
      </w:tr>
      <w:tr w:rsidR="00D24B5F" w14:paraId="3419D5D9" w14:textId="77777777">
        <w:trPr>
          <w:jc w:val="center"/>
        </w:trPr>
        <w:tc>
          <w:tcPr>
            <w:tcW w:w="2160" w:type="dxa"/>
          </w:tcPr>
          <w:p w14:paraId="11831A3D" w14:textId="77777777" w:rsidR="00D24B5F" w:rsidRDefault="00000000">
            <w:r>
              <w:rPr>
                <w:sz w:val="18"/>
              </w:rPr>
              <w:t>O1</w:t>
            </w:r>
          </w:p>
        </w:tc>
        <w:tc>
          <w:tcPr>
            <w:tcW w:w="2160" w:type="dxa"/>
          </w:tcPr>
          <w:p w14:paraId="6D923E9E" w14:textId="77777777" w:rsidR="00D24B5F" w:rsidRDefault="00000000">
            <w:r>
              <w:rPr>
                <w:sz w:val="18"/>
              </w:rPr>
              <w:t>CTR Parity Ratio</w:t>
            </w:r>
          </w:p>
        </w:tc>
        <w:tc>
          <w:tcPr>
            <w:tcW w:w="2160" w:type="dxa"/>
          </w:tcPr>
          <w:p w14:paraId="1E7936E6" w14:textId="77777777" w:rsidR="00D24B5F" w:rsidRDefault="00000000">
            <w:r>
              <w:rPr>
                <w:sz w:val="18"/>
              </w:rPr>
              <w:t>CTR(small cohort) / CTR(large cohort)</w:t>
              <w:br/>
              <w:br/>
              <w:t>where CTR = Clicks / Impressions in top-K.</w:t>
              <w:br/>
              <w:t>1.0 = parity; &lt;1.0 = disadvantaged cohort gets fewer clicks per impression.</w:t>
            </w:r>
          </w:p>
        </w:tc>
        <w:tc>
          <w:tcPr>
            <w:tcW w:w="2160" w:type="dxa"/>
          </w:tcPr>
          <w:p w14:paraId="2B3BE701" w14:textId="77777777" w:rsidR="00D24B5F" w:rsidRDefault="00000000">
            <w:r>
              <w:rPr>
                <w:sz w:val="18"/>
              </w:rPr>
              <w:t>Evaluated via DI</w:t>
              <w:br/>
              <w:t>(see O3 below).</w:t>
            </w:r>
          </w:p>
        </w:tc>
      </w:tr>
      <w:tr w:rsidR="00D24B5F" w14:paraId="199467D0" w14:textId="77777777">
        <w:trPr>
          <w:jc w:val="center"/>
        </w:trPr>
        <w:tc>
          <w:tcPr>
            <w:tcW w:w="2160" w:type="dxa"/>
          </w:tcPr>
          <w:p w14:paraId="5E2DC06B" w14:textId="77777777" w:rsidR="00D24B5F" w:rsidRDefault="00000000">
            <w:r>
              <w:rPr>
                <w:sz w:val="18"/>
              </w:rPr>
              <w:t>O2</w:t>
            </w:r>
          </w:p>
        </w:tc>
        <w:tc>
          <w:tcPr>
            <w:tcW w:w="2160" w:type="dxa"/>
          </w:tcPr>
          <w:p w14:paraId="1C3BB9DE" w14:textId="77777777" w:rsidR="00D24B5F" w:rsidRDefault="00000000">
            <w:r>
              <w:rPr>
                <w:sz w:val="18"/>
              </w:rPr>
              <w:t>CVR Parity Ratio</w:t>
            </w:r>
          </w:p>
        </w:tc>
        <w:tc>
          <w:tcPr>
            <w:tcW w:w="2160" w:type="dxa"/>
          </w:tcPr>
          <w:p w14:paraId="3A5629D4" w14:textId="77777777" w:rsidR="00D24B5F" w:rsidRDefault="00000000">
            <w:r>
              <w:rPr>
                <w:sz w:val="18"/>
              </w:rPr>
              <w:t>CVR(small cohort) / CVR(large cohort)</w:t>
              <w:br/>
              <w:br/>
              <w:t>where CVR = Conversions / Impressions in top-K.</w:t>
              <w:br/>
              <w:t>1.0 = parity; &lt;1.0 = disadvantaged cohort converts less per impression.</w:t>
            </w:r>
          </w:p>
        </w:tc>
        <w:tc>
          <w:tcPr>
            <w:tcW w:w="2160" w:type="dxa"/>
          </w:tcPr>
          <w:p w14:paraId="168F7BFD" w14:textId="77777777" w:rsidR="00D24B5F" w:rsidRDefault="00000000">
            <w:r>
              <w:rPr>
                <w:sz w:val="18"/>
              </w:rPr>
              <w:t>Evaluated via DI</w:t>
              <w:br/>
              <w:t>(see O3 below).</w:t>
            </w:r>
          </w:p>
        </w:tc>
      </w:tr>
      <w:tr w:rsidR="00D24B5F" w14:paraId="7286522D" w14:textId="77777777">
        <w:trPr>
          <w:jc w:val="center"/>
        </w:trPr>
        <w:tc>
          <w:tcPr>
            <w:tcW w:w="2160" w:type="dxa"/>
          </w:tcPr>
          <w:p w14:paraId="6D5F544D" w14:textId="77777777" w:rsidR="00D24B5F" w:rsidRDefault="00000000">
            <w:r>
              <w:rPr>
                <w:sz w:val="18"/>
              </w:rPr>
              <w:t>O3</w:t>
            </w:r>
          </w:p>
        </w:tc>
        <w:tc>
          <w:tcPr>
            <w:tcW w:w="2160" w:type="dxa"/>
          </w:tcPr>
          <w:p w14:paraId="7D320195" w14:textId="77777777" w:rsidR="00D24B5F" w:rsidRDefault="00000000">
            <w:r>
              <w:rPr>
                <w:sz w:val="18"/>
              </w:rPr>
              <w:t>CTR/CVR DI Ratio</w:t>
            </w:r>
          </w:p>
        </w:tc>
        <w:tc>
          <w:tcPr>
            <w:tcW w:w="2160" w:type="dxa"/>
          </w:tcPr>
          <w:p w14:paraId="0273BBD3" w14:textId="77777777" w:rsidR="00D24B5F" w:rsidRDefault="00000000">
            <w:r>
              <w:rPr>
                <w:sz w:val="18"/>
              </w:rPr>
              <w:t>Disparate Impact ratio applied to CTR and CVR outcomes.</w:t>
              <w:br/>
              <w:br/>
              <w:t>DI = Outcome rate(disadvantaged) / Outcome rate(reference)</w:t>
              <w:br/>
              <w:br/>
              <w:t>Adapted from the EEOC four-fifths rule. Applied to outcome metrics only; exposure disparity is measured directly by ExposureShare@K (E1).</w:t>
            </w:r>
          </w:p>
        </w:tc>
        <w:tc>
          <w:tcPr>
            <w:tcW w:w="2160" w:type="dxa"/>
          </w:tcPr>
          <w:p w14:paraId="2CF94986" w14:textId="77777777" w:rsidR="00D24B5F" w:rsidRDefault="00000000">
            <w:r>
              <w:rPr>
                <w:sz w:val="18"/>
              </w:rPr>
              <w:t>Pass: DI ≥ 0.85</w:t>
              <w:br/>
              <w:t>Monitor: 0.80–0.85</w:t>
              <w:br/>
              <w:t>Review Req.: &lt; 0.80</w:t>
            </w:r>
          </w:p>
        </w:tc>
      </w:tr>
    </w:tbl>
    <w:p w14:paraId="260B778B" w14:textId="77777777" w:rsidR="00D24B5F" w:rsidRDefault="00D24B5F"/>
    <w:p w14:paraId="20F5D841" w14:textId="77777777" w:rsidR="00D24B5F" w:rsidRDefault="00000000">
      <w:r>
        <w:t>Note: These thresholds are operational governance triggers used for audit triage and do not constitute legal conclusions.</w:t>
      </w:r>
    </w:p>
    <w:p w14:paraId="1275F767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4. Stability Metrics</w:t>
      </w:r>
    </w:p>
    <w:p w14:paraId="52A0F053" w14:textId="77777777" w:rsidR="00D24B5F" w:rsidRDefault="00000000">
      <w:r>
        <w:t>Stability metrics detect drift over time and regression from model updates.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4B5F" w14:paraId="0B97717F" w14:textId="77777777">
        <w:trPr>
          <w:jc w:val="center"/>
        </w:trPr>
        <w:tc>
          <w:tcPr>
            <w:tcW w:w="2160" w:type="dxa"/>
          </w:tcPr>
          <w:p w14:paraId="03308C0E" w14:textId="77777777" w:rsidR="00D24B5F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14:paraId="787997C6" w14:textId="77777777" w:rsidR="00D24B5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2160" w:type="dxa"/>
          </w:tcPr>
          <w:p w14:paraId="6BC08AF4" w14:textId="77777777" w:rsidR="00D24B5F" w:rsidRDefault="00000000">
            <w:r>
              <w:rPr>
                <w:b/>
                <w:sz w:val="18"/>
              </w:rPr>
              <w:t>Definition &amp; Formula</w:t>
            </w:r>
          </w:p>
        </w:tc>
        <w:tc>
          <w:tcPr>
            <w:tcW w:w="2160" w:type="dxa"/>
          </w:tcPr>
          <w:p w14:paraId="549FA55B" w14:textId="77777777" w:rsidR="00D24B5F" w:rsidRDefault="00000000">
            <w:r>
              <w:rPr>
                <w:b/>
                <w:sz w:val="18"/>
              </w:rPr>
              <w:t>Thresholds</w:t>
            </w:r>
          </w:p>
        </w:tc>
      </w:tr>
      <w:tr w:rsidR="00D24B5F" w14:paraId="78C22671" w14:textId="77777777">
        <w:trPr>
          <w:jc w:val="center"/>
        </w:trPr>
        <w:tc>
          <w:tcPr>
            <w:tcW w:w="2160" w:type="dxa"/>
          </w:tcPr>
          <w:p w14:paraId="4BE9DC05" w14:textId="77777777" w:rsidR="00D24B5F" w:rsidRDefault="00000000">
            <w:r>
              <w:rPr>
                <w:sz w:val="18"/>
              </w:rPr>
              <w:t>S1</w:t>
            </w:r>
          </w:p>
        </w:tc>
        <w:tc>
          <w:tcPr>
            <w:tcW w:w="2160" w:type="dxa"/>
          </w:tcPr>
          <w:p w14:paraId="65AA7F36" w14:textId="085E301C" w:rsidR="00D24B5F" w:rsidRDefault="00000000">
            <w:r>
              <w:rPr>
                <w:sz w:val="18"/>
              </w:rPr>
              <w:t xml:space="preserve">ExposureShare@K Drift</w:t>
            </w:r>
          </w:p>
        </w:tc>
        <w:tc>
          <w:tcPr>
            <w:tcW w:w="2160" w:type="dxa"/>
          </w:tcPr>
          <w:p w14:paraId="58DF1AD3" w14:textId="77777777" w:rsidR="00D24B5F" w:rsidRDefault="00000000">
            <w:r>
              <w:rPr>
                <w:sz w:val="18"/>
              </w:rPr>
              <w:t>Relative change in ExposureShare@K vs. trailing 4-week moving average.</w:t>
              <w:br/>
              <w:br/>
              <w:t xml:space="preserve">Drift = (ES@K(current) − ES@K(4-wk avg)) / </w:t>
              <w:lastRenderedPageBreak/>
              <w:t>ES@K(4-wk avg) × 100%</w:t>
            </w:r>
          </w:p>
        </w:tc>
        <w:tc>
          <w:tcPr>
            <w:tcW w:w="2160" w:type="dxa"/>
          </w:tcPr>
          <w:p w14:paraId="0214F330" w14:textId="77777777" w:rsidR="00D24B5F" w:rsidRDefault="00000000">
            <w:r>
              <w:rPr>
                <w:sz w:val="18"/>
              </w:rPr>
              <w:lastRenderedPageBreak/>
              <w:t>Pass: &lt; 10% decline</w:t>
              <w:br/>
              <w:t>Monitor: ≥ 10% decline</w:t>
              <w:br/>
              <w:t>Review Req.: ≥ 20%</w:t>
              <w:br/>
              <w:t>or sustained &gt; 2 wks</w:t>
            </w:r>
          </w:p>
        </w:tc>
      </w:tr>
      <w:tr w:rsidR="00D24B5F" w14:paraId="53C58EB7" w14:textId="77777777">
        <w:trPr>
          <w:jc w:val="center"/>
        </w:trPr>
        <w:tc>
          <w:tcPr>
            <w:tcW w:w="2160" w:type="dxa"/>
          </w:tcPr>
          <w:p w14:paraId="4B49AB1F" w14:textId="77777777" w:rsidR="00D24B5F" w:rsidRDefault="00000000">
            <w:r>
              <w:rPr>
                <w:sz w:val="18"/>
              </w:rPr>
              <w:t>S2</w:t>
            </w:r>
          </w:p>
        </w:tc>
        <w:tc>
          <w:tcPr>
            <w:tcW w:w="2160" w:type="dxa"/>
          </w:tcPr>
          <w:p w14:paraId="6436AE95" w14:textId="69BDCAE9" w:rsidR="00D24B5F" w:rsidRDefault="00000000">
            <w:r>
              <w:rPr>
                <w:sz w:val="18"/>
              </w:rPr>
              <w:t xml:space="preserve">Model Regression Delta</w:t>
            </w:r>
          </w:p>
        </w:tc>
        <w:tc>
          <w:tcPr>
            <w:tcW w:w="2160" w:type="dxa"/>
          </w:tcPr>
          <w:p w14:paraId="20D480AB" w14:textId="77777777" w:rsidR="00D24B5F" w:rsidRDefault="00000000">
            <w:r>
              <w:rPr>
                <w:sz w:val="18"/>
              </w:rPr>
              <w:t>Comparison of ES@K and outcome metrics pre- and post- model deployment.</w:t>
              <w:br/>
              <w:br/>
              <w:t>RegressionΔ = ES@K(post avg) − ES@K(pre avg)</w:t>
              <w:br/>
              <w:br/>
              <w:t xml:space="preserve">Any model version change auto-triggers a regression comparison.</w:t>
            </w:r>
          </w:p>
        </w:tc>
        <w:tc>
          <w:tcPr>
            <w:tcW w:w="2160" w:type="dxa"/>
          </w:tcPr>
          <w:p w14:paraId="1358E13D" w14:textId="77777777" w:rsidR="00D24B5F" w:rsidRDefault="00000000">
            <w:r>
              <w:rPr>
                <w:sz w:val="18"/>
              </w:rPr>
              <w:t>Any metric crossing</w:t>
              <w:br/>
              <w:t>S1 thresholds triggers</w:t>
              <w:br/>
              <w:t>full audit.</w:t>
            </w:r>
          </w:p>
        </w:tc>
      </w:tr>
    </w:tbl>
    <w:p w14:paraId="5D00ED1A" w14:textId="77777777" w:rsidR="00D24B5F" w:rsidRDefault="00D24B5F"/>
    <w:p w14:paraId="0794EA7F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5. Quality Guardrail Metrics</w:t>
      </w:r>
    </w:p>
    <w:p w14:paraId="76F4BAC3" w14:textId="77777777" w:rsidR="00D24B5F" w:rsidRDefault="00000000">
      <w:r>
        <w:t>Quality guardrails protect marketplace performance during fairness interventions. If a fairness-improving change degrades quality beyond these thresholds, the intervention must be adjusted or rolled back.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4B5F" w14:paraId="37B6DCE9" w14:textId="77777777">
        <w:trPr>
          <w:jc w:val="center"/>
        </w:trPr>
        <w:tc>
          <w:tcPr>
            <w:tcW w:w="2160" w:type="dxa"/>
          </w:tcPr>
          <w:p w14:paraId="25ADC6A0" w14:textId="77777777" w:rsidR="00D24B5F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14:paraId="16A99E4D" w14:textId="77777777" w:rsidR="00D24B5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2160" w:type="dxa"/>
          </w:tcPr>
          <w:p w14:paraId="042AAFF7" w14:textId="77777777" w:rsidR="00D24B5F" w:rsidRDefault="00000000">
            <w:r>
              <w:rPr>
                <w:b/>
                <w:sz w:val="18"/>
              </w:rPr>
              <w:t>Definition &amp; Formula</w:t>
            </w:r>
          </w:p>
        </w:tc>
        <w:tc>
          <w:tcPr>
            <w:tcW w:w="2160" w:type="dxa"/>
          </w:tcPr>
          <w:p w14:paraId="74AD4ED9" w14:textId="77777777" w:rsidR="00D24B5F" w:rsidRDefault="00000000">
            <w:r>
              <w:rPr>
                <w:b/>
                <w:sz w:val="18"/>
              </w:rPr>
              <w:t>Threshold</w:t>
            </w:r>
          </w:p>
        </w:tc>
      </w:tr>
      <w:tr w:rsidR="00D24B5F" w14:paraId="759CC0DE" w14:textId="77777777">
        <w:trPr>
          <w:jc w:val="center"/>
        </w:trPr>
        <w:tc>
          <w:tcPr>
            <w:tcW w:w="2160" w:type="dxa"/>
          </w:tcPr>
          <w:p w14:paraId="7D4596B4" w14:textId="77777777" w:rsidR="00D24B5F" w:rsidRDefault="00000000">
            <w:r>
              <w:rPr>
                <w:sz w:val="18"/>
              </w:rPr>
              <w:t>Q1</w:t>
            </w:r>
          </w:p>
        </w:tc>
        <w:tc>
          <w:tcPr>
            <w:tcW w:w="2160" w:type="dxa"/>
          </w:tcPr>
          <w:p w14:paraId="71B38334" w14:textId="77777777" w:rsidR="00D24B5F" w:rsidRDefault="00000000">
            <w:r>
              <w:rPr>
                <w:sz w:val="18"/>
              </w:rPr>
              <w:t>Overall CTR</w:t>
            </w:r>
          </w:p>
        </w:tc>
        <w:tc>
          <w:tcPr>
            <w:tcW w:w="2160" w:type="dxa"/>
          </w:tcPr>
          <w:p w14:paraId="0EBD5FD9" w14:textId="77777777" w:rsidR="00D24B5F" w:rsidRDefault="00000000">
            <w:r>
              <w:rPr>
                <w:sz w:val="18"/>
              </w:rPr>
              <w:t>Marketplace-wide click-through rate.</w:t>
              <w:br/>
              <w:t>Overall CTR = Total clicks / Total impressions</w:t>
            </w:r>
          </w:p>
        </w:tc>
        <w:tc>
          <w:tcPr>
            <w:tcW w:w="2160" w:type="dxa"/>
          </w:tcPr>
          <w:p w14:paraId="1212C859" w14:textId="77777777" w:rsidR="00D24B5F" w:rsidRDefault="00000000">
            <w:r>
              <w:rPr>
                <w:sz w:val="18"/>
              </w:rPr>
              <w:t>≤ 2% relative decline</w:t>
              <w:br/>
              <w:t>from baseline.</w:t>
            </w:r>
          </w:p>
        </w:tc>
      </w:tr>
      <w:tr w:rsidR="00D24B5F" w14:paraId="17496E0B" w14:textId="77777777">
        <w:trPr>
          <w:jc w:val="center"/>
        </w:trPr>
        <w:tc>
          <w:tcPr>
            <w:tcW w:w="2160" w:type="dxa"/>
          </w:tcPr>
          <w:p w14:paraId="199FE9E1" w14:textId="77777777" w:rsidR="00D24B5F" w:rsidRDefault="00000000">
            <w:r>
              <w:rPr>
                <w:sz w:val="18"/>
              </w:rPr>
              <w:t>Q2</w:t>
            </w:r>
          </w:p>
        </w:tc>
        <w:tc>
          <w:tcPr>
            <w:tcW w:w="2160" w:type="dxa"/>
          </w:tcPr>
          <w:p w14:paraId="26DC1F80" w14:textId="77777777" w:rsidR="00D24B5F" w:rsidRDefault="00000000">
            <w:r>
              <w:rPr>
                <w:sz w:val="18"/>
              </w:rPr>
              <w:t>Overall CVR</w:t>
            </w:r>
          </w:p>
        </w:tc>
        <w:tc>
          <w:tcPr>
            <w:tcW w:w="2160" w:type="dxa"/>
          </w:tcPr>
          <w:p w14:paraId="65B14545" w14:textId="77777777" w:rsidR="00D24B5F" w:rsidRDefault="00000000">
            <w:r>
              <w:rPr>
                <w:sz w:val="18"/>
              </w:rPr>
              <w:t>Marketplace-wide conversion rate.</w:t>
              <w:br/>
              <w:t>Overall CVR = Total conversions / Total impressions</w:t>
            </w:r>
          </w:p>
        </w:tc>
        <w:tc>
          <w:tcPr>
            <w:tcW w:w="2160" w:type="dxa"/>
          </w:tcPr>
          <w:p w14:paraId="5CBB44C0" w14:textId="77777777" w:rsidR="00D24B5F" w:rsidRDefault="00000000">
            <w:r>
              <w:rPr>
                <w:sz w:val="18"/>
              </w:rPr>
              <w:t>≤ 2% relative decline</w:t>
              <w:br/>
              <w:t>from baseline.</w:t>
            </w:r>
          </w:p>
        </w:tc>
      </w:tr>
      <w:tr w:rsidR="00D24B5F" w14:paraId="42457DC5" w14:textId="77777777">
        <w:trPr>
          <w:jc w:val="center"/>
        </w:trPr>
        <w:tc>
          <w:tcPr>
            <w:tcW w:w="2160" w:type="dxa"/>
          </w:tcPr>
          <w:p w14:paraId="770F4BDF" w14:textId="77777777" w:rsidR="00D24B5F" w:rsidRDefault="00000000">
            <w:r>
              <w:rPr>
                <w:sz w:val="18"/>
              </w:rPr>
              <w:t>Q3</w:t>
            </w:r>
          </w:p>
        </w:tc>
        <w:tc>
          <w:tcPr>
            <w:tcW w:w="2160" w:type="dxa"/>
          </w:tcPr>
          <w:p w14:paraId="20DEACD7" w14:textId="338FD38B" w:rsidR="00D24B5F" w:rsidRDefault="00000000">
            <w:r>
              <w:rPr>
                <w:sz w:val="18"/>
              </w:rPr>
              <w:t xml:space="preserve">NDCG@K </w:t>
              <w:br/>
            </w:r>
            <w:r>
              <w:rPr>
                <w:sz w:val="18"/>
                <w:szCs w:val="18"/>
              </w:rPr>
              <w:t>(</w:t>
            </w:r>
            <w:r>
              <w:rPr>
                <w:color w:val="000000"/>
                <w:sz w:val="18"/>
                <w:szCs w:val="18"/>
              </w:rPr>
              <w:t>Normalized Discounted Cumulative Gain)</w:t>
            </w:r>
          </w:p>
        </w:tc>
        <w:tc>
          <w:tcPr>
            <w:tcW w:w="2160" w:type="dxa"/>
          </w:tcPr>
          <w:p w14:paraId="19996D21" w14:textId="77777777" w:rsidR="00D24B5F" w:rsidRDefault="00000000">
            <w:r>
              <w:rPr>
                <w:sz w:val="18"/>
              </w:rPr>
              <w:t>Normalized Discounted Cumulative Gain. Standard IR relevance metric.</w:t>
              <w:br/>
              <w:t>NDCG@K = DCG@K / IDCG@K</w:t>
            </w:r>
          </w:p>
        </w:tc>
        <w:tc>
          <w:tcPr>
            <w:tcW w:w="2160" w:type="dxa"/>
          </w:tcPr>
          <w:p w14:paraId="2DFC473B" w14:textId="77777777" w:rsidR="00D24B5F" w:rsidRDefault="00000000">
            <w:r>
              <w:rPr>
                <w:sz w:val="18"/>
              </w:rPr>
              <w:t>≤ 5% relative decline</w:t>
              <w:br/>
              <w:t>from baseline.</w:t>
            </w:r>
          </w:p>
        </w:tc>
      </w:tr>
    </w:tbl>
    <w:p w14:paraId="7EF6D883" w14:textId="77777777" w:rsidR="00D24B5F" w:rsidRDefault="00D24B5F"/>
    <w:p w14:paraId="5EDD13A5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6. Consolidated Threshold Reference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24B5F" w14:paraId="77DA32D9" w14:textId="77777777">
        <w:trPr>
          <w:jc w:val="center"/>
        </w:trPr>
        <w:tc>
          <w:tcPr>
            <w:tcW w:w="2160" w:type="dxa"/>
          </w:tcPr>
          <w:p w14:paraId="62479D19" w14:textId="77777777" w:rsidR="00D24B5F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2160" w:type="dxa"/>
          </w:tcPr>
          <w:p w14:paraId="7062A118" w14:textId="77777777" w:rsidR="00D24B5F" w:rsidRDefault="00000000">
            <w:r>
              <w:rPr>
                <w:b/>
                <w:sz w:val="18"/>
              </w:rPr>
              <w:t>Pass</w:t>
            </w:r>
          </w:p>
        </w:tc>
        <w:tc>
          <w:tcPr>
            <w:tcW w:w="2160" w:type="dxa"/>
          </w:tcPr>
          <w:p w14:paraId="12CB0DD5" w14:textId="77777777" w:rsidR="00D24B5F" w:rsidRDefault="00000000">
            <w:r>
              <w:rPr>
                <w:b/>
                <w:sz w:val="18"/>
              </w:rPr>
              <w:t>Monitor</w:t>
            </w:r>
          </w:p>
        </w:tc>
        <w:tc>
          <w:tcPr>
            <w:tcW w:w="2160" w:type="dxa"/>
          </w:tcPr>
          <w:p w14:paraId="12DE5E74" w14:textId="77777777" w:rsidR="00D24B5F" w:rsidRDefault="00000000">
            <w:r>
              <w:rPr>
                <w:b/>
                <w:sz w:val="18"/>
              </w:rPr>
              <w:t>Review Required</w:t>
            </w:r>
          </w:p>
        </w:tc>
      </w:tr>
      <w:tr w:rsidR="00D24B5F" w14:paraId="2620EA6E" w14:textId="77777777">
        <w:trPr>
          <w:jc w:val="center"/>
        </w:trPr>
        <w:tc>
          <w:tcPr>
            <w:tcW w:w="2160" w:type="dxa"/>
          </w:tcPr>
          <w:p w14:paraId="08DD9D35" w14:textId="77777777" w:rsidR="00D24B5F" w:rsidRDefault="00000000">
            <w:r>
              <w:rPr>
                <w:sz w:val="18"/>
              </w:rPr>
              <w:t>ExposureShare@K (E1)</w:t>
            </w:r>
          </w:p>
        </w:tc>
        <w:tc>
          <w:tcPr>
            <w:tcW w:w="2160" w:type="dxa"/>
          </w:tcPr>
          <w:p w14:paraId="38E49CCC" w14:textId="77777777" w:rsidR="00D24B5F" w:rsidRDefault="00000000">
            <w:r>
              <w:rPr>
                <w:sz w:val="18"/>
              </w:rPr>
              <w:t>≥ 0.85</w:t>
            </w:r>
          </w:p>
        </w:tc>
        <w:tc>
          <w:tcPr>
            <w:tcW w:w="2160" w:type="dxa"/>
          </w:tcPr>
          <w:p w14:paraId="35600DD6" w14:textId="77777777" w:rsidR="00D24B5F" w:rsidRDefault="00000000">
            <w:r>
              <w:rPr>
                <w:sz w:val="18"/>
              </w:rPr>
              <w:t>0.80–0.85</w:t>
            </w:r>
          </w:p>
        </w:tc>
        <w:tc>
          <w:tcPr>
            <w:tcW w:w="2160" w:type="dxa"/>
          </w:tcPr>
          <w:p w14:paraId="40FF8869" w14:textId="77777777" w:rsidR="00D24B5F" w:rsidRDefault="00000000">
            <w:r>
              <w:rPr>
                <w:sz w:val="18"/>
              </w:rPr>
              <w:t>&lt; 0.80</w:t>
            </w:r>
          </w:p>
        </w:tc>
      </w:tr>
      <w:tr w:rsidR="00D24B5F" w14:paraId="3171F0B9" w14:textId="77777777">
        <w:trPr>
          <w:jc w:val="center"/>
        </w:trPr>
        <w:tc>
          <w:tcPr>
            <w:tcW w:w="2160" w:type="dxa"/>
          </w:tcPr>
          <w:p w14:paraId="57CE3FF9" w14:textId="77777777" w:rsidR="00D24B5F" w:rsidRDefault="00000000">
            <w:r>
              <w:rPr>
                <w:sz w:val="18"/>
              </w:rPr>
              <w:t>MeanRankΔ (E2)</w:t>
            </w:r>
          </w:p>
        </w:tc>
        <w:tc>
          <w:tcPr>
            <w:tcW w:w="2160" w:type="dxa"/>
          </w:tcPr>
          <w:p w14:paraId="1E790E46" w14:textId="77777777" w:rsidR="00D24B5F" w:rsidRDefault="00000000">
            <w:r>
              <w:rPr>
                <w:sz w:val="18"/>
              </w:rPr>
              <w:t>&lt; 5 pos.</w:t>
            </w:r>
          </w:p>
        </w:tc>
        <w:tc>
          <w:tcPr>
            <w:tcW w:w="2160" w:type="dxa"/>
          </w:tcPr>
          <w:p w14:paraId="25254C9A" w14:textId="77777777" w:rsidR="00D24B5F" w:rsidRDefault="00000000">
            <w:r>
              <w:rPr>
                <w:sz w:val="18"/>
              </w:rPr>
              <w:t>5–10 pos.</w:t>
            </w:r>
          </w:p>
        </w:tc>
        <w:tc>
          <w:tcPr>
            <w:tcW w:w="2160" w:type="dxa"/>
          </w:tcPr>
          <w:p w14:paraId="22F87A20" w14:textId="77777777" w:rsidR="00D24B5F" w:rsidRDefault="00000000">
            <w:r>
              <w:rPr>
                <w:sz w:val="18"/>
              </w:rPr>
              <w:t>≥ 10 pos.</w:t>
            </w:r>
          </w:p>
        </w:tc>
      </w:tr>
      <w:tr w:rsidR="00D24B5F" w14:paraId="39D1365B" w14:textId="77777777">
        <w:trPr>
          <w:jc w:val="center"/>
        </w:trPr>
        <w:tc>
          <w:tcPr>
            <w:tcW w:w="2160" w:type="dxa"/>
          </w:tcPr>
          <w:p w14:paraId="7B2CAD8A" w14:textId="77777777" w:rsidR="00D24B5F" w:rsidRDefault="00000000">
            <w:r>
              <w:rPr>
                <w:sz w:val="18"/>
              </w:rPr>
              <w:t>Exposure Gini (E3)</w:t>
            </w:r>
          </w:p>
        </w:tc>
        <w:tc>
          <w:tcPr>
            <w:tcW w:w="2160" w:type="dxa"/>
          </w:tcPr>
          <w:p w14:paraId="7C0A7A25" w14:textId="77777777" w:rsidR="00D24B5F" w:rsidRDefault="00000000">
            <w:r>
              <w:rPr>
                <w:sz w:val="18"/>
              </w:rPr>
              <w:t>Contextual</w:t>
            </w:r>
          </w:p>
        </w:tc>
        <w:tc>
          <w:tcPr>
            <w:tcW w:w="2160" w:type="dxa"/>
          </w:tcPr>
          <w:p w14:paraId="38FCD6C0" w14:textId="77777777" w:rsidR="00D24B5F" w:rsidRDefault="00000000">
            <w:r>
              <w:rPr>
                <w:sz w:val="18"/>
              </w:rPr>
              <w:t>&gt; 0.60 + underexposed</w:t>
            </w:r>
          </w:p>
        </w:tc>
        <w:tc>
          <w:tcPr>
            <w:tcW w:w="2160" w:type="dxa"/>
          </w:tcPr>
          <w:p w14:paraId="56C76096" w14:textId="77777777" w:rsidR="00D24B5F" w:rsidRDefault="00000000">
            <w:r>
              <w:rPr>
                <w:sz w:val="18"/>
              </w:rPr>
              <w:t>N/A</w:t>
            </w:r>
          </w:p>
        </w:tc>
      </w:tr>
      <w:tr w:rsidR="00D24B5F" w14:paraId="5006E22B" w14:textId="77777777">
        <w:trPr>
          <w:jc w:val="center"/>
        </w:trPr>
        <w:tc>
          <w:tcPr>
            <w:tcW w:w="2160" w:type="dxa"/>
          </w:tcPr>
          <w:p w14:paraId="2A1F0F10" w14:textId="77777777" w:rsidR="00D24B5F" w:rsidRDefault="00000000">
            <w:r>
              <w:rPr>
                <w:sz w:val="18"/>
              </w:rPr>
              <w:t>CTR/CVR DI (O3)</w:t>
            </w:r>
          </w:p>
        </w:tc>
        <w:tc>
          <w:tcPr>
            <w:tcW w:w="2160" w:type="dxa"/>
          </w:tcPr>
          <w:p w14:paraId="04918FAA" w14:textId="77777777" w:rsidR="00D24B5F" w:rsidRDefault="00000000">
            <w:r>
              <w:rPr>
                <w:sz w:val="18"/>
              </w:rPr>
              <w:t>≥ 0.85</w:t>
            </w:r>
          </w:p>
        </w:tc>
        <w:tc>
          <w:tcPr>
            <w:tcW w:w="2160" w:type="dxa"/>
          </w:tcPr>
          <w:p w14:paraId="5F411EBC" w14:textId="4DE38E3C" w:rsidR="00D24B5F" w:rsidRDefault="00000000">
            <w:r>
              <w:rPr>
                <w:sz w:val="18"/>
              </w:rPr>
              <w:t>0.80-0.85</w:t>
            </w:r>
          </w:p>
        </w:tc>
        <w:tc>
          <w:tcPr>
            <w:tcW w:w="2160" w:type="dxa"/>
          </w:tcPr>
          <w:p w14:paraId="6044F20E" w14:textId="77777777" w:rsidR="00D24B5F" w:rsidRDefault="00000000">
            <w:r>
              <w:rPr>
                <w:sz w:val="18"/>
              </w:rPr>
              <w:t>&lt; 0.80</w:t>
            </w:r>
          </w:p>
        </w:tc>
      </w:tr>
      <w:tr w:rsidR="00D24B5F" w14:paraId="2000D3DE" w14:textId="77777777">
        <w:trPr>
          <w:jc w:val="center"/>
        </w:trPr>
        <w:tc>
          <w:tcPr>
            <w:tcW w:w="2160" w:type="dxa"/>
          </w:tcPr>
          <w:p w14:paraId="331F78B8" w14:textId="77777777" w:rsidR="00D24B5F" w:rsidRDefault="00000000">
            <w:r>
              <w:rPr>
                <w:sz w:val="18"/>
              </w:rPr>
              <w:t>ES@K Drift (S1)</w:t>
            </w:r>
          </w:p>
        </w:tc>
        <w:tc>
          <w:tcPr>
            <w:tcW w:w="2160" w:type="dxa"/>
          </w:tcPr>
          <w:p w14:paraId="5966F04D" w14:textId="77777777" w:rsidR="00D24B5F" w:rsidRDefault="00000000">
            <w:r>
              <w:rPr>
                <w:sz w:val="18"/>
              </w:rPr>
              <w:t>&lt; 10%</w:t>
            </w:r>
          </w:p>
        </w:tc>
        <w:tc>
          <w:tcPr>
            <w:tcW w:w="2160" w:type="dxa"/>
          </w:tcPr>
          <w:p w14:paraId="5D1DA26C" w14:textId="77777777" w:rsidR="00D24B5F" w:rsidRDefault="00000000">
            <w:r>
              <w:rPr>
                <w:sz w:val="18"/>
              </w:rPr>
              <w:t>≥ 10%</w:t>
            </w:r>
          </w:p>
        </w:tc>
        <w:tc>
          <w:tcPr>
            <w:tcW w:w="2160" w:type="dxa"/>
          </w:tcPr>
          <w:p w14:paraId="54ECEB04" w14:textId="77777777" w:rsidR="00D24B5F" w:rsidRDefault="00000000">
            <w:r>
              <w:rPr>
                <w:sz w:val="18"/>
              </w:rPr>
              <w:t>≥ 20% or &gt; 2 wks</w:t>
            </w:r>
          </w:p>
        </w:tc>
      </w:tr>
      <w:tr w:rsidR="00D24B5F" w14:paraId="02EE1559" w14:textId="77777777">
        <w:trPr>
          <w:jc w:val="center"/>
        </w:trPr>
        <w:tc>
          <w:tcPr>
            <w:tcW w:w="2160" w:type="dxa"/>
          </w:tcPr>
          <w:p w14:paraId="5ACCB633" w14:textId="77777777" w:rsidR="00D24B5F" w:rsidRDefault="00000000">
            <w:r>
              <w:rPr>
                <w:sz w:val="18"/>
              </w:rPr>
              <w:t>Model Regression (S2)</w:t>
            </w:r>
          </w:p>
        </w:tc>
        <w:tc>
          <w:tcPr>
            <w:tcW w:w="2160" w:type="dxa"/>
          </w:tcPr>
          <w:p w14:paraId="7A76B876" w14:textId="77777777" w:rsidR="00D24B5F" w:rsidRDefault="00000000">
            <w:r>
              <w:rPr>
                <w:sz w:val="18"/>
              </w:rPr>
              <w:t>No degradation</w:t>
            </w:r>
          </w:p>
        </w:tc>
        <w:tc>
          <w:tcPr>
            <w:tcW w:w="2160" w:type="dxa"/>
          </w:tcPr>
          <w:p w14:paraId="378F8353" w14:textId="77777777" w:rsidR="00D24B5F" w:rsidRDefault="00000000">
            <w:r>
              <w:rPr>
                <w:sz w:val="18"/>
              </w:rPr>
              <w:t>Any ≥ Monitor</w:t>
            </w:r>
          </w:p>
        </w:tc>
        <w:tc>
          <w:tcPr>
            <w:tcW w:w="2160" w:type="dxa"/>
          </w:tcPr>
          <w:p w14:paraId="17ADD5C1" w14:textId="77777777" w:rsidR="00D24B5F" w:rsidRDefault="00000000">
            <w:r>
              <w:rPr>
                <w:sz w:val="18"/>
              </w:rPr>
              <w:t>Any ≥ Review Req.</w:t>
            </w:r>
          </w:p>
        </w:tc>
      </w:tr>
      <w:tr w:rsidR="00D24B5F" w14:paraId="27F68DAC" w14:textId="77777777">
        <w:trPr>
          <w:jc w:val="center"/>
        </w:trPr>
        <w:tc>
          <w:tcPr>
            <w:tcW w:w="2160" w:type="dxa"/>
          </w:tcPr>
          <w:p w14:paraId="02B5AEB5" w14:textId="77777777" w:rsidR="00D24B5F" w:rsidRDefault="00000000">
            <w:r>
              <w:rPr>
                <w:sz w:val="18"/>
              </w:rPr>
              <w:t>Overall CTR (Q1)</w:t>
            </w:r>
          </w:p>
        </w:tc>
        <w:tc>
          <w:tcPr>
            <w:tcW w:w="2160" w:type="dxa"/>
          </w:tcPr>
          <w:p w14:paraId="0EFC1227" w14:textId="77777777" w:rsidR="00D24B5F" w:rsidRDefault="00000000">
            <w:r>
              <w:rPr>
                <w:sz w:val="18"/>
              </w:rPr>
              <w:t>≤ 2% decline</w:t>
            </w:r>
          </w:p>
        </w:tc>
        <w:tc>
          <w:tcPr>
            <w:tcW w:w="2160" w:type="dxa"/>
          </w:tcPr>
          <w:p w14:paraId="775115B6" w14:textId="77777777" w:rsidR="00D24B5F" w:rsidRDefault="00000000">
            <w:r>
              <w:rPr>
                <w:sz w:val="18"/>
              </w:rPr>
              <w:t>N/A</w:t>
            </w:r>
          </w:p>
        </w:tc>
        <w:tc>
          <w:tcPr>
            <w:tcW w:w="2160" w:type="dxa"/>
          </w:tcPr>
          <w:p w14:paraId="7CBADE7E" w14:textId="77777777" w:rsidR="00D24B5F" w:rsidRDefault="00000000">
            <w:r>
              <w:rPr>
                <w:sz w:val="18"/>
              </w:rPr>
              <w:t>&gt; 2% decline</w:t>
            </w:r>
          </w:p>
        </w:tc>
      </w:tr>
      <w:tr w:rsidR="00D24B5F" w14:paraId="535C23B5" w14:textId="77777777">
        <w:trPr>
          <w:jc w:val="center"/>
        </w:trPr>
        <w:tc>
          <w:tcPr>
            <w:tcW w:w="2160" w:type="dxa"/>
          </w:tcPr>
          <w:p w14:paraId="38A5C9BD" w14:textId="77777777" w:rsidR="00D24B5F" w:rsidRDefault="00000000">
            <w:r>
              <w:rPr>
                <w:sz w:val="18"/>
              </w:rPr>
              <w:t>Overall CVR (Q2)</w:t>
            </w:r>
          </w:p>
        </w:tc>
        <w:tc>
          <w:tcPr>
            <w:tcW w:w="2160" w:type="dxa"/>
          </w:tcPr>
          <w:p w14:paraId="4B3931B9" w14:textId="77777777" w:rsidR="00D24B5F" w:rsidRDefault="00000000">
            <w:r>
              <w:rPr>
                <w:sz w:val="18"/>
              </w:rPr>
              <w:t>≤ 2% decline</w:t>
            </w:r>
          </w:p>
        </w:tc>
        <w:tc>
          <w:tcPr>
            <w:tcW w:w="2160" w:type="dxa"/>
          </w:tcPr>
          <w:p w14:paraId="6C356CC8" w14:textId="77777777" w:rsidR="00D24B5F" w:rsidRDefault="00000000">
            <w:r>
              <w:rPr>
                <w:sz w:val="18"/>
              </w:rPr>
              <w:t>N/A</w:t>
            </w:r>
          </w:p>
        </w:tc>
        <w:tc>
          <w:tcPr>
            <w:tcW w:w="2160" w:type="dxa"/>
          </w:tcPr>
          <w:p w14:paraId="589B280B" w14:textId="77777777" w:rsidR="00D24B5F" w:rsidRDefault="00000000">
            <w:r>
              <w:rPr>
                <w:sz w:val="18"/>
              </w:rPr>
              <w:t>&gt; 2% decline</w:t>
            </w:r>
          </w:p>
        </w:tc>
      </w:tr>
      <w:tr w:rsidR="00D24B5F" w14:paraId="7D5D9750" w14:textId="77777777">
        <w:trPr>
          <w:jc w:val="center"/>
        </w:trPr>
        <w:tc>
          <w:tcPr>
            <w:tcW w:w="2160" w:type="dxa"/>
          </w:tcPr>
          <w:p w14:paraId="10D2BE4F" w14:textId="77777777" w:rsidR="00D24B5F" w:rsidRDefault="00000000">
            <w:r>
              <w:rPr>
                <w:sz w:val="18"/>
              </w:rPr>
              <w:t>NDCG@K (Q3)</w:t>
            </w:r>
          </w:p>
        </w:tc>
        <w:tc>
          <w:tcPr>
            <w:tcW w:w="2160" w:type="dxa"/>
          </w:tcPr>
          <w:p w14:paraId="7FDB9138" w14:textId="77777777" w:rsidR="00D24B5F" w:rsidRDefault="00000000">
            <w:r>
              <w:rPr>
                <w:sz w:val="18"/>
              </w:rPr>
              <w:t>≤ 5% decline</w:t>
            </w:r>
          </w:p>
        </w:tc>
        <w:tc>
          <w:tcPr>
            <w:tcW w:w="2160" w:type="dxa"/>
          </w:tcPr>
          <w:p w14:paraId="255F1E36" w14:textId="77777777" w:rsidR="00D24B5F" w:rsidRDefault="00000000">
            <w:r>
              <w:rPr>
                <w:sz w:val="18"/>
              </w:rPr>
              <w:t>N/A</w:t>
            </w:r>
          </w:p>
        </w:tc>
        <w:tc>
          <w:tcPr>
            <w:tcW w:w="2160" w:type="dxa"/>
          </w:tcPr>
          <w:p w14:paraId="4D16C3AD" w14:textId="77777777" w:rsidR="00D24B5F" w:rsidRDefault="00000000">
            <w:r>
              <w:rPr>
                <w:sz w:val="18"/>
              </w:rPr>
              <w:t>&gt; 5% decline</w:t>
            </w:r>
          </w:p>
        </w:tc>
      </w:tr>
    </w:tbl>
    <w:p w14:paraId="0A82E59B" w14:textId="77777777" w:rsidR="00D24B5F" w:rsidRDefault="00D24B5F"/>
    <w:p w14:paraId="5AAF236E" w14:textId="77777777" w:rsidR="00D24B5F" w:rsidRDefault="00000000">
      <w:r>
        <w:t>These thresholds are operational governance triggers used for audit triage and do not constitute legal conclusions.</w:t>
      </w:r>
    </w:p>
    <w:p w14:paraId="0BEF0EAD" w14:textId="77777777" w:rsidR="00D24B5F" w:rsidRDefault="00000000">
      <w:pPr>
        <w:pStyle w:val="Heading2"/>
      </w:pPr>
      <w:r>
        <w:rPr>
          <w:rFonts w:ascii="Times New Roman" w:hAnsi="Times New Roman"/>
          <w:color w:val="000000"/>
        </w:rPr>
        <w:t>7. Notes</w:t>
      </w:r>
    </w:p>
    <w:p w14:paraId="6D12C2E9" w14:textId="77777777" w:rsidR="00D24B5F" w:rsidRDefault="00000000">
      <w:pPr>
        <w:pStyle w:val="ListBullet"/>
      </w:pPr>
      <w:r>
        <w:t>All metrics computed at cohort level (Small/Large by listing volume quartile). Optional category stratification supported.</w:t>
      </w:r>
    </w:p>
    <w:p w14:paraId="03CC4A1A" w14:textId="77777777" w:rsidR="00D24B5F" w:rsidRDefault="00000000">
      <w:pPr>
        <w:pStyle w:val="ListBullet"/>
      </w:pPr>
      <w:r>
        <w:t>Default K = 10 (primary); K = 20 (robustness). Confidence intervals (95%) recommended for E1 and E2.</w:t>
      </w:r>
    </w:p>
    <w:p w14:paraId="4F4378AC" w14:textId="77777777" w:rsidR="00D24B5F" w:rsidRDefault="00000000">
      <w:pPr>
        <w:pStyle w:val="ListBullet"/>
      </w:pPr>
      <w:r>
        <w:t>When outcome data is unavailable, audit proceeds on exposure (E1–E3) and stability (S1–S2) metrics alone.</w:t>
      </w:r>
    </w:p>
    <w:p w14:paraId="6A794549" w14:textId="77777777" w:rsidR="00D24B5F" w:rsidRDefault="00000000">
      <w:pPr>
        <w:pStyle w:val="ListBullet"/>
      </w:pPr>
      <w:r>
        <w:t>Quality guardrails (Q1–Q3) apply only when fairness interventions are proposed or deployed.</w:t>
      </w:r>
    </w:p>
    <w:p w14:paraId="18199C21" w14:textId="54281184" w:rsidR="00D24B5F" w:rsidRDefault="00D24B5F"/>
    <w:sectPr w:rsidR="00D24B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0664026">
    <w:abstractNumId w:val="8"/>
  </w:num>
  <w:num w:numId="2" w16cid:durableId="304630497">
    <w:abstractNumId w:val="6"/>
  </w:num>
  <w:num w:numId="3" w16cid:durableId="1733850489">
    <w:abstractNumId w:val="5"/>
  </w:num>
  <w:num w:numId="4" w16cid:durableId="1502965076">
    <w:abstractNumId w:val="4"/>
  </w:num>
  <w:num w:numId="5" w16cid:durableId="1605769727">
    <w:abstractNumId w:val="7"/>
  </w:num>
  <w:num w:numId="6" w16cid:durableId="318995277">
    <w:abstractNumId w:val="3"/>
  </w:num>
  <w:num w:numId="7" w16cid:durableId="1541550089">
    <w:abstractNumId w:val="2"/>
  </w:num>
  <w:num w:numId="8" w16cid:durableId="62877788">
    <w:abstractNumId w:val="1"/>
  </w:num>
  <w:num w:numId="9" w16cid:durableId="1831749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6A40"/>
    <w:rsid w:val="009E4CCC"/>
    <w:rsid w:val="00A31ABC"/>
    <w:rsid w:val="00AA1D8D"/>
    <w:rsid w:val="00B47730"/>
    <w:rsid w:val="00BD426F"/>
    <w:rsid w:val="00CB0664"/>
    <w:rsid w:val="00CD3566"/>
    <w:rsid w:val="00D24B5F"/>
    <w:rsid w:val="00DF62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91D313"/>
  <w14:defaultImageDpi w14:val="300"/>
  <w15:docId w15:val="{C5094DF4-F596-4C4D-B1BD-BE2CE15F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773</Words>
  <Characters>4267</Characters>
  <Application>Microsoft Office Word</Application>
  <DocSecurity>0</DocSecurity>
  <Lines>266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Ieshika Chandra</cp:lastModifiedBy>
  <cp:revision>5</cp:revision>
  <dcterms:created xsi:type="dcterms:W3CDTF">2013-12-23T23:15:00Z</dcterms:created>
  <dcterms:modified xsi:type="dcterms:W3CDTF">2026-04-09T04:23:00Z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2026-03-03T00:12:49Z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db6d88f1-1e76-4fbc-ad7a-1118cbd78224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