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 xml:space="preserve">We selected the agentMom SRS, "Applying Broadcasting/Multicasting/Secured Communication to agentMom in Multi-Agent Systems," version 1.1. The ten requirements below comprise seven functional requirements and three non-functional requirements, giving balanced coverage of the three communication modes the project is built around — unicast, multicast and broadcast — plus the security layer applied on top of them and the architectural choice underneath them.</w:t>
      </w:r>
    </w:p>
    <w:p>
      <w:pPr>
        <w:spacing w:after="120" w:before="0" w:line="276"/>
      </w:pPr>
      <w:r>
        <w:rPr>
          <w:b/>
          <w:bCs/>
          <w:sz w:val="20"/>
          <w:szCs w:val="20"/>
        </w:rPr>
        <w:t xml:space="preserve">Scope coverage. </w:t>
      </w:r>
      <w:r>
        <w:rPr>
          <w:sz w:val="20"/>
          <w:szCs w:val="20"/>
        </w:rPr>
        <w:t xml:space="preserve">Section 3.2 of the SRS contains twenty-five numbered sub-requirements. All twenty-five are covered by the ten rows below: nothing in the specific requirements section is left out of scope. Thirteen of those sub-requirements are marked with an asterisk as Driving Requirements to be demonstrated by the end of phase II, and every Driving Requirement claim made in the table has been checked against the SRS individually.</w:t>
      </w:r>
    </w:p>
    <w:p>
      <w:pPr>
        <w:spacing w:after="120" w:before="0" w:line="276"/>
      </w:pPr>
      <w:r>
        <w:rPr>
          <w:b/>
          <w:bCs/>
          <w:sz w:val="20"/>
          <w:szCs w:val="20"/>
        </w:rPr>
        <w:t xml:space="preserve">Grouping rule. </w:t>
      </w:r>
      <w:r>
        <w:rPr>
          <w:sz w:val="20"/>
          <w:szCs w:val="20"/>
        </w:rPr>
        <w:t xml:space="preserve">The assignment allows complete management of one entity to count as a single FR. Each FR row below is built around one entity: the unicast message (FR1), the agent’s membership in a group (FR2), the multicast message (FR3), the broadcast message (FR4), the security state of a unicast message (FR5), the security state of a multicast message (FR6), and the conversation control architecture (FR7). Where several sub-requirements describe the lifecycle or configurable attributes of the same entity, they are grouped into one row on that basis, not for convenience of arriving at seven.</w:t>
      </w:r>
    </w:p>
    <w:p>
      <w:pPr>
        <w:spacing w:after="120" w:before="0" w:line="276"/>
      </w:pPr>
      <w:r>
        <w:rPr>
          <w:b/>
          <w:bCs/>
          <w:sz w:val="20"/>
          <w:szCs w:val="20"/>
        </w:rPr>
        <w:t xml:space="preserve">CRUD compliance. </w:t>
      </w:r>
      <w:r>
        <w:rPr>
          <w:sz w:val="20"/>
          <w:szCs w:val="20"/>
        </w:rPr>
        <w:t xml:space="preserve">None of the seven FRs is a pure CRUD operation, because the underlying SRS describes a messaging framework rather than a data-management system. Even on the strictest reading, in which joining and leaving a group is treated as create and delete of a membership record, that would make </w:t>
      </w:r>
      <w:r>
        <w:rPr>
          <w:i/>
          <w:iCs/>
          <w:sz w:val="20"/>
          <w:szCs w:val="20"/>
        </w:rPr>
        <w:t xml:space="preserve">one</w:t>
      </w:r>
      <w:r>
        <w:rPr>
          <w:sz w:val="20"/>
          <w:szCs w:val="20"/>
        </w:rPr>
        <w:t xml:space="preserve"> of seven FRs a CRUD requirement — comfortably inside the limit of three. On our reading it is not CRUD at all, because the requirement’s substance is the delivery decision it drives, not the storage of a record.</w:t>
      </w:r>
    </w:p>
    <w:p>
      <w:pPr>
        <w:spacing w:after="200" w:before="0" w:line="276"/>
      </w:pPr>
      <w:r>
        <w:rPr>
          <w:b/>
          <w:bCs/>
          <w:sz w:val="20"/>
          <w:szCs w:val="20"/>
        </w:rPr>
        <w:t xml:space="preserve">Classification scheme. </w:t>
      </w:r>
      <w:r>
        <w:rPr>
          <w:sz w:val="20"/>
          <w:szCs w:val="20"/>
        </w:rPr>
        <w:t xml:space="preserve">Every assumption in the Defence / basis column carries exactly one of the three labels the assignment permits: supported by the SRS, justified by an explicit design decision, or unsupported. Where a single behaviour rested on more than one assumption, it has been split into separately numbered sub-assumptions (A1.1, A1.2, and so on) so that each carries one unambiguous label. No hybrid or partial classifications are used, and no unsupported assumption is concealed inside a supported one.</w:t>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shd w:fill="DCE6F1" w:color="auto" w:val="clear"/>
            <w:tcMar>
              <w:top w:type="dxa" w:w="80"/>
              <w:left w:type="dxa" w:w="100"/>
              <w:bottom w:type="dxa" w:w="80"/>
              <w:right w:type="dxa" w:w="100"/>
            </w:tcMar>
          </w:tcPr>
          <w:p>
            <w:pPr>
              <w:spacing w:after="60" w:line="240"/>
            </w:pPr>
            <w:r>
              <w:rPr>
                <w:b/>
                <w:bCs/>
                <w:sz w:val="17"/>
                <w:szCs w:val="17"/>
              </w:rPr>
              <w:t xml:space="preserve">Req. ID</w:t>
            </w:r>
          </w:p>
        </w:tc>
        <w:tc>
          <w:tcPr>
            <w:tcW w:type="dxa" w:w="1200"/>
            <w:shd w:fill="DCE6F1" w:color="auto" w:val="clear"/>
            <w:tcMar>
              <w:top w:type="dxa" w:w="80"/>
              <w:left w:type="dxa" w:w="100"/>
              <w:bottom w:type="dxa" w:w="80"/>
              <w:right w:type="dxa" w:w="100"/>
            </w:tcMar>
          </w:tcPr>
          <w:p>
            <w:pPr>
              <w:spacing w:after="60" w:line="240"/>
            </w:pPr>
            <w:r>
              <w:rPr>
                <w:b/>
                <w:bCs/>
                <w:sz w:val="17"/>
                <w:szCs w:val="17"/>
              </w:rPr>
              <w:t xml:space="preserve">Type</w:t>
            </w:r>
          </w:p>
        </w:tc>
        <w:tc>
          <w:tcPr>
            <w:tcW w:type="dxa" w:w="2900"/>
            <w:shd w:fill="DCE6F1" w:color="auto" w:val="clear"/>
            <w:tcMar>
              <w:top w:type="dxa" w:w="80"/>
              <w:left w:type="dxa" w:w="100"/>
              <w:bottom w:type="dxa" w:w="80"/>
              <w:right w:type="dxa" w:w="100"/>
            </w:tcMar>
          </w:tcPr>
          <w:p>
            <w:pPr>
              <w:spacing w:after="60" w:line="240"/>
            </w:pPr>
            <w:r>
              <w:rPr>
                <w:b/>
                <w:bCs/>
                <w:sz w:val="17"/>
                <w:szCs w:val="17"/>
              </w:rPr>
              <w:t xml:space="preserve">Requirement (brief)</w:t>
            </w:r>
          </w:p>
        </w:tc>
        <w:tc>
          <w:tcPr>
            <w:tcW w:type="dxa" w:w="2700"/>
            <w:shd w:fill="DCE6F1" w:color="auto" w:val="clear"/>
            <w:tcMar>
              <w:top w:type="dxa" w:w="80"/>
              <w:left w:type="dxa" w:w="100"/>
              <w:bottom w:type="dxa" w:w="80"/>
              <w:right w:type="dxa" w:w="100"/>
            </w:tcMar>
          </w:tcPr>
          <w:p>
            <w:pPr>
              <w:spacing w:after="60" w:line="240"/>
            </w:pPr>
            <w:r>
              <w:rPr>
                <w:b/>
                <w:bCs/>
                <w:sz w:val="17"/>
                <w:szCs w:val="17"/>
              </w:rPr>
              <w:t xml:space="preserve">Why selected / risk</w:t>
            </w:r>
          </w:p>
        </w:tc>
        <w:tc>
          <w:tcPr>
            <w:tcW w:type="dxa" w:w="2760"/>
            <w:shd w:fill="DCE6F1" w:color="auto" w:val="clear"/>
            <w:tcMar>
              <w:top w:type="dxa" w:w="80"/>
              <w:left w:type="dxa" w:w="100"/>
              <w:bottom w:type="dxa" w:w="80"/>
              <w:right w:type="dxa" w:w="100"/>
            </w:tcMar>
          </w:tcPr>
          <w:p>
            <w:pPr>
              <w:spacing w:after="60" w:line="240"/>
            </w:pPr>
            <w:r>
              <w:rPr>
                <w:b/>
                <w:bCs/>
                <w:sz w:val="17"/>
                <w:szCs w:val="17"/>
              </w:rPr>
              <w:t xml:space="preserve">AI assumption</w:t>
            </w:r>
          </w:p>
        </w:tc>
        <w:tc>
          <w:tcPr>
            <w:tcW w:type="dxa" w:w="2250"/>
            <w:shd w:fill="DCE6F1" w:color="auto" w:val="clear"/>
            <w:tcMar>
              <w:top w:type="dxa" w:w="80"/>
              <w:left w:type="dxa" w:w="100"/>
              <w:bottom w:type="dxa" w:w="80"/>
              <w:right w:type="dxa" w:w="100"/>
            </w:tcMar>
          </w:tcPr>
          <w:p>
            <w:pPr>
              <w:spacing w:after="60" w:line="240"/>
            </w:pPr>
            <w:r>
              <w:rPr>
                <w:b/>
                <w:bCs/>
                <w:sz w:val="17"/>
                <w:szCs w:val="17"/>
              </w:rPr>
              <w:t xml:space="preserve">Defence / basis</w:t>
            </w:r>
          </w:p>
        </w:tc>
      </w:tr>
      <w:tr>
        <w:tc>
          <w:tcPr>
            <w:tcW w:type="dxa" w:w="1150"/>
            <w:tcMar>
              <w:top w:type="dxa" w:w="80"/>
              <w:left w:type="dxa" w:w="100"/>
              <w:bottom w:type="dxa" w:w="80"/>
              <w:right w:type="dxa" w:w="100"/>
            </w:tcMar>
          </w:tcPr>
          <w:p>
            <w:pPr>
              <w:spacing w:after="60" w:line="240"/>
            </w:pPr>
            <w:r>
              <w:rPr>
                <w:b/>
                <w:bCs/>
                <w:sz w:val="16"/>
                <w:szCs w:val="16"/>
              </w:rPr>
              <w:t xml:space="preserve">3.2.1.1 –</w:t>
            </w:r>
          </w:p>
          <w:p>
            <w:pPr>
              <w:spacing w:after="60" w:line="240"/>
            </w:pPr>
            <w:r>
              <w:rPr>
                <w:b/>
                <w:bCs/>
                <w:sz w:val="16"/>
                <w:szCs w:val="16"/>
              </w:rPr>
              <w:t xml:space="preserve">3.2.1.4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unicast message. Send and receive are its lifecycle; addressing and ordering are the rules governing it — one FR under the assignment’s grouping rule.</w:t>
            </w:r>
          </w:p>
          <w:p>
            <w:pPr>
              <w:spacing w:after="60" w:line="240"/>
            </w:pPr>
            <w:r>
              <w:rPr>
                <w:sz w:val="16"/>
                <w:szCs w:val="16"/>
              </w:rPr>
              <w:t xml:space="preserve">3.2.1.1 and 3.2.1.2 are Driving Requirements.</w:t>
            </w:r>
          </w:p>
          <w:p>
            <w:pPr>
              <w:spacing w:after="60" w:line="240"/>
            </w:pPr>
            <w:r>
              <w:rPr>
                <w:b/>
                <w:bCs/>
                <w:sz w:val="16"/>
                <w:szCs w:val="16"/>
              </w:rPr>
              <w:t xml:space="preserve">Risk: </w:t>
            </w:r>
            <w:r>
              <w:rPr>
                <w:sz w:val="16"/>
                <w:szCs w:val="16"/>
              </w:rPr>
              <w:t xml:space="preserve">TCP guarantees ordering </w:t>
            </w:r>
            <w:r>
              <w:rPr>
                <w:i/>
                <w:iCs/>
                <w:sz w:val="16"/>
                <w:szCs w:val="16"/>
              </w:rPr>
              <w:t xml:space="preserve">per connection</w:t>
            </w:r>
            <w:r>
              <w:rPr>
                <w:sz w:val="16"/>
                <w:szCs w:val="16"/>
              </w:rPr>
              <w:t xml:space="preserve"> only. The SRS never specifies connection lifecycle, so ordering across a reconnection is undefined.</w:t>
            </w:r>
          </w:p>
        </w:tc>
        <w:tc>
          <w:tcPr>
            <w:tcW w:type="dxa" w:w="2760"/>
            <w:tcMar>
              <w:top w:type="dxa" w:w="80"/>
              <w:left w:type="dxa" w:w="100"/>
              <w:bottom w:type="dxa" w:w="80"/>
              <w:right w:type="dxa" w:w="100"/>
            </w:tcMar>
          </w:tcPr>
          <w:p>
            <w:pPr>
              <w:spacing w:after="60" w:line="240"/>
            </w:pPr>
            <w:r>
              <w:rPr>
                <w:b/>
                <w:bCs/>
                <w:sz w:val="16"/>
                <w:szCs w:val="16"/>
              </w:rPr>
              <w:t xml:space="preserve">A1.1 </w:t>
            </w:r>
            <w:r>
              <w:rPr>
                <w:sz w:val="16"/>
                <w:szCs w:val="16"/>
              </w:rPr>
              <w:t xml:space="preserve">TCP is the unicast transport.</w:t>
            </w:r>
          </w:p>
          <w:p>
            <w:pPr>
              <w:spacing w:after="6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80"/>
              <w:left w:type="dxa" w:w="100"/>
              <w:bottom w:type="dxa" w:w="80"/>
              <w:right w:type="dxa" w:w="100"/>
            </w:tcMar>
          </w:tcPr>
          <w:p>
            <w:pPr>
              <w:spacing w:after="60" w:line="240"/>
            </w:pPr>
            <w:r>
              <w:rPr>
                <w:sz w:val="16"/>
                <w:szCs w:val="16"/>
              </w:rPr>
              <w:t xml:space="preserve">A1.1 — </w:t>
            </w:r>
            <w:r>
              <w:rPr>
                <w:b/>
                <w:bCs/>
                <w:color w:val="1F6F3C"/>
                <w:sz w:val="16"/>
                <w:szCs w:val="16"/>
              </w:rPr>
              <w:t xml:space="preserve">Supported by SRS</w:t>
            </w:r>
            <w:r>
              <w:rPr>
                <w:sz w:val="16"/>
                <w:szCs w:val="16"/>
              </w:rPr>
              <w:t xml:space="preserve"> (2.1.2 states TCP/IP is used for unicast).</w:t>
            </w:r>
          </w:p>
          <w:p>
            <w:pPr>
              <w:spacing w:after="60" w:line="240"/>
            </w:pPr>
            <w:r>
              <w:rPr>
                <w:sz w:val="16"/>
                <w:szCs w:val="16"/>
              </w:rPr>
              <w:t xml:space="preserve">A1.2 — </w:t>
            </w:r>
            <w:r>
              <w:rPr>
                <w:b/>
                <w:bCs/>
                <w:color w:val="8A5300"/>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80"/>
              <w:left w:type="dxa" w:w="100"/>
              <w:bottom w:type="dxa" w:w="80"/>
              <w:right w:type="dxa" w:w="100"/>
            </w:tcMar>
          </w:tcPr>
          <w:p>
            <w:pPr>
              <w:spacing w:after="60" w:line="240"/>
            </w:pPr>
            <w:r>
              <w:rPr>
                <w:b/>
                <w:bCs/>
                <w:sz w:val="16"/>
                <w:szCs w:val="16"/>
              </w:rPr>
              <w:t xml:space="preserve">3.2.2.3 –</w:t>
            </w:r>
          </w:p>
          <w:p>
            <w:pPr>
              <w:spacing w:after="60" w:line="240"/>
            </w:pPr>
            <w:r>
              <w:rPr>
                <w:b/>
                <w:bCs/>
                <w:sz w:val="16"/>
                <w:szCs w:val="16"/>
              </w:rPr>
              <w:t xml:space="preserve">3.2.2.6,</w:t>
            </w:r>
          </w:p>
          <w:p>
            <w:pPr>
              <w:spacing w:after="60" w:line="240"/>
            </w:pPr>
            <w:r>
              <w:rPr>
                <w:b/>
                <w:bCs/>
                <w:sz w:val="16"/>
                <w:szCs w:val="16"/>
              </w:rPr>
              <w:t xml:space="preserve">3.2.2.9</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agent’s membership state in a group. 3.2.2.3 and 3.2.2.4 are Driving Requirements.</w:t>
            </w:r>
          </w:p>
          <w:p>
            <w:pPr>
              <w:spacing w:after="60" w:line="240"/>
            </w:pPr>
            <w:r>
              <w:rPr>
                <w:sz w:val="16"/>
                <w:szCs w:val="16"/>
              </w:rPr>
              <w:t xml:space="preserve">Not CRUD: the substance is the delivery </w:t>
            </w:r>
            <w:r>
              <w:rPr>
                <w:i/>
                <w:iCs/>
                <w:sz w:val="16"/>
                <w:szCs w:val="16"/>
              </w:rPr>
              <w:t xml:space="preserve">decision</w:t>
            </w:r>
            <w:r>
              <w:rPr>
                <w:sz w:val="16"/>
                <w:szCs w:val="16"/>
              </w:rPr>
              <w:t xml:space="preserve"> driven by membership (3.2.2.5/3.2.2.6), not the storage of a membership record.</w:t>
            </w:r>
          </w:p>
          <w:p>
            <w:pPr>
              <w:spacing w:after="60" w:line="240"/>
            </w:pPr>
            <w:r>
              <w:rPr>
                <w:sz w:val="16"/>
                <w:szCs w:val="16"/>
              </w:rPr>
              <w:t xml:space="preserve">3.2.2.9 is grouped here rather than with messaging because simultaneous multi-group receive is a property of membership; it cannot be tested in isolation from join.</w:t>
            </w:r>
          </w:p>
          <w:p>
            <w:pPr>
              <w:spacing w:after="60" w:line="240"/>
            </w:pPr>
            <w:r>
              <w:rPr>
                <w:b/>
                <w:bCs/>
                <w:sz w:val="16"/>
                <w:szCs w:val="16"/>
              </w:rPr>
              <w:t xml:space="preserve">Risk: </w:t>
            </w:r>
            <w:r>
              <w:rPr>
                <w:sz w:val="16"/>
                <w:szCs w:val="16"/>
              </w:rPr>
              <w:t xml:space="preserve">a leave request and an inbound datagram arriving in the same event-loop tick.</w:t>
            </w:r>
          </w:p>
        </w:tc>
        <w:tc>
          <w:tcPr>
            <w:tcW w:type="dxa" w:w="2760"/>
            <w:tcMar>
              <w:top w:type="dxa" w:w="80"/>
              <w:left w:type="dxa" w:w="100"/>
              <w:bottom w:type="dxa" w:w="80"/>
              <w:right w:type="dxa" w:w="100"/>
            </w:tcMar>
          </w:tcPr>
          <w:p>
            <w:pPr>
              <w:spacing w:after="60" w:line="240"/>
            </w:pPr>
            <w:r>
              <w:rPr>
                <w:b/>
                <w:bCs/>
                <w:sz w:val="16"/>
                <w:szCs w:val="16"/>
              </w:rPr>
              <w:t xml:space="preserve">A2.1 </w:t>
            </w:r>
            <w:r>
              <w:rPr>
                <w:sz w:val="16"/>
                <w:szCs w:val="16"/>
              </w:rPr>
              <w:t xml:space="preserve">Leave takes effect immediately —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6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80"/>
              <w:left w:type="dxa" w:w="100"/>
              <w:bottom w:type="dxa" w:w="80"/>
              <w:right w:type="dxa" w:w="100"/>
            </w:tcMar>
          </w:tcPr>
          <w:p>
            <w:pPr>
              <w:spacing w:after="60" w:line="240"/>
            </w:pPr>
            <w:r>
              <w:rPr>
                <w:sz w:val="16"/>
                <w:szCs w:val="16"/>
              </w:rPr>
              <w:t xml:space="preserve">A2.1 — </w:t>
            </w:r>
            <w:r>
              <w:rPr>
                <w:b/>
                <w:bCs/>
                <w:color w:val="8A5300"/>
                <w:sz w:val="16"/>
                <w:szCs w:val="16"/>
              </w:rPr>
              <w:t xml:space="preserve">Design decision</w:t>
            </w:r>
            <w:r>
              <w:rPr>
                <w:sz w:val="16"/>
                <w:szCs w:val="16"/>
              </w:rPr>
              <w:t xml:space="preserve">. The SRS does not describe what happens to messages already in transit during a leave; this behaviour was decided by us.</w:t>
            </w:r>
          </w:p>
          <w:p>
            <w:pPr>
              <w:spacing w:after="60" w:line="240"/>
            </w:pPr>
            <w:r>
              <w:rPr>
                <w:sz w:val="16"/>
                <w:szCs w:val="16"/>
              </w:rPr>
              <w:t xml:space="preserve">A2.2 — </w:t>
            </w:r>
            <w:r>
              <w:rPr>
                <w:b/>
                <w:bCs/>
                <w:color w:val="8A5300"/>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80"/>
              <w:left w:type="dxa" w:w="100"/>
              <w:bottom w:type="dxa" w:w="80"/>
              <w:right w:type="dxa" w:w="100"/>
            </w:tcMar>
          </w:tcPr>
          <w:p>
            <w:pPr>
              <w:spacing w:after="60" w:line="240"/>
            </w:pPr>
            <w:r>
              <w:rPr>
                <w:b/>
                <w:bCs/>
                <w:sz w:val="16"/>
                <w:szCs w:val="16"/>
              </w:rPr>
              <w:t xml:space="preserve">3.2.2.1,</w:t>
            </w:r>
          </w:p>
          <w:p>
            <w:pPr>
              <w:spacing w:after="60" w:line="240"/>
            </w:pPr>
            <w:r>
              <w:rPr>
                <w:b/>
                <w:bCs/>
                <w:sz w:val="16"/>
                <w:szCs w:val="16"/>
              </w:rPr>
              <w:t xml:space="preserve">3.2.2.2,</w:t>
            </w:r>
          </w:p>
          <w:p>
            <w:pPr>
              <w:spacing w:after="60" w:line="240"/>
            </w:pPr>
            <w:r>
              <w:rPr>
                <w:b/>
                <w:bCs/>
                <w:sz w:val="16"/>
                <w:szCs w:val="16"/>
              </w:rPr>
              <w:t xml:space="preserve">3.2.2.7,</w:t>
            </w:r>
          </w:p>
          <w:p>
            <w:pPr>
              <w:spacing w:after="60" w:line="240"/>
            </w:pPr>
            <w:r>
              <w:rPr>
                <w:b/>
                <w:bCs/>
                <w:sz w:val="16"/>
                <w:szCs w:val="16"/>
              </w:rPr>
              <w:t xml:space="preserve">3.2.2.8</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multicast message. Send and receive are its lifecycle; TTL and destination address/port are its attributes, configured at send time — the same structure that makes create/view/edit/delete of one record a single FR.</w:t>
            </w:r>
          </w:p>
          <w:p>
            <w:pPr>
              <w:spacing w:after="60" w:line="240"/>
            </w:pPr>
            <w:r>
              <w:rPr>
                <w:sz w:val="16"/>
                <w:szCs w:val="16"/>
              </w:rPr>
              <w:t xml:space="preserve">3.2.2.1 and 3.2.2.2 are Driving Requirements.</w:t>
            </w:r>
          </w:p>
          <w:p>
            <w:pPr>
              <w:spacing w:after="60" w:line="240"/>
            </w:pPr>
            <w:r>
              <w:rPr>
                <w:b/>
                <w:bCs/>
                <w:sz w:val="16"/>
                <w:szCs w:val="16"/>
              </w:rPr>
              <w:t xml:space="preserve">Risk: </w:t>
            </w:r>
            <w:r>
              <w:rPr>
                <w:sz w:val="16"/>
                <w:szCs w:val="16"/>
              </w:rPr>
              <w:t xml:space="preserve">SRS §1.3 defines TTL as router hop count. On a single-host test bed no router is traversed, so TTL has no observable network-level effect and cannot be demonstrated as the SRS defines it.</w:t>
            </w:r>
          </w:p>
        </w:tc>
        <w:tc>
          <w:tcPr>
            <w:tcW w:type="dxa" w:w="2760"/>
            <w:tcMar>
              <w:top w:type="dxa" w:w="80"/>
              <w:left w:type="dxa" w:w="100"/>
              <w:bottom w:type="dxa" w:w="80"/>
              <w:right w:type="dxa" w:w="100"/>
            </w:tcMar>
          </w:tcPr>
          <w:p>
            <w:pPr>
              <w:spacing w:after="60" w:line="240"/>
            </w:pPr>
            <w:r>
              <w:rPr>
                <w:b/>
                <w:bCs/>
                <w:sz w:val="16"/>
                <w:szCs w:val="16"/>
              </w:rPr>
              <w:t xml:space="preserve">A3.1 </w:t>
            </w:r>
            <w:r>
              <w:rPr>
                <w:sz w:val="16"/>
                <w:szCs w:val="16"/>
              </w:rPr>
              <w:t xml:space="preserve">A default TTL applies when the sender does not set one.</w:t>
            </w:r>
          </w:p>
          <w:p>
            <w:pPr>
              <w:spacing w:after="6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6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80"/>
              <w:left w:type="dxa" w:w="100"/>
              <w:bottom w:type="dxa" w:w="80"/>
              <w:right w:type="dxa" w:w="100"/>
            </w:tcMar>
          </w:tcPr>
          <w:p>
            <w:pPr>
              <w:spacing w:after="60" w:line="240"/>
            </w:pPr>
            <w:r>
              <w:rPr>
                <w:sz w:val="16"/>
                <w:szCs w:val="16"/>
              </w:rPr>
              <w:t xml:space="preserve">A3.1 — </w:t>
            </w:r>
            <w:r>
              <w:rPr>
                <w:b/>
                <w:bCs/>
                <w:color w:val="A11212"/>
                <w:sz w:val="16"/>
                <w:szCs w:val="16"/>
              </w:rPr>
              <w:t xml:space="preserve">Unsupported</w:t>
            </w:r>
            <w:r>
              <w:rPr>
                <w:sz w:val="16"/>
                <w:szCs w:val="16"/>
              </w:rPr>
              <w:t xml:space="preserve">. The SRS requires the ability to set a TTL but is silent on a default, so this value was introduced during development.</w:t>
            </w:r>
          </w:p>
          <w:p>
            <w:pPr>
              <w:spacing w:after="60" w:line="240"/>
            </w:pPr>
            <w:r>
              <w:rPr>
                <w:sz w:val="16"/>
                <w:szCs w:val="16"/>
              </w:rPr>
              <w:t xml:space="preserve">A3.2 — </w:t>
            </w:r>
            <w:r>
              <w:rPr>
                <w:b/>
                <w:bCs/>
                <w:color w:val="8A5300"/>
                <w:sz w:val="16"/>
                <w:szCs w:val="16"/>
              </w:rPr>
              <w:t xml:space="preserve">Design decision</w:t>
            </w:r>
            <w:r>
              <w:rPr>
                <w:sz w:val="16"/>
                <w:szCs w:val="16"/>
              </w:rPr>
              <w:t xml:space="preserve">, explicitly noted as diverging from §1.3. It exists only because the SRS mechanism is unobservable on one host.</w:t>
            </w:r>
          </w:p>
          <w:p>
            <w:pPr>
              <w:spacing w:after="60" w:line="240"/>
            </w:pPr>
            <w:r>
              <w:rPr>
                <w:sz w:val="16"/>
                <w:szCs w:val="16"/>
              </w:rPr>
              <w:t xml:space="preserve">A3.3 — </w:t>
            </w:r>
            <w:r>
              <w:rPr>
                <w:b/>
                <w:bCs/>
                <w:color w:val="8A5300"/>
                <w:sz w:val="16"/>
                <w:szCs w:val="16"/>
              </w:rPr>
              <w:t xml:space="preserve">Design decision</w:t>
            </w:r>
            <w:r>
              <w:rPr>
                <w:sz w:val="16"/>
                <w:szCs w:val="16"/>
              </w:rPr>
              <w:t xml:space="preserve">. An implementation safety rail, not SRS-derived.</w:t>
            </w:r>
          </w:p>
        </w:tc>
      </w:tr>
      <w:tr>
        <w:tc>
          <w:tcPr>
            <w:tcW w:type="dxa" w:w="1150"/>
            <w:tcMar>
              <w:top w:type="dxa" w:w="80"/>
              <w:left w:type="dxa" w:w="100"/>
              <w:bottom w:type="dxa" w:w="80"/>
              <w:right w:type="dxa" w:w="100"/>
            </w:tcMar>
          </w:tcPr>
          <w:p>
            <w:pPr>
              <w:spacing w:after="60" w:line="240"/>
            </w:pPr>
            <w:r>
              <w:rPr>
                <w:b/>
                <w:bCs/>
                <w:sz w:val="16"/>
                <w:szCs w:val="16"/>
              </w:rPr>
              <w:t xml:space="preserve">3.2.3.1,</w:t>
            </w:r>
          </w:p>
          <w:p>
            <w:pPr>
              <w:spacing w:after="60" w:line="240"/>
            </w:pPr>
            <w:r>
              <w:rPr>
                <w:b/>
                <w:bCs/>
                <w:sz w:val="16"/>
                <w:szCs w:val="16"/>
              </w:rPr>
              <w:t xml:space="preserve">3.2.3.2,</w:t>
            </w:r>
          </w:p>
          <w:p>
            <w:pPr>
              <w:spacing w:after="60" w:line="240"/>
            </w:pPr>
            <w:r>
              <w:rPr>
                <w:b/>
                <w:bCs/>
                <w:sz w:val="16"/>
                <w:szCs w:val="16"/>
              </w:rPr>
              <w:t xml:space="preserve">3.2.3.3 †</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80"/>
              <w:left w:type="dxa" w:w="100"/>
              <w:bottom w:type="dxa" w:w="80"/>
              <w:right w:type="dxa" w:w="100"/>
            </w:tcMar>
          </w:tcPr>
          <w:p>
            <w:pPr>
              <w:spacing w:after="60" w:line="240"/>
            </w:pPr>
            <w:r>
              <w:rPr>
                <w:sz w:val="16"/>
                <w:szCs w:val="16"/>
              </w:rPr>
              <w:t xml:space="preserve">All three sub-requirements are Driving Requirements.</w:t>
            </w:r>
          </w:p>
          <w:p>
            <w:pPr>
              <w:spacing w:after="60" w:line="240"/>
            </w:pPr>
            <w:r>
              <w:rPr>
                <w:b/>
                <w:bCs/>
                <w:sz w:val="16"/>
                <w:szCs w:val="16"/>
              </w:rPr>
              <w:t xml:space="preserve">Wording: </w:t>
            </w:r>
            <w:r>
              <w:rPr>
                <w:sz w:val="16"/>
                <w:szCs w:val="16"/>
              </w:rPr>
              <w:t xml:space="preserve">the SRS says a message shall be </w:t>
            </w:r>
            <w:r>
              <w:rPr>
                <w:i/>
                <w:iCs/>
                <w:sz w:val="16"/>
                <w:szCs w:val="16"/>
              </w:rPr>
              <w:t xml:space="preserve">sent to</w:t>
            </w:r>
            <w:r>
              <w:rPr>
                <w:sz w:val="16"/>
                <w:szCs w:val="16"/>
              </w:rPr>
              <w:t xml:space="preserve"> all hosts, not that it shall </w:t>
            </w:r>
            <w:r>
              <w:rPr>
                <w:i/>
                <w:iCs/>
                <w:sz w:val="16"/>
                <w:szCs w:val="16"/>
              </w:rPr>
              <w:t xml:space="preserve">reach</w:t>
            </w:r>
            <w:r>
              <w:rPr>
                <w:sz w:val="16"/>
                <w:szCs w:val="16"/>
              </w:rPr>
              <w:t xml:space="preserve"> them. This is consistent with 2.4.1, which permits delivery to none. We assert the send, not the delivery.</w:t>
            </w:r>
          </w:p>
          <w:p>
            <w:pPr>
              <w:spacing w:after="60" w:line="240"/>
            </w:pPr>
            <w:r>
              <w:rPr>
                <w:b/>
                <w:bCs/>
                <w:sz w:val="16"/>
                <w:szCs w:val="16"/>
              </w:rPr>
              <w:t xml:space="preserve">Risk: </w:t>
            </w:r>
            <w:r>
              <w:rPr>
                <w:sz w:val="16"/>
                <w:szCs w:val="16"/>
              </w:rPr>
              <w:t xml:space="preserve">constraint 2.4.4 warns broadcast may be administrator-only. On a single-machine test bed “all possible hosts” cannot be enumerated, so 3.2.3.3 is not verifiable at network scale.</w:t>
            </w:r>
          </w:p>
        </w:tc>
        <w:tc>
          <w:tcPr>
            <w:tcW w:type="dxa" w:w="2760"/>
            <w:tcMar>
              <w:top w:type="dxa" w:w="80"/>
              <w:left w:type="dxa" w:w="100"/>
              <w:bottom w:type="dxa" w:w="80"/>
              <w:right w:type="dxa" w:w="100"/>
            </w:tcMar>
          </w:tcPr>
          <w:p>
            <w:pPr>
              <w:spacing w:after="6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6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80"/>
              <w:left w:type="dxa" w:w="100"/>
              <w:bottom w:type="dxa" w:w="80"/>
              <w:right w:type="dxa" w:w="100"/>
            </w:tcMar>
          </w:tcPr>
          <w:p>
            <w:pPr>
              <w:spacing w:after="60" w:line="240"/>
            </w:pPr>
            <w:r>
              <w:rPr>
                <w:sz w:val="16"/>
                <w:szCs w:val="16"/>
              </w:rPr>
              <w:t xml:space="preserve">A4.1 — </w:t>
            </w:r>
            <w:r>
              <w:rPr>
                <w:b/>
                <w:bCs/>
                <w:color w:val="8A5300"/>
                <w:sz w:val="16"/>
                <w:szCs w:val="16"/>
              </w:rPr>
              <w:t xml:space="preserve">Design decision</w:t>
            </w:r>
            <w:r>
              <w:rPr>
                <w:sz w:val="16"/>
                <w:szCs w:val="16"/>
              </w:rPr>
              <w:t xml:space="preserve">. The SRS names no broadcast address.</w:t>
            </w:r>
          </w:p>
          <w:p>
            <w:pPr>
              <w:spacing w:after="60" w:line="240"/>
            </w:pPr>
            <w:r>
              <w:rPr>
                <w:sz w:val="16"/>
                <w:szCs w:val="16"/>
              </w:rPr>
              <w:t xml:space="preserve">A4.2 — </w:t>
            </w:r>
            <w:r>
              <w:rPr>
                <w:b/>
                <w:bCs/>
                <w:color w:val="A11212"/>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80"/>
              <w:left w:type="dxa" w:w="100"/>
              <w:bottom w:type="dxa" w:w="80"/>
              <w:right w:type="dxa" w:w="100"/>
            </w:tcMar>
          </w:tcPr>
          <w:p>
            <w:pPr>
              <w:spacing w:after="60" w:line="240"/>
            </w:pPr>
            <w:r>
              <w:rPr>
                <w:b/>
                <w:bCs/>
                <w:sz w:val="16"/>
                <w:szCs w:val="16"/>
              </w:rPr>
              <w:t xml:space="preserve">3.2.4.1 –</w:t>
            </w:r>
          </w:p>
          <w:p>
            <w:pPr>
              <w:spacing w:after="60" w:line="240"/>
            </w:pPr>
            <w:r>
              <w:rPr>
                <w:b/>
                <w:bCs/>
                <w:sz w:val="16"/>
                <w:szCs w:val="16"/>
              </w:rPr>
              <w:t xml:space="preserve">3.2.4.4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security state of a unicast message — applying it, removing it, and who decides.</w:t>
            </w:r>
          </w:p>
          <w:p>
            <w:pPr>
              <w:spacing w:after="60" w:line="240"/>
            </w:pPr>
            <w:r>
              <w:rPr>
                <w:sz w:val="16"/>
                <w:szCs w:val="16"/>
              </w:rPr>
              <w:t xml:space="preserve">3.2.4.1 and 3.2.4.2 are Driving Requirements.</w:t>
            </w:r>
          </w:p>
          <w:p>
            <w:pPr>
              <w:spacing w:after="60" w:line="240"/>
            </w:pPr>
            <w:r>
              <w:rPr>
                <w:b/>
                <w:bCs/>
                <w:sz w:val="16"/>
                <w:szCs w:val="16"/>
              </w:rPr>
              <w:t xml:space="preserve">Risk: </w:t>
            </w:r>
            <w:r>
              <w:rPr>
                <w:sz w:val="16"/>
                <w:szCs w:val="16"/>
              </w:rPr>
              <w:t xml:space="preserve">3.2.4.3 keeps the unencrypted path permanently reachable by choice, so confidentiality is a per-message property rather than a system property.</w:t>
            </w:r>
          </w:p>
        </w:tc>
        <w:tc>
          <w:tcPr>
            <w:tcW w:type="dxa" w:w="2760"/>
            <w:tcMar>
              <w:top w:type="dxa" w:w="80"/>
              <w:left w:type="dxa" w:w="100"/>
              <w:bottom w:type="dxa" w:w="80"/>
              <w:right w:type="dxa" w:w="100"/>
            </w:tcMar>
          </w:tcPr>
          <w:p>
            <w:pPr>
              <w:spacing w:after="60" w:line="240"/>
            </w:pPr>
            <w:r>
              <w:rPr>
                <w:b/>
                <w:bCs/>
                <w:sz w:val="16"/>
                <w:szCs w:val="16"/>
              </w:rPr>
              <w:t xml:space="preserve">A5.1 </w:t>
            </w:r>
            <w:r>
              <w:rPr>
                <w:sz w:val="16"/>
                <w:szCs w:val="16"/>
              </w:rPr>
              <w:t xml:space="preserve">AES-256-GCM is used.</w:t>
            </w:r>
          </w:p>
          <w:p>
            <w:pPr>
              <w:spacing w:after="6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6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80"/>
              <w:left w:type="dxa" w:w="100"/>
              <w:bottom w:type="dxa" w:w="80"/>
              <w:right w:type="dxa" w:w="100"/>
            </w:tcMar>
          </w:tcPr>
          <w:p>
            <w:pPr>
              <w:spacing w:after="60" w:line="240"/>
            </w:pPr>
            <w:r>
              <w:rPr>
                <w:sz w:val="16"/>
                <w:szCs w:val="16"/>
              </w:rPr>
              <w:t xml:space="preserve">A5.1 — </w:t>
            </w:r>
            <w:r>
              <w:rPr>
                <w:b/>
                <w:bCs/>
                <w:color w:val="8A5300"/>
                <w:sz w:val="16"/>
                <w:szCs w:val="16"/>
              </w:rPr>
              <w:t xml:space="preserve">Design decision</w:t>
            </w:r>
            <w:r>
              <w:rPr>
                <w:sz w:val="16"/>
                <w:szCs w:val="16"/>
              </w:rPr>
              <w:t xml:space="preserve">. The SRS names no algorithm (see NFR10).</w:t>
            </w:r>
          </w:p>
          <w:p>
            <w:pPr>
              <w:spacing w:after="60" w:line="240"/>
            </w:pPr>
            <w:r>
              <w:rPr>
                <w:sz w:val="16"/>
                <w:szCs w:val="16"/>
              </w:rPr>
              <w:t xml:space="preserve">A5.2 — </w:t>
            </w:r>
            <w:r>
              <w:rPr>
                <w:b/>
                <w:bCs/>
                <w:color w:val="A11212"/>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60" w:line="240"/>
            </w:pPr>
            <w:r>
              <w:rPr>
                <w:sz w:val="16"/>
                <w:szCs w:val="16"/>
              </w:rPr>
              <w:t xml:space="preserve">A5.3 — </w:t>
            </w:r>
            <w:r>
              <w:rPr>
                <w:b/>
                <w:bCs/>
                <w:color w:val="8A5300"/>
                <w:sz w:val="16"/>
                <w:szCs w:val="16"/>
              </w:rPr>
              <w:t xml:space="preserve">Design decision</w:t>
            </w:r>
            <w:r>
              <w:rPr>
                <w:sz w:val="16"/>
                <w:szCs w:val="16"/>
              </w:rPr>
              <w:t xml:space="preserve">. The SRS does not define malformed-message handling.</w:t>
            </w:r>
          </w:p>
        </w:tc>
      </w:tr>
      <w:tr>
        <w:tc>
          <w:tcPr>
            <w:tcW w:type="dxa" w:w="1150"/>
            <w:tcMar>
              <w:top w:type="dxa" w:w="80"/>
              <w:left w:type="dxa" w:w="100"/>
              <w:bottom w:type="dxa" w:w="80"/>
              <w:right w:type="dxa" w:w="100"/>
            </w:tcMar>
          </w:tcPr>
          <w:p>
            <w:pPr>
              <w:spacing w:after="60" w:line="240"/>
            </w:pPr>
            <w:r>
              <w:rPr>
                <w:b/>
                <w:bCs/>
                <w:sz w:val="16"/>
                <w:szCs w:val="16"/>
              </w:rPr>
              <w:t xml:space="preserve">3.2.4.5,</w:t>
            </w:r>
          </w:p>
          <w:p>
            <w:pPr>
              <w:spacing w:after="60" w:line="240"/>
            </w:pPr>
            <w:r>
              <w:rPr>
                <w:b/>
                <w:bCs/>
                <w:sz w:val="16"/>
                <w:szCs w:val="16"/>
              </w:rPr>
              <w:t xml:space="preserve">3.2.4.6</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80"/>
              <w:left w:type="dxa" w:w="100"/>
              <w:bottom w:type="dxa" w:w="80"/>
              <w:right w:type="dxa" w:w="100"/>
            </w:tcMar>
          </w:tcPr>
          <w:p>
            <w:pPr>
              <w:spacing w:after="60" w:line="240"/>
            </w:pPr>
            <w:r>
              <w:rPr>
                <w:sz w:val="16"/>
                <w:szCs w:val="16"/>
              </w:rPr>
              <w:t xml:space="preserve">Extends encryption to group communication, which carries more weight than the unicast case because one compromised group key exposes every member at once.</w:t>
            </w:r>
          </w:p>
          <w:p>
            <w:pPr>
              <w:spacing w:after="60" w:line="240"/>
            </w:pPr>
            <w:r>
              <w:rPr>
                <w:b/>
                <w:bCs/>
                <w:sz w:val="16"/>
                <w:szCs w:val="16"/>
              </w:rPr>
              <w:t xml:space="preserve">Risk: </w:t>
            </w:r>
            <w:r>
              <w:rPr>
                <w:sz w:val="16"/>
                <w:szCs w:val="16"/>
              </w:rPr>
              <w:t xml:space="preserve">distributing the shared key, and the absence of any revocation as membership changes.</w:t>
            </w:r>
          </w:p>
        </w:tc>
        <w:tc>
          <w:tcPr>
            <w:tcW w:type="dxa" w:w="2760"/>
            <w:tcMar>
              <w:top w:type="dxa" w:w="80"/>
              <w:left w:type="dxa" w:w="100"/>
              <w:bottom w:type="dxa" w:w="80"/>
              <w:right w:type="dxa" w:w="100"/>
            </w:tcMar>
          </w:tcPr>
          <w:p>
            <w:pPr>
              <w:spacing w:after="60" w:line="240"/>
            </w:pPr>
            <w:r>
              <w:rPr>
                <w:b/>
                <w:bCs/>
                <w:sz w:val="16"/>
                <w:szCs w:val="16"/>
              </w:rPr>
              <w:t xml:space="preserve">A6.1 </w:t>
            </w:r>
            <w:r>
              <w:rPr>
                <w:sz w:val="16"/>
                <w:szCs w:val="16"/>
              </w:rPr>
              <w:t xml:space="preserve">A key-holder agent exists and issues the group key only to agents on its allow-list.</w:t>
            </w:r>
          </w:p>
          <w:p>
            <w:pPr>
              <w:spacing w:after="6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6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80"/>
              <w:left w:type="dxa" w:w="100"/>
              <w:bottom w:type="dxa" w:w="80"/>
              <w:right w:type="dxa" w:w="100"/>
            </w:tcMar>
          </w:tcPr>
          <w:p>
            <w:pPr>
              <w:spacing w:after="60" w:line="240"/>
            </w:pPr>
            <w:r>
              <w:rPr>
                <w:sz w:val="16"/>
                <w:szCs w:val="16"/>
              </w:rPr>
              <w:t xml:space="preserve">A6.1 — </w:t>
            </w:r>
            <w:r>
              <w:rPr>
                <w:b/>
                <w:bCs/>
                <w:color w:val="1F6F3C"/>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60" w:line="240"/>
            </w:pPr>
            <w:r>
              <w:rPr>
                <w:sz w:val="16"/>
                <w:szCs w:val="16"/>
              </w:rPr>
              <w:t xml:space="preserve">A6.2 — </w:t>
            </w:r>
            <w:r>
              <w:rPr>
                <w:b/>
                <w:bCs/>
                <w:color w:val="A11212"/>
                <w:sz w:val="16"/>
                <w:szCs w:val="16"/>
              </w:rPr>
              <w:t xml:space="preserve">Unsupported</w:t>
            </w:r>
            <w:r>
              <w:rPr>
                <w:sz w:val="16"/>
                <w:szCs w:val="16"/>
              </w:rPr>
              <w:t xml:space="preserve">. The SRS is silent on rotation and revocation; this simplification is ours.</w:t>
            </w:r>
          </w:p>
          <w:p>
            <w:pPr>
              <w:spacing w:after="60" w:line="240"/>
            </w:pPr>
            <w:r>
              <w:rPr>
                <w:sz w:val="16"/>
                <w:szCs w:val="16"/>
              </w:rPr>
              <w:t xml:space="preserve">A6.3 — </w:t>
            </w:r>
            <w:r>
              <w:rPr>
                <w:b/>
                <w:bCs/>
                <w:color w:val="8A5300"/>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80"/>
              <w:left w:type="dxa" w:w="100"/>
              <w:bottom w:type="dxa" w:w="80"/>
              <w:right w:type="dxa" w:w="100"/>
            </w:tcMar>
          </w:tcPr>
          <w:p>
            <w:pPr>
              <w:spacing w:after="60" w:line="240"/>
            </w:pPr>
            <w:r>
              <w:rPr>
                <w:b/>
                <w:bCs/>
                <w:sz w:val="16"/>
                <w:szCs w:val="16"/>
              </w:rPr>
              <w:t xml:space="preserve">3.2.5.1,</w:t>
            </w:r>
          </w:p>
          <w:p>
            <w:pPr>
              <w:spacing w:after="60" w:line="240"/>
            </w:pPr>
            <w:r>
              <w:rPr>
                <w:b/>
                <w:bCs/>
                <w:sz w:val="16"/>
                <w:szCs w:val="16"/>
              </w:rPr>
              <w:t xml:space="preserve">3.2.5.2</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80"/>
              <w:left w:type="dxa" w:w="100"/>
              <w:bottom w:type="dxa" w:w="80"/>
              <w:right w:type="dxa" w:w="100"/>
            </w:tcMar>
          </w:tcPr>
          <w:p>
            <w:pPr>
              <w:spacing w:after="60" w:line="240"/>
            </w:pPr>
            <w:r>
              <w:rPr>
                <w:sz w:val="16"/>
                <w:szCs w:val="16"/>
              </w:rPr>
              <w:t xml:space="preserve">Both variants are Driving Requirements and represent a genuine architectural decision rather than routine behaviour.</w:t>
            </w:r>
          </w:p>
          <w:p>
            <w:pPr>
              <w:spacing w:after="60" w:line="240"/>
            </w:pPr>
            <w:r>
              <w:rPr>
                <w:b/>
                <w:bCs/>
                <w:sz w:val="16"/>
                <w:szCs w:val="16"/>
              </w:rPr>
              <w:t xml:space="preserve">Risk: </w:t>
            </w:r>
            <w:r>
              <w:rPr>
                <w:sz w:val="16"/>
                <w:szCs w:val="16"/>
              </w:rPr>
              <w:t xml:space="preserve">the two control styles may require different internal routing logic, which would duplicate a substantial part of the implementation.</w:t>
            </w:r>
          </w:p>
        </w:tc>
        <w:tc>
          <w:tcPr>
            <w:tcW w:type="dxa" w:w="2760"/>
            <w:tcMar>
              <w:top w:type="dxa" w:w="80"/>
              <w:left w:type="dxa" w:w="100"/>
              <w:bottom w:type="dxa" w:w="80"/>
              <w:right w:type="dxa" w:w="100"/>
            </w:tcMar>
          </w:tcPr>
          <w:p>
            <w:pPr>
              <w:spacing w:after="6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6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80"/>
              <w:left w:type="dxa" w:w="100"/>
              <w:bottom w:type="dxa" w:w="80"/>
              <w:right w:type="dxa" w:w="100"/>
            </w:tcMar>
          </w:tcPr>
          <w:p>
            <w:pPr>
              <w:spacing w:after="60" w:line="240"/>
            </w:pPr>
            <w:r>
              <w:rPr>
                <w:sz w:val="16"/>
                <w:szCs w:val="16"/>
              </w:rPr>
              <w:t xml:space="preserve">A7.1 — </w:t>
            </w:r>
            <w:r>
              <w:rPr>
                <w:b/>
                <w:bCs/>
                <w:color w:val="8A5300"/>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60" w:line="240"/>
            </w:pPr>
            <w:r>
              <w:rPr>
                <w:sz w:val="16"/>
                <w:szCs w:val="16"/>
              </w:rPr>
              <w:t xml:space="preserve">A7.2 — </w:t>
            </w:r>
            <w:r>
              <w:rPr>
                <w:b/>
                <w:bCs/>
                <w:color w:val="8A5300"/>
                <w:sz w:val="16"/>
                <w:szCs w:val="16"/>
              </w:rPr>
              <w:t xml:space="preserve">Design decision</w:t>
            </w:r>
            <w:r>
              <w:rPr>
                <w:sz w:val="16"/>
                <w:szCs w:val="16"/>
              </w:rPr>
              <w:t xml:space="preserve">. Added for demonstrability; the SRS does not require runtime switching.</w:t>
            </w:r>
          </w:p>
        </w:tc>
      </w:tr>
      <w:tr>
        <w:tc>
          <w:tcPr>
            <w:tcW w:type="dxa" w:w="1150"/>
            <w:tcMar>
              <w:top w:type="dxa" w:w="80"/>
              <w:left w:type="dxa" w:w="100"/>
              <w:bottom w:type="dxa" w:w="80"/>
              <w:right w:type="dxa" w:w="100"/>
            </w:tcMar>
          </w:tcPr>
          <w:p>
            <w:pPr>
              <w:spacing w:after="60" w:line="240"/>
            </w:pPr>
            <w:r>
              <w:rPr>
                <w:b/>
                <w:bCs/>
                <w:sz w:val="16"/>
                <w:szCs w:val="16"/>
              </w:rPr>
              <w:t xml:space="preserve">3.2.6.1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Compatibility</w:t>
            </w:r>
          </w:p>
          <w:p>
            <w:pPr>
              <w:spacing w:after="60" w:line="240"/>
            </w:pPr>
            <w:r>
              <w:rPr>
                <w:i/>
                <w:iCs/>
                <w:sz w:val="14"/>
                <w:szCs w:val="14"/>
              </w:rPr>
              <w:t xml:space="preserve">(ISO/IEC 25010: Compatibility / Co-existence)</w:t>
            </w:r>
          </w:p>
        </w:tc>
        <w:tc>
          <w:tcPr>
            <w:tcW w:type="dxa" w:w="2900"/>
            <w:tcMar>
              <w:top w:type="dxa" w:w="80"/>
              <w:left w:type="dxa" w:w="100"/>
              <w:bottom w:type="dxa" w:w="80"/>
              <w:right w:type="dxa" w:w="100"/>
            </w:tcMar>
          </w:tcPr>
          <w:p>
            <w:pPr>
              <w:spacing w:after="6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80"/>
              <w:left w:type="dxa" w:w="100"/>
              <w:bottom w:type="dxa" w:w="80"/>
              <w:right w:type="dxa" w:w="100"/>
            </w:tcMar>
          </w:tcPr>
          <w:p>
            <w:pPr>
              <w:spacing w:after="60" w:line="240"/>
            </w:pPr>
            <w:r>
              <w:rPr>
                <w:sz w:val="16"/>
                <w:szCs w:val="16"/>
              </w:rPr>
              <w:t xml:space="preserve">Classified as an NFR because it constrains a quality property of the product rather than specifying a function it performs, despite appearing inside §3.2.</w:t>
            </w:r>
          </w:p>
          <w:p>
            <w:pPr>
              <w:spacing w:after="60" w:line="240"/>
            </w:pPr>
            <w:r>
              <w:rPr>
                <w:sz w:val="16"/>
                <w:szCs w:val="16"/>
              </w:rPr>
              <w:t xml:space="preserve">It matters because any existing agentMom 1.2 deployment should keep working once this project is added on top of it.</w:t>
            </w:r>
          </w:p>
          <w:p>
            <w:pPr>
              <w:spacing w:after="60" w:line="240"/>
            </w:pPr>
            <w:r>
              <w:rPr>
                <w:b/>
                <w:bCs/>
                <w:sz w:val="16"/>
                <w:szCs w:val="16"/>
              </w:rPr>
              <w:t xml:space="preserve">Risk: </w:t>
            </w:r>
            <w:r>
              <w:rPr>
                <w:sz w:val="16"/>
                <w:szCs w:val="16"/>
              </w:rPr>
              <w:t xml:space="preserve">no agentMom 1.2 artifact is available to us, and our implementation is not on the Java runtime the SRS specifies (2.1, 2.1.1). Compatibility therefore cannot be validated against the real 1.2.</w:t>
            </w:r>
          </w:p>
        </w:tc>
        <w:tc>
          <w:tcPr>
            <w:tcW w:type="dxa" w:w="2760"/>
            <w:tcMar>
              <w:top w:type="dxa" w:w="80"/>
              <w:left w:type="dxa" w:w="100"/>
              <w:bottom w:type="dxa" w:w="80"/>
              <w:right w:type="dxa" w:w="100"/>
            </w:tcMar>
          </w:tcPr>
          <w:p>
            <w:pPr>
              <w:spacing w:after="6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6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80"/>
              <w:left w:type="dxa" w:w="100"/>
              <w:bottom w:type="dxa" w:w="80"/>
              <w:right w:type="dxa" w:w="100"/>
            </w:tcMar>
          </w:tcPr>
          <w:p>
            <w:pPr>
              <w:spacing w:after="60" w:line="240"/>
            </w:pPr>
            <w:r>
              <w:rPr>
                <w:sz w:val="16"/>
                <w:szCs w:val="16"/>
              </w:rPr>
              <w:t xml:space="preserve">A8.1 — </w:t>
            </w:r>
            <w:r>
              <w:rPr>
                <w:b/>
                <w:bCs/>
                <w:color w:val="8A5300"/>
                <w:sz w:val="16"/>
                <w:szCs w:val="16"/>
              </w:rPr>
              <w:t xml:space="preserve">Design decision</w:t>
            </w:r>
            <w:r>
              <w:rPr>
                <w:sz w:val="16"/>
                <w:szCs w:val="16"/>
              </w:rPr>
              <w:t xml:space="preserve">. The SRS requires compatibility but never defines it at the interface level, so this interpretation is ours.</w:t>
            </w:r>
          </w:p>
          <w:p>
            <w:pPr>
              <w:spacing w:after="60" w:line="240"/>
            </w:pPr>
            <w:r>
              <w:rPr>
                <w:sz w:val="16"/>
                <w:szCs w:val="16"/>
              </w:rPr>
              <w:t xml:space="preserve">A8.2 — </w:t>
            </w:r>
            <w:r>
              <w:rPr>
                <w:b/>
                <w:bCs/>
                <w:color w:val="A11212"/>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80"/>
              <w:left w:type="dxa" w:w="100"/>
              <w:bottom w:type="dxa" w:w="80"/>
              <w:right w:type="dxa" w:w="100"/>
            </w:tcMar>
          </w:tcPr>
          <w:p>
            <w:pPr>
              <w:spacing w:after="60" w:line="240"/>
            </w:pPr>
            <w:r>
              <w:rPr>
                <w:b/>
                <w:bCs/>
                <w:sz w:val="16"/>
                <w:szCs w:val="16"/>
              </w:rPr>
              <w:t xml:space="preserve">2.4.1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Reliability</w:t>
            </w:r>
          </w:p>
          <w:p>
            <w:pPr>
              <w:spacing w:after="60" w:line="240"/>
            </w:pPr>
            <w:r>
              <w:rPr>
                <w:i/>
                <w:iCs/>
                <w:sz w:val="14"/>
                <w:szCs w:val="14"/>
              </w:rPr>
              <w:t xml:space="preserve">(ISO/IEC 25010: Reliability / Fault tolerance)</w:t>
            </w:r>
          </w:p>
        </w:tc>
        <w:tc>
          <w:tcPr>
            <w:tcW w:type="dxa" w:w="2900"/>
            <w:tcMar>
              <w:top w:type="dxa" w:w="80"/>
              <w:left w:type="dxa" w:w="100"/>
              <w:bottom w:type="dxa" w:w="80"/>
              <w:right w:type="dxa" w:w="100"/>
            </w:tcMar>
          </w:tcPr>
          <w:p>
            <w:pPr>
              <w:spacing w:after="6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80"/>
              <w:left w:type="dxa" w:w="100"/>
              <w:bottom w:type="dxa" w:w="80"/>
              <w:right w:type="dxa" w:w="100"/>
            </w:tcMar>
          </w:tcPr>
          <w:p>
            <w:pPr>
              <w:spacing w:after="60" w:line="240"/>
            </w:pPr>
            <w:r>
              <w:rPr>
                <w:sz w:val="16"/>
                <w:szCs w:val="16"/>
              </w:rPr>
              <w:t xml:space="preserve">Sets the delivery expectation for two of the three transports and directly shapes how delivery may be tested.</w:t>
            </w:r>
          </w:p>
          <w:p>
            <w:pPr>
              <w:spacing w:after="60" w:line="240"/>
            </w:pPr>
            <w:r>
              <w:rPr>
                <w:sz w:val="16"/>
                <w:szCs w:val="16"/>
              </w:rPr>
              <w:t xml:space="preserve">Taken from §2.4 Constraints rather than the numbered requirements in §3.2; treated as an NFR because it constrains a quality property rather than describing a function.</w:t>
            </w:r>
          </w:p>
          <w:p>
            <w:pPr>
              <w:spacing w:after="60" w:line="240"/>
            </w:pPr>
            <w:r>
              <w:rPr>
                <w:b/>
                <w:bCs/>
                <w:sz w:val="16"/>
                <w:szCs w:val="16"/>
              </w:rPr>
              <w:t xml:space="preserve">Risk: </w:t>
            </w:r>
            <w:r>
              <w:rPr>
                <w:sz w:val="16"/>
                <w:szCs w:val="16"/>
              </w:rPr>
              <w:t xml:space="preserve">as worded the requirement is not falsifiable — every observed outcome satisfies it — and the SRS states no delivery-rate threshold. We also note that real UDP can deliver to </w:t>
            </w:r>
            <w:r>
              <w:rPr>
                <w:i/>
                <w:iCs/>
                <w:sz w:val="16"/>
                <w:szCs w:val="16"/>
              </w:rPr>
              <w:t xml:space="preserve">some</w:t>
            </w:r>
            <w:r>
              <w:rPr>
                <w:sz w:val="16"/>
                <w:szCs w:val="16"/>
              </w:rPr>
              <w:t xml:space="preserve"> recipients, which the SRS’s binary wording does not admit; that divergence is our own technical observation, not SRS text.</w:t>
            </w:r>
          </w:p>
        </w:tc>
        <w:tc>
          <w:tcPr>
            <w:tcW w:type="dxa" w:w="2760"/>
            <w:tcMar>
              <w:top w:type="dxa" w:w="80"/>
              <w:left w:type="dxa" w:w="100"/>
              <w:bottom w:type="dxa" w:w="80"/>
              <w:right w:type="dxa" w:w="100"/>
            </w:tcMar>
          </w:tcPr>
          <w:p>
            <w:pPr>
              <w:spacing w:after="60" w:line="240"/>
            </w:pPr>
            <w:r>
              <w:rPr>
                <w:b/>
                <w:bCs/>
                <w:sz w:val="16"/>
                <w:szCs w:val="16"/>
              </w:rPr>
              <w:t xml:space="preserve">A9.1 </w:t>
            </w:r>
            <w:r>
              <w:rPr>
                <w:sz w:val="16"/>
                <w:szCs w:val="16"/>
              </w:rPr>
              <w:t xml:space="preserve">Best-effort delivery permits loss.</w:t>
            </w:r>
          </w:p>
          <w:p>
            <w:pPr>
              <w:spacing w:after="6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80"/>
              <w:left w:type="dxa" w:w="100"/>
              <w:bottom w:type="dxa" w:w="80"/>
              <w:right w:type="dxa" w:w="100"/>
            </w:tcMar>
          </w:tcPr>
          <w:p>
            <w:pPr>
              <w:spacing w:after="60" w:line="240"/>
            </w:pPr>
            <w:r>
              <w:rPr>
                <w:sz w:val="16"/>
                <w:szCs w:val="16"/>
              </w:rPr>
              <w:t xml:space="preserve">A9.1 — </w:t>
            </w:r>
            <w:r>
              <w:rPr>
                <w:b/>
                <w:bCs/>
                <w:color w:val="1F6F3C"/>
                <w:sz w:val="16"/>
                <w:szCs w:val="16"/>
              </w:rPr>
              <w:t xml:space="preserve">Supported by SRS</w:t>
            </w:r>
            <w:r>
              <w:rPr>
                <w:sz w:val="16"/>
                <w:szCs w:val="16"/>
              </w:rPr>
              <w:t xml:space="preserve"> (2.4.1 states this directly).</w:t>
            </w:r>
          </w:p>
          <w:p>
            <w:pPr>
              <w:spacing w:after="60" w:line="240"/>
            </w:pPr>
            <w:r>
              <w:rPr>
                <w:sz w:val="16"/>
                <w:szCs w:val="16"/>
              </w:rPr>
              <w:t xml:space="preserve">A9.2 — </w:t>
            </w:r>
            <w:r>
              <w:rPr>
                <w:b/>
                <w:bCs/>
                <w:color w:val="8A5300"/>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80"/>
              <w:left w:type="dxa" w:w="100"/>
              <w:bottom w:type="dxa" w:w="80"/>
              <w:right w:type="dxa" w:w="100"/>
            </w:tcMar>
          </w:tcPr>
          <w:p>
            <w:pPr>
              <w:spacing w:after="60" w:line="240"/>
            </w:pPr>
            <w:r>
              <w:rPr>
                <w:b/>
                <w:bCs/>
                <w:sz w:val="16"/>
                <w:szCs w:val="16"/>
              </w:rPr>
              <w:t xml:space="preserve">2.4.2</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Security</w:t>
            </w:r>
          </w:p>
          <w:p>
            <w:pPr>
              <w:spacing w:after="60" w:line="240"/>
            </w:pPr>
            <w:r>
              <w:rPr>
                <w:i/>
                <w:iCs/>
                <w:sz w:val="14"/>
                <w:szCs w:val="14"/>
              </w:rPr>
              <w:t xml:space="preserve">(ISO/IEC 25010: Security / Confidentiality)</w:t>
            </w:r>
          </w:p>
        </w:tc>
        <w:tc>
          <w:tcPr>
            <w:tcW w:type="dxa" w:w="2900"/>
            <w:tcMar>
              <w:top w:type="dxa" w:w="80"/>
              <w:left w:type="dxa" w:w="100"/>
              <w:bottom w:type="dxa" w:w="80"/>
              <w:right w:type="dxa" w:w="100"/>
            </w:tcMar>
          </w:tcPr>
          <w:p>
            <w:pPr>
              <w:spacing w:after="6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80"/>
              <w:left w:type="dxa" w:w="100"/>
              <w:bottom w:type="dxa" w:w="80"/>
              <w:right w:type="dxa" w:w="100"/>
            </w:tcMar>
          </w:tcPr>
          <w:p>
            <w:pPr>
              <w:spacing w:after="60" w:line="240"/>
            </w:pPr>
            <w:r>
              <w:rPr>
                <w:sz w:val="16"/>
                <w:szCs w:val="16"/>
              </w:rPr>
              <w:t xml:space="preserve">Sets the real security bar for the system, which is lower than the phrase “secured communication” in the project title suggests, and bounds what can honestly be claimed in the final judgment.</w:t>
            </w:r>
          </w:p>
          <w:p>
            <w:pPr>
              <w:spacing w:after="60" w:line="240"/>
            </w:pPr>
            <w:r>
              <w:rPr>
                <w:sz w:val="16"/>
                <w:szCs w:val="16"/>
              </w:rPr>
              <w:t xml:space="preserve">Also taken from §2.4 Constraints, for the same reason as 2.4.1.</w:t>
            </w:r>
          </w:p>
          <w:p>
            <w:pPr>
              <w:spacing w:after="60" w:line="240"/>
            </w:pPr>
            <w:r>
              <w:rPr>
                <w:b/>
                <w:bCs/>
                <w:sz w:val="16"/>
                <w:szCs w:val="16"/>
              </w:rPr>
              <w:t xml:space="preserve">Risk: </w:t>
            </w:r>
            <w:r>
              <w:rPr>
                <w:sz w:val="16"/>
                <w:szCs w:val="16"/>
              </w:rPr>
              <w:t xml:space="preserve">as worded nothing is promised, so nothing can be falsified. No algorithm, key length or strength target is named anywhere in the SRS.</w:t>
            </w:r>
          </w:p>
        </w:tc>
        <w:tc>
          <w:tcPr>
            <w:tcW w:type="dxa" w:w="2760"/>
            <w:tcMar>
              <w:top w:type="dxa" w:w="80"/>
              <w:left w:type="dxa" w:w="100"/>
              <w:bottom w:type="dxa" w:w="80"/>
              <w:right w:type="dxa" w:w="100"/>
            </w:tcMar>
          </w:tcPr>
          <w:p>
            <w:pPr>
              <w:spacing w:after="60" w:line="240"/>
            </w:pPr>
            <w:r>
              <w:rPr>
                <w:b/>
                <w:bCs/>
                <w:sz w:val="16"/>
                <w:szCs w:val="16"/>
              </w:rPr>
              <w:t xml:space="preserve">A10.1 </w:t>
            </w:r>
            <w:r>
              <w:rPr>
                <w:sz w:val="16"/>
                <w:szCs w:val="16"/>
              </w:rPr>
              <w:t xml:space="preserve">A standard symmetric algorithm is acceptable for this project; AES-256-GCM was chosen.</w:t>
            </w:r>
          </w:p>
          <w:p>
            <w:pPr>
              <w:spacing w:after="6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80"/>
              <w:left w:type="dxa" w:w="100"/>
              <w:bottom w:type="dxa" w:w="80"/>
              <w:right w:type="dxa" w:w="100"/>
            </w:tcMar>
          </w:tcPr>
          <w:p>
            <w:pPr>
              <w:spacing w:after="60" w:line="240"/>
            </w:pPr>
            <w:r>
              <w:rPr>
                <w:sz w:val="16"/>
                <w:szCs w:val="16"/>
              </w:rPr>
              <w:t xml:space="preserve">A10.1 — </w:t>
            </w:r>
            <w:r>
              <w:rPr>
                <w:b/>
                <w:bCs/>
                <w:color w:val="8A5300"/>
                <w:sz w:val="16"/>
                <w:szCs w:val="16"/>
              </w:rPr>
              <w:t xml:space="preserve">Design decision</w:t>
            </w:r>
            <w:r>
              <w:rPr>
                <w:sz w:val="16"/>
                <w:szCs w:val="16"/>
              </w:rPr>
              <w:t xml:space="preserve">. The SRS names no algorithm or key length, so the choice is ours and is not SRS-backed.</w:t>
            </w:r>
          </w:p>
          <w:p>
            <w:pPr>
              <w:spacing w:after="60" w:line="240"/>
            </w:pPr>
            <w:r>
              <w:rPr>
                <w:sz w:val="16"/>
                <w:szCs w:val="16"/>
              </w:rPr>
              <w:t xml:space="preserve">A10.2 — </w:t>
            </w:r>
            <w:r>
              <w:rPr>
                <w:b/>
                <w:bCs/>
                <w:color w:val="1F6F3C"/>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bCs/>
          <w:sz w:val="20"/>
          <w:szCs w:val="20"/>
        </w:rPr>
        <w:t xml:space="preserve">Note 1 — Basis and classification of the three NFRs. </w:t>
      </w:r>
      <w:r>
        <w:rPr>
          <w:sz w:val="20"/>
          <w:szCs w:val="20"/>
        </w:rPr>
        <w:t xml:space="preserve">Two of the three NFRs (2.4.1 and 2.4.2) are drawn from the Constraints section of the SRS rather than the numbered requirements in §3.2, and the third (3.2.6.1) sits inside §3.2 but is reclassified here as non-functional. All three are treated as NFRs because they constrain quality properties of the product rather than specifying functions it performs. Each is anchored to a characteristic of ISO/IEC 25010 in the Type column so that the classification rests on a recognised model rather than on our own assertion.</w:t>
      </w:r>
    </w:p>
    <w:p>
      <w:pPr>
        <w:spacing w:after="120" w:before="0" w:line="276"/>
      </w:pPr>
      <w:r>
        <w:rPr>
          <w:b/>
          <w:bCs/>
          <w:sz w:val="20"/>
          <w:szCs w:val="20"/>
        </w:rPr>
        <w:t xml:space="preserve">Note 2 — SRS coverage outside §3.2. </w:t>
      </w:r>
      <w:r>
        <w:rPr>
          <w:sz w:val="20"/>
          <w:szCs w:val="20"/>
        </w:rPr>
        <w:t xml:space="preserve">Two clauses outside the specific requirements section bear on this scope and are recorded here rather than being given rows of their own. Product function 2.2.4, “allow agents to choose among unicast, multicast and broadcast communication,” is satisfied compositionally by FR1, FR3 and FR4 together with the mode selection exposed by the harness; it has no independent numbered requirement in §3.2. Constraint 2.4.3, which requires the router, network card and operating system to support the multicast protocol, is not selected as a requirement but becomes a hard precondition for every multicast test; where it is unmet, the affected cases are blocked rather than failed, and this is recorded with evidence at execution time.</w:t>
      </w:r>
    </w:p>
    <w:p>
      <w:pPr>
        <w:spacing w:after="120" w:before="0" w:line="276"/>
      </w:pPr>
      <w:r>
        <w:rPr>
          <w:b/>
          <w:bCs/>
          <w:sz w:val="20"/>
          <w:szCs w:val="20"/>
        </w:rPr>
        <w:t xml:space="preserve">Note 3 — The interface is a test harness, not an SRS requirement. </w:t>
      </w:r>
      <w:r>
        <w:rPr>
          <w:sz w:val="20"/>
          <w:szCs w:val="20"/>
        </w:rPr>
        <w:t xml:space="preserve">The SRS describes a developer framework (§2.1) whose users are expected to know Java, object-oriented programming and the MaSE methodology (§2.3). It contains no interface requirements of any kind. The graphical interface built for this assignment therefore exists to satisfy the assignment’s observability requirement, not any SRS clause. It is a test harness over the framework. No expected result anywhere in Part 3 is asserted about the harness itself; every expected result is asserted about framework behaviour observed </w:t>
      </w:r>
      <w:r>
        <w:rPr>
          <w:i/>
          <w:iCs/>
          <w:sz w:val="20"/>
          <w:szCs w:val="20"/>
        </w:rPr>
        <w:t xml:space="preserve">through</w:t>
      </w:r>
      <w:r>
        <w:rPr>
          <w:sz w:val="20"/>
          <w:szCs w:val="20"/>
        </w:rPr>
        <w:t xml:space="preserve"> it. We record this here so the distinction is explicit rather than implied.</w:t>
      </w:r>
    </w:p>
    <w:p>
      <w:pPr>
        <w:spacing w:after="120" w:before="0" w:line="276"/>
      </w:pPr>
      <w:r>
        <w:rPr>
          <w:b/>
          <w:bCs/>
          <w:sz w:val="20"/>
          <w:szCs w:val="20"/>
        </w:rPr>
        <w:t xml:space="preserve">Note 4 — Transcription of SRS identifiers and wording. </w:t>
      </w:r>
      <w:r>
        <w:rPr>
          <w:sz w:val="20"/>
          <w:szCs w:val="20"/>
        </w:rPr>
        <w:t xml:space="preserve">† Requirement 3.2.3.3 is printed as “3.3.3.3” in SRS v1.1, which appears to be a numbering typo; we cite it as 3.2.3.3 and record the discrepancy rather than correcting it silently. Two further transcription defects are preserved as written and marked in the table: 3.2.3.1 reads “ability to sent broadcast message,” and 3.2.5.1 reads “agentMom with shall support.” Requirement wording is quoted from the SRS wherever the exact phrasing carries weight. In particular, 3.2.3.3 says a broadcast message shall be </w:t>
      </w:r>
      <w:r>
        <w:rPr>
          <w:i/>
          <w:iCs/>
          <w:sz w:val="20"/>
          <w:szCs w:val="20"/>
        </w:rPr>
        <w:t xml:space="preserve">sent to</w:t>
      </w:r>
      <w:r>
        <w:rPr>
          <w:sz w:val="20"/>
          <w:szCs w:val="20"/>
        </w:rPr>
        <w:t xml:space="preserve"> all possible hosts, not that it shall reach them, and 2.4.1 says a packet may be delivered to all specified agents </w:t>
      </w:r>
      <w:r>
        <w:rPr>
          <w:i/>
          <w:iCs/>
          <w:sz w:val="20"/>
          <w:szCs w:val="20"/>
        </w:rPr>
        <w:t xml:space="preserve">or none</w:t>
      </w:r>
      <w:r>
        <w:rPr>
          <w:sz w:val="20"/>
          <w:szCs w:val="20"/>
        </w:rPr>
        <w:t xml:space="preserve"> — a binary statement. Paraphrasing either would create a contradiction between the two rows and would make the corresponding tests indefensible, so both are quoted verbatim.</w:t>
      </w:r>
    </w:p>
    <w:p>
      <w:pPr>
        <w:spacing w:after="120" w:before="0" w:line="276"/>
      </w:pPr>
      <w:r>
        <w:rPr>
          <w:b/>
          <w:bCs/>
          <w:sz w:val="20"/>
          <w:szCs w:val="20"/>
        </w:rPr>
        <w:t xml:space="preserve">Note 5 — Intended test basis for the system-level tests. </w:t>
      </w:r>
      <w:r>
        <w:rPr>
          <w:sz w:val="20"/>
          <w:szCs w:val="20"/>
        </w:rPr>
        <w:t xml:space="preserve">Section 3.1 of the SRS supplies four use cases with figures: notify join and leave of a multicast group, send and receive unicast, send and receive multicast, and send and receive broadcast. These are the intended basis for the manually executed system-level tests required in Part 3, because their expected results derive directly from the SRS rather than from our interpretation of it.</w:t>
      </w:r>
    </w:p>
    <w:p>
      <w:pPr>
        <w:pStyle w:val="Heading2"/>
        <w:spacing w:after="160" w:before="280"/>
      </w:pPr>
      <w:r>
        <w:t xml:space="preserve">Note 6 —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shd w:fill="DCE6F1" w:color="auto" w:val="clear"/>
            <w:tcMar>
              <w:top w:type="dxa" w:w="80"/>
              <w:left w:type="dxa" w:w="100"/>
              <w:bottom w:type="dxa" w:w="80"/>
              <w:right w:type="dxa" w:w="100"/>
            </w:tcMar>
          </w:tcPr>
          <w:p>
            <w:pPr>
              <w:spacing w:after="60" w:line="240"/>
            </w:pPr>
            <w:r>
              <w:rPr>
                <w:b/>
                <w:bCs/>
                <w:sz w:val="17"/>
                <w:szCs w:val="17"/>
              </w:rPr>
              <w:t xml:space="preserve">NFR</w:t>
            </w:r>
          </w:p>
        </w:tc>
        <w:tc>
          <w:tcPr>
            <w:tcW w:type="dxa" w:w="2600"/>
            <w:shd w:fill="DCE6F1" w:color="auto" w:val="clear"/>
            <w:tcMar>
              <w:top w:type="dxa" w:w="80"/>
              <w:left w:type="dxa" w:w="100"/>
              <w:bottom w:type="dxa" w:w="80"/>
              <w:right w:type="dxa" w:w="100"/>
            </w:tcMar>
          </w:tcPr>
          <w:p>
            <w:pPr>
              <w:spacing w:after="60" w:line="240"/>
            </w:pPr>
            <w:r>
              <w:rPr>
                <w:b/>
                <w:bCs/>
                <w:sz w:val="17"/>
                <w:szCs w:val="17"/>
              </w:rPr>
              <w:t xml:space="preserve">Why it is not falsifiable as written</w:t>
            </w:r>
          </w:p>
        </w:tc>
        <w:tc>
          <w:tcPr>
            <w:tcW w:type="dxa" w:w="2800"/>
            <w:shd w:fill="DCE6F1" w:color="auto" w:val="clear"/>
            <w:tcMar>
              <w:top w:type="dxa" w:w="80"/>
              <w:left w:type="dxa" w:w="100"/>
              <w:bottom w:type="dxa" w:w="80"/>
              <w:right w:type="dxa" w:w="100"/>
            </w:tcMar>
          </w:tcPr>
          <w:p>
            <w:pPr>
              <w:spacing w:after="60" w:line="240"/>
            </w:pPr>
            <w:r>
              <w:rPr>
                <w:b/>
                <w:bCs/>
                <w:sz w:val="17"/>
                <w:szCs w:val="17"/>
              </w:rPr>
              <w:t xml:space="preserve">Falsifiable surrogate we will evaluate</w:t>
            </w:r>
          </w:p>
        </w:tc>
        <w:tc>
          <w:tcPr>
            <w:tcW w:type="dxa" w:w="3206"/>
            <w:shd w:fill="DCE6F1" w:color="auto" w:val="clear"/>
            <w:tcMar>
              <w:top w:type="dxa" w:w="80"/>
              <w:left w:type="dxa" w:w="100"/>
              <w:bottom w:type="dxa" w:w="80"/>
              <w:right w:type="dxa" w:w="100"/>
            </w:tcMar>
          </w:tcPr>
          <w:p>
            <w:pPr>
              <w:spacing w:after="60" w:line="240"/>
            </w:pPr>
            <w:r>
              <w:rPr>
                <w:b/>
                <w:bCs/>
                <w:sz w:val="17"/>
                <w:szCs w:val="17"/>
              </w:rPr>
              <w:t xml:space="preserve">Limitation to be declared in Part 3</w:t>
            </w:r>
          </w:p>
        </w:tc>
      </w:tr>
      <w:tr>
        <w:tc>
          <w:tcPr>
            <w:tcW w:type="dxa" w:w="1300"/>
            <w:tcMar>
              <w:top w:type="dxa" w:w="80"/>
              <w:left w:type="dxa" w:w="100"/>
              <w:bottom w:type="dxa" w:w="80"/>
              <w:right w:type="dxa" w:w="100"/>
            </w:tcMar>
          </w:tcPr>
          <w:p>
            <w:pPr>
              <w:spacing w:after="60" w:line="240"/>
            </w:pPr>
            <w:r>
              <w:rPr>
                <w:b/>
                <w:bCs/>
                <w:sz w:val="16"/>
                <w:szCs w:val="16"/>
              </w:rPr>
              <w:t xml:space="preserve">NFR 3.2.6.1</w:t>
            </w:r>
          </w:p>
          <w:p>
            <w:pPr>
              <w:spacing w:after="60" w:line="240"/>
            </w:pPr>
            <w:r>
              <w:rPr>
                <w:sz w:val="16"/>
                <w:szCs w:val="16"/>
              </w:rPr>
              <w:t xml:space="preserve">Compatibility</w:t>
            </w:r>
          </w:p>
        </w:tc>
        <w:tc>
          <w:tcPr>
            <w:tcW w:type="dxa" w:w="2600"/>
            <w:tcMar>
              <w:top w:type="dxa" w:w="80"/>
              <w:left w:type="dxa" w:w="100"/>
              <w:bottom w:type="dxa" w:w="80"/>
              <w:right w:type="dxa" w:w="100"/>
            </w:tcMar>
          </w:tcPr>
          <w:p>
            <w:pPr>
              <w:spacing w:after="60" w:line="240"/>
            </w:pPr>
            <w:r>
              <w:rPr>
                <w:sz w:val="16"/>
                <w:szCs w:val="16"/>
              </w:rPr>
              <w:t xml:space="preserve">Requires compatibility with an artifact we do not possess, in a language we are not using (2.1, 2.1.1).</w:t>
            </w:r>
          </w:p>
        </w:tc>
        <w:tc>
          <w:tcPr>
            <w:tcW w:type="dxa" w:w="2800"/>
            <w:tcMar>
              <w:top w:type="dxa" w:w="80"/>
              <w:left w:type="dxa" w:w="100"/>
              <w:bottom w:type="dxa" w:w="80"/>
              <w:right w:type="dxa" w:w="100"/>
            </w:tcMar>
          </w:tcPr>
          <w:p>
            <w:pPr>
              <w:spacing w:after="6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80"/>
              <w:left w:type="dxa" w:w="100"/>
              <w:bottom w:type="dxa" w:w="80"/>
              <w:right w:type="dxa" w:w="100"/>
            </w:tcMar>
          </w:tcPr>
          <w:p>
            <w:pPr>
              <w:spacing w:after="6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80"/>
              <w:left w:type="dxa" w:w="100"/>
              <w:bottom w:type="dxa" w:w="80"/>
              <w:right w:type="dxa" w:w="100"/>
            </w:tcMar>
          </w:tcPr>
          <w:p>
            <w:pPr>
              <w:spacing w:after="60" w:line="240"/>
            </w:pPr>
            <w:r>
              <w:rPr>
                <w:b/>
                <w:bCs/>
                <w:sz w:val="16"/>
                <w:szCs w:val="16"/>
              </w:rPr>
              <w:t xml:space="preserve">NFR 2.4.1</w:t>
            </w:r>
          </w:p>
          <w:p>
            <w:pPr>
              <w:spacing w:after="60" w:line="240"/>
            </w:pPr>
            <w:r>
              <w:rPr>
                <w:sz w:val="16"/>
                <w:szCs w:val="16"/>
              </w:rPr>
              <w:t xml:space="preserve">Reliability</w:t>
            </w:r>
          </w:p>
        </w:tc>
        <w:tc>
          <w:tcPr>
            <w:tcW w:type="dxa" w:w="2600"/>
            <w:tcMar>
              <w:top w:type="dxa" w:w="80"/>
              <w:left w:type="dxa" w:w="100"/>
              <w:bottom w:type="dxa" w:w="80"/>
              <w:right w:type="dxa" w:w="100"/>
            </w:tcMar>
          </w:tcPr>
          <w:p>
            <w:pPr>
              <w:spacing w:after="60" w:line="240"/>
            </w:pPr>
            <w:r>
              <w:rPr>
                <w:sz w:val="16"/>
                <w:szCs w:val="16"/>
              </w:rPr>
              <w:t xml:space="preserve">Delivery to "all specified agents or none" is satisfied by every possible observation, so no test can fail.</w:t>
            </w:r>
          </w:p>
        </w:tc>
        <w:tc>
          <w:tcPr>
            <w:tcW w:type="dxa" w:w="2800"/>
            <w:tcMar>
              <w:top w:type="dxa" w:w="80"/>
              <w:left w:type="dxa" w:w="100"/>
              <w:bottom w:type="dxa" w:w="80"/>
              <w:right w:type="dxa" w:w="100"/>
            </w:tcMar>
          </w:tcPr>
          <w:p>
            <w:pPr>
              <w:spacing w:after="60" w:line="240"/>
            </w:pPr>
            <w:r>
              <w:rPr>
                <w:sz w:val="16"/>
                <w:szCs w:val="16"/>
              </w:rPr>
              <w:t xml:space="preserve">No acknowledgement, retry or resend path exists anywhere on the multicast or broadcast paths, and a dropped datagram is never retransmitted.</w:t>
            </w:r>
          </w:p>
        </w:tc>
        <w:tc>
          <w:tcPr>
            <w:tcW w:type="dxa" w:w="3206"/>
            <w:tcMar>
              <w:top w:type="dxa" w:w="80"/>
              <w:left w:type="dxa" w:w="100"/>
              <w:bottom w:type="dxa" w:w="80"/>
              <w:right w:type="dxa" w:w="100"/>
            </w:tcMar>
          </w:tcPr>
          <w:p>
            <w:pPr>
              <w:spacing w:after="6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80"/>
              <w:left w:type="dxa" w:w="100"/>
              <w:bottom w:type="dxa" w:w="80"/>
              <w:right w:type="dxa" w:w="100"/>
            </w:tcMar>
          </w:tcPr>
          <w:p>
            <w:pPr>
              <w:spacing w:after="60" w:line="240"/>
            </w:pPr>
            <w:r>
              <w:rPr>
                <w:b/>
                <w:bCs/>
                <w:sz w:val="16"/>
                <w:szCs w:val="16"/>
              </w:rPr>
              <w:t xml:space="preserve">NFR 2.4.2</w:t>
            </w:r>
          </w:p>
          <w:p>
            <w:pPr>
              <w:spacing w:after="60" w:line="240"/>
            </w:pPr>
            <w:r>
              <w:rPr>
                <w:sz w:val="16"/>
                <w:szCs w:val="16"/>
              </w:rPr>
              <w:t xml:space="preserve">Security</w:t>
            </w:r>
          </w:p>
        </w:tc>
        <w:tc>
          <w:tcPr>
            <w:tcW w:type="dxa" w:w="2600"/>
            <w:tcMar>
              <w:top w:type="dxa" w:w="80"/>
              <w:left w:type="dxa" w:w="100"/>
              <w:bottom w:type="dxa" w:w="80"/>
              <w:right w:type="dxa" w:w="100"/>
            </w:tcMar>
          </w:tcPr>
          <w:p>
            <w:pPr>
              <w:spacing w:after="60" w:line="240"/>
            </w:pPr>
            <w:r>
              <w:rPr>
                <w:sz w:val="16"/>
                <w:szCs w:val="16"/>
              </w:rPr>
              <w:t xml:space="preserve">The clause explicitly disclaims any guarantee, so nothing is promised and nothing can be checked against it.</w:t>
            </w:r>
          </w:p>
        </w:tc>
        <w:tc>
          <w:tcPr>
            <w:tcW w:type="dxa" w:w="2800"/>
            <w:tcMar>
              <w:top w:type="dxa" w:w="80"/>
              <w:left w:type="dxa" w:w="100"/>
              <w:bottom w:type="dxa" w:w="80"/>
              <w:right w:type="dxa" w:w="100"/>
            </w:tcMar>
          </w:tcPr>
          <w:p>
            <w:pPr>
              <w:spacing w:after="6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80"/>
              <w:left w:type="dxa" w:w="100"/>
              <w:bottom w:type="dxa" w:w="80"/>
              <w:right w:type="dxa" w:w="100"/>
            </w:tcMar>
          </w:tcPr>
          <w:p>
            <w:pPr>
              <w:spacing w:after="6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p>
    <w:p>
      <w:r>
        <w:rPr>
          <w:b w:val="0"/>
          <w:i w:val="0"/>
        </w:rPr>
        <w:t>The GUI is a Vite + React harness (packages/web) that drives the underlying framework and displays observable success/error feedback for each selected requirement, rather than a product UI in its own right (assumption A11 — the SRS specifies a developer framework with no interface requirements of its own, so the harness exists solely to satisfy this assignment's observability requirement). It ships one page per functional area: Unicast.tsx, Multicast.tsx, Broadcast.tsx, Security.tsx (unicast and multicast encryption), Compatibility.tsx (NFR8), Architecture.tsx (FR7 conversation-control switch), Admin.tsx (agent/group management across the four-agent demo topology) and Dashboard.tsx (live event log / topology view). Each page issues real actions against a live four-agent OS-process topology (agent-A…D, mirroring SRS Figures 1–4) through a control-plane REST + WebSocket API, and renders the actual success or error result returned — e.g. a delivered or dropped message, a PROTOCOL_VIOLATION, a MESSAGE_DROPPED_TTL_EXPIRED, a BROADCAST_PERMISSION_DENIED — rather than a simulated or mocked outcome.</w:t>
      </w:r>
    </w:p>
    <w:p>
      <w:r>
        <w:rPr>
          <w:b w:val="0"/>
          <w:i w:val="0"/>
        </w:rPr>
        <w:t>Every one of the ten selected requirements is reachable through the harness: FR1–FR4 (unicast, multicast, broadcast, membership, TTL) on their respective pages; FR5–FR6 (encryption) on the Security page; FR7 (architecture) via a runtime switch on the Architecture page; NFR8 (1.2 compatibility) on the Compatibility page; NFR9 (best-effort reliability) is observed as the absence of retry/acknowledgement behaviour on dropped datagrams across the multicast/broadcast pages; NFR10 (no strength or guarantee claim) is a documentation/inspection discipline rather than a UI control, and is not asserted on-screen. The complete requirement-to-module-to-test mapping is recorded in FEATURE-MAP.md.</w:t>
      </w:r>
    </w:p>
    <w:p>
      <w:r>
        <w:rPr>
          <w:b w:val="0"/>
          <w:i w:val="0"/>
        </w:rPr>
        <w:t>The baseline was frozen before any SonarQube or test evidence was collected. The frozen application code sits at commit e79b197 (recorded in evidence/BASELINE_TAG_HASH.txt, per the project's own freeze convention in scripts/freeze-baseline.sh); the SonarQube scan in Part 3.A was run one commit later, at tag baseline-v1-sonar (72aedfb), which only updates the recorded evidence pointer and adds no application code. No source file under packages/ was altered between these two commits.</w:t>
      </w:r>
    </w:p>
    <w:p>
      <w:r>
        <w:rPr>
          <w:b w:val="0"/>
          <w:i w:val="0"/>
        </w:rPr>
        <w:t>Setup and run instructions are documented in full in README.md and oneliner how to run.txt, and are not repeated here. In summary: npm install (Node.js ≥ 20), npm run build (builds packages/core, packages/agent, packages/control-plane), then bash runsystem.sh — a single script that frees the required ports (4000, 5173, 7001–7004, 5007/5008, 9001), builds, starts the control plane on :4000 with the four-agent demo topology (agent-A…D), and starts the harness at http://localhost:5173. Ctrl-C stops the control plane, all forked agents, and the harness.</w:t>
      </w:r>
    </w:p>
    <w:p>
      <w:r>
        <w:rPr>
          <w:b w:val="0"/>
          <w:i w:val="0"/>
        </w:rPr>
        <w:t>The implementation was produced through AI-assisted development against a locked, human-authored plan (docs/agentmom-implementation-plan-v2.md) derived from the SRS. Two material deviations from that plan were introduced during development and are declared in full in DEVIATIONS.md: the runtime is Node.js/TypeScript rather than the SRS-specified Java 1.4.0 (D-1, tied to assumption A8.2 and the Compatibility NFR's declared limitation), and the harness is Vite + React rather than the plan's original Next.js choice, adopted specifically to keep unrelated framework scaffolding out of the SonarQube scan so Part 3.A's finding selection would stay meaningful (D-2). The complete register of AI-introduced assumptions — 24 entries, each labelled supported-by-SRS, design-decision, or unsupported, with a comment anchor in the corresponding source file — is maintained in ASSUMPTIONS.md and is the single source of truth Part 1's table is derived from; it does not drift independently of the code, since packages/core/tests/unit/dod.test.ts fails the build if an anchor stops matching.</w:t>
      </w:r>
    </w:p>
    <w:p>
      <w:pPr>
        <w:pStyle w:val="Heading1"/>
        <w:spacing w:after="160" w:before="280"/>
      </w:pPr>
      <w:r>
        <w:t xml:space="preserve">Part 3: Quality Evaluation</w:t>
      </w:r>
    </w:p>
    <w:p>
      <w:pPr>
        <w:spacing w:after="120" w:before="0" w:line="276"/>
      </w:pPr>
      <w:r/>
    </w:p>
    <w:p>
      <w:pPr>
        <w:pStyle w:val="Heading2"/>
      </w:pPr>
      <w:r>
        <w:rPr>
          <w:b w:val="0"/>
          <w:i w:val="0"/>
        </w:rPr>
        <w:t>A. SonarQube Report and NFR Evaluation</w:t>
      </w:r>
    </w:p>
    <w:p>
      <w:r>
        <w:rPr>
          <w:b w:val="0"/>
          <w:i w:val="0"/>
        </w:rPr>
        <w:t>SonarQube Community Build (v26.9.0.129388) was run locally via Docker against the complete frozen baseline (tag baseline-v1-sonar, commit 72aedfb8781e4304a88c0f01f2af3df5e7e5661b; the underlying application code was frozen one commit earlier at e79b197, per evidence/BASELINE_TAG_HASH.txt), using sonar-scanner CLI 6.2.1.4610 run from the repository root. sonar-project.properties scopes the analysis to all four workspace packages' src and tests (packages/core, packages/agent, packages/control-plane, packages/web) in full — no file or package was hand-picked or omitted, only generated/vendor paths (node_modules, dist, *.d.ts) are excluded. Coverage was measured with npm run coverage (vitest + v8, 217 tests) and supplied to the scan through coverage/lcov.info. The analysis task completed with status SUCCESS in 9.8 seconds. Raw exports (sonar-measures.json, sonar-issues-full.json, sonar-hotspots.json) are retained in evidence/sonarqube/, alongside dashboard screenshots.</w:t>
      </w:r>
    </w:p>
    <w:p>
      <w:r>
        <w:rPr>
          <w:b w:val="0"/>
          <w:i w:val="0"/>
        </w:rPr>
        <w:t>Reported metrics — Lines of Code: 3,289; Quality Gate: Passed; Security rating: B (19 open issues, all Low severity); Reliability rating: D (14 open issues: 1 High, 1 Medium, 12 Low); Maintainability rating: A (50 open issues: 18 Medium, 32 Low); Coverage: 88.8% (of the lines SonarQube considers eligible); Duplications: 0.0%; Security Hotspots: 0 (confirmed by directly querying the api/hotspots/search endpoint, which returned an empty result set). SonarQube Community Build's own Overview page discloses a stated limitation: it does not scan for critical injection vulnerabilities such as SQL injection or XSS, so the Security rating reflects only the rule set available in this edition, not a full security audit.</w:t>
      </w:r>
    </w:p>
    <w:p>
      <w:pPr>
        <w:pStyle w:val="Heading3"/>
      </w:pPr>
      <w:r>
        <w:rPr>
          <w:b w:val="0"/>
          <w:i w:val="0"/>
        </w:rPr>
        <w:t>Selected findings</w:t>
      </w:r>
    </w:p>
    <w:p>
      <w:r>
        <w:rPr>
          <w:b w:val="0"/>
          <w:i w:val="0"/>
        </w:rPr>
        <w:t>The following five findings were selected from the complete 71-issue result set because each is either the most severe instance in its quality area or representative of a pattern repeated across several files. Each is interpreted against what it means for this codebase, not merely counted.</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76"/>
        <w:gridCol w:w="2476"/>
        <w:gridCol w:w="2476"/>
        <w:gridCol w:w="2476"/>
      </w:tblGrid>
      <w:tr>
        <w:tc>
          <w:tcPr>
            <w:tcW w:type="dxa" w:w="2476"/>
          </w:tcPr>
          <w:p>
            <w:r/>
            <w:r>
              <w:rPr>
                <w:b/>
              </w:rPr>
              <w:t>Finding / quality area</w:t>
            </w:r>
          </w:p>
        </w:tc>
        <w:tc>
          <w:tcPr>
            <w:tcW w:type="dxa" w:w="2476"/>
          </w:tcPr>
          <w:p>
            <w:r/>
            <w:r>
              <w:rPr>
                <w:b/>
              </w:rPr>
              <w:t>What SonarQube reported &amp; where</w:t>
            </w:r>
          </w:p>
        </w:tc>
        <w:tc>
          <w:tcPr>
            <w:tcW w:type="dxa" w:w="2476"/>
          </w:tcPr>
          <w:p>
            <w:r/>
            <w:r>
              <w:rPr>
                <w:b/>
              </w:rPr>
              <w:t>Why it matters</w:t>
            </w:r>
          </w:p>
        </w:tc>
        <w:tc>
          <w:tcPr>
            <w:tcW w:type="dxa" w:w="2476"/>
          </w:tcPr>
          <w:p>
            <w:r/>
            <w:r>
              <w:rPr>
                <w:b/>
              </w:rPr>
              <w:t>Action the evidence supports</w:t>
            </w:r>
          </w:p>
        </w:tc>
      </w:tr>
      <w:tr>
        <w:tc>
          <w:tcPr>
            <w:tcW w:type="dxa" w:w="2476"/>
          </w:tcPr>
          <w:p>
            <w:r/>
            <w:r>
              <w:rPr>
                <w:b w:val="0"/>
              </w:rPr>
              <w:t>F1 — Non-deterministic sort in the crypto module</w:t>
              <w:br/>
              <w:t>(Reliability — Bug, Critical, rule S2871)</w:t>
            </w:r>
          </w:p>
        </w:tc>
        <w:tc>
          <w:tcPr>
            <w:tcW w:type="dxa" w:w="2476"/>
          </w:tcPr>
          <w:p>
            <w:r/>
            <w:r>
              <w:rPr>
                <w:b w:val="0"/>
              </w:rPr>
              <w:t>packages/core/src/crypto/symmetric.ts:59 — “Provide a compare function that depends on String.localeCompare, to reliably sort elements alphabetically.”</w:t>
            </w:r>
          </w:p>
        </w:tc>
        <w:tc>
          <w:tcPr>
            <w:tcW w:type="dxa" w:w="2476"/>
          </w:tcPr>
          <w:p>
            <w:r/>
            <w:r>
              <w:rPr>
                <w:b w:val="0"/>
              </w:rPr>
              <w:t>This is the single Critical-severity Bug behind the project's Reliability rating of D. Array.prototype.sort() without an explicit comparator falls back to lexicographic string comparison, which is not guaranteed to be stable or locale-independent across environments. In a crypto/canonicalization context, a different ordering changes the bytes fed into any downstream hash or signature — an environment-dependent result, not just untidy code.</w:t>
            </w:r>
          </w:p>
        </w:tc>
        <w:tc>
          <w:tcPr>
            <w:tcW w:type="dxa" w:w="2476"/>
          </w:tcPr>
          <w:p>
            <w:r/>
            <w:r>
              <w:rPr>
                <w:b w:val="0"/>
              </w:rPr>
              <w:t>Confirm whether this sorted output feeds a hash or signature elsewhere in symmetric.ts; if so, replace the implicit sort with an explicit ordinal comparator before the baseline is extended further — this affects correctness, not just style.</w:t>
            </w:r>
          </w:p>
        </w:tc>
      </w:tr>
      <w:tr>
        <w:tc>
          <w:tcPr>
            <w:tcW w:type="dxa" w:w="2476"/>
          </w:tcPr>
          <w:p>
            <w:r/>
            <w:r>
              <w:rPr>
                <w:b w:val="0"/>
              </w:rPr>
              <w:t>F2 — Missing table header semantics on the Admin page</w:t>
              <w:br/>
              <w:t>(Reliability — Bug, Major, rule S5256 (accessibility, wcag2.1-a))</w:t>
            </w:r>
          </w:p>
        </w:tc>
        <w:tc>
          <w:tcPr>
            <w:tcW w:type="dxa" w:w="2476"/>
          </w:tcPr>
          <w:p>
            <w:r/>
            <w:r>
              <w:rPr>
                <w:b w:val="0"/>
              </w:rPr>
              <w:t>packages/web/src/pages/Admin.tsx:47 — the &lt;table&gt; has no associated header row or column.</w:t>
            </w:r>
          </w:p>
        </w:tc>
        <w:tc>
          <w:tcPr>
            <w:tcW w:type="dxa" w:w="2476"/>
          </w:tcPr>
          <w:p>
            <w:r/>
            <w:r>
              <w:rPr>
                <w:b w:val="0"/>
              </w:rPr>
              <w:t>Screen readers cannot associate data cells with their column meaning, so the admin view is not usable by assistive technology. This is directly relevant to any usability/accessibility NFR claim made about the harness.</w:t>
            </w:r>
          </w:p>
        </w:tc>
        <w:tc>
          <w:tcPr>
            <w:tcW w:type="dxa" w:w="2476"/>
          </w:tcPr>
          <w:p>
            <w:r/>
            <w:r>
              <w:rPr>
                <w:b w:val="0"/>
              </w:rPr>
              <w:t>Add &lt;th scope="col"&gt; markup to the table. Use as supporting evidence if usability is later scoped as a formal NFR, or as a defect entry if manual testing confirms the same gap.</w:t>
            </w:r>
          </w:p>
        </w:tc>
      </w:tr>
      <w:tr>
        <w:tc>
          <w:tcPr>
            <w:tcW w:type="dxa" w:w="2476"/>
          </w:tcPr>
          <w:p>
            <w:r/>
            <w:r>
              <w:rPr>
                <w:b w:val="0"/>
              </w:rPr>
              <w:t>F3 — Multicast group address duplicated as a literal across four files</w:t>
              <w:br/>
              <w:t>(Security — Code Smell, Low × 19, rule S1313 (“hardcoded IP address”))</w:t>
            </w:r>
          </w:p>
        </w:tc>
        <w:tc>
          <w:tcPr>
            <w:tcW w:type="dxa" w:w="2476"/>
          </w:tcPr>
          <w:p>
            <w:r/>
            <w:r>
              <w:rPr>
                <w:b w:val="0"/>
              </w:rPr>
              <w:t>239.1.1.5 / 239.1.1.6 appear as literals in packages/agent/src/config.ts, packages/control-plane/src/agent-registry.ts, packages/web/src/pages/types.ts and packages/web/src/components/AgentTopologyGraph.tsx — all 19 of the project's Security-area issues are this one pattern.</w:t>
            </w:r>
          </w:p>
        </w:tc>
        <w:tc>
          <w:tcPr>
            <w:tcW w:type="dxa" w:w="2476"/>
          </w:tcPr>
          <w:p>
            <w:r/>
            <w:r>
              <w:rPr>
                <w:b w:val="0"/>
              </w:rPr>
              <w:t>Individually each flag is a justified false positive: 239.x.x.x is a standard multicast address, required by FR3/FR4 and consistent with assumption A4.1, not a leaked or unsafe endpoint. But the repetition across four files is a genuine Maintainability risk — the same constant is retyped rather than imported, so changing the group address later requires four coordinated edits.</w:t>
            </w:r>
          </w:p>
        </w:tc>
        <w:tc>
          <w:tcPr>
            <w:tcW w:type="dxa" w:w="2476"/>
          </w:tcPr>
          <w:p>
            <w:r/>
            <w:r>
              <w:rPr>
                <w:b w:val="0"/>
              </w:rPr>
              <w:t>No security action needed (reviewed and justified). Maintainability action: move both addresses into packages/core/src/constants.ts and import them everywhere else, which would also remove all 19 Security-area flags at the source.</w:t>
            </w:r>
          </w:p>
        </w:tc>
      </w:tr>
      <w:tr>
        <w:tc>
          <w:tcPr>
            <w:tcW w:type="dxa" w:w="2476"/>
          </w:tcPr>
          <w:p>
            <w:r/>
            <w:r>
              <w:rPr>
                <w:b w:val="0"/>
              </w:rPr>
              <w:t>F4 — Ambiguous JSX spacing repeated across every harness page</w:t>
              <w:br/>
              <w:t>(Reliability / Maintainability — Code Smell, Major × 12, rule S6772 (“Ambiguous spacing”))</w:t>
            </w:r>
          </w:p>
        </w:tc>
        <w:tc>
          <w:tcPr>
            <w:tcW w:type="dxa" w:w="2476"/>
          </w:tcPr>
          <w:p>
            <w:r/>
            <w:r>
              <w:rPr>
                <w:b w:val="0"/>
              </w:rPr>
              <w:t>Broadcast.tsx, Compatibility.tsx, Multicast.tsx, Security.tsx, Unicast.tsx and EncryptionToggle.tsx each flag a label/text node sitting directly against a &lt;select&gt;/&lt;input&gt;/&lt;code&gt; element with no explicit space between them.</w:t>
            </w:r>
          </w:p>
        </w:tc>
        <w:tc>
          <w:tcPr>
            <w:tcW w:type="dxa" w:w="2476"/>
          </w:tcPr>
          <w:p>
            <w:r/>
            <w:r>
              <w:rPr>
                <w:b w:val="0"/>
              </w:rPr>
              <w:t>This is 12 of the 14 Reliability-area issues (86%) and the largest single pattern in the codebase. It can produce inconsistent label spacing in the rendered GUI — an observable, user-facing symptom, not just a lint preference.</w:t>
            </w:r>
          </w:p>
        </w:tc>
        <w:tc>
          <w:tcPr>
            <w:tcW w:type="dxa" w:w="2476"/>
          </w:tcPr>
          <w:p>
            <w:r/>
            <w:r>
              <w:rPr>
                <w:b w:val="0"/>
              </w:rPr>
              <w:t>Manually check, on each affected page, whether the rendered label reads correctly (e.g. “TTL:5” vs “TTL: 5”). This is a natural candidate to fold into one of the required manual system-level test cases, and should be logged as a defect only if the rendered spacing is actually wrong — a Sonar flag alone is not a confirmed defect (Part 4).</w:t>
            </w:r>
          </w:p>
        </w:tc>
      </w:tr>
      <w:tr>
        <w:tc>
          <w:tcPr>
            <w:tcW w:type="dxa" w:w="2476"/>
          </w:tcPr>
          <w:p>
            <w:r/>
            <w:r>
              <w:rPr>
                <w:b w:val="0"/>
              </w:rPr>
              <w:t>F5 — Component props not marked readonly, systemic across the web package</w:t>
              <w:br/>
              <w:t>(Maintainability — Code Smell, Minor × 14, rule S6759)</w:t>
            </w:r>
          </w:p>
        </w:tc>
        <w:tc>
          <w:tcPr>
            <w:tcW w:type="dxa" w:w="2476"/>
          </w:tcPr>
          <w:p>
            <w:r/>
            <w:r>
              <w:rPr>
                <w:b w:val="0"/>
              </w:rPr>
              <w:t>Nearly every component under packages/web/src/components and pages/*.tsx (e.g. StatusBadge.tsx, ArchitectureSwitch.tsx, EncryptionToggle.tsx, MessageComposer.tsx, ReliabilityDial.tsx) declares a Props interface without Readonly&lt;...&gt;.</w:t>
            </w:r>
          </w:p>
        </w:tc>
        <w:tc>
          <w:tcPr>
            <w:tcW w:type="dxa" w:w="2476"/>
          </w:tcPr>
          <w:p>
            <w:r/>
            <w:r>
              <w:rPr>
                <w:b w:val="0"/>
              </w:rPr>
              <w:t>With 14 occurrences this is the second-largest pattern after F4 and a meaningful contributor to the 50 open Maintainability issues. It is a style/consistency gap from how components were authored during AI-assisted development, not a functional defect — no observed mutation bug traces to it.</w:t>
            </w:r>
          </w:p>
        </w:tc>
        <w:tc>
          <w:tcPr>
            <w:tcW w:type="dxa" w:w="2476"/>
          </w:tcPr>
          <w:p>
            <w:r/>
            <w:r>
              <w:rPr>
                <w:b w:val="0"/>
              </w:rPr>
              <w:t>Adopt Readonly&lt;Props&gt; as the standard component signature going forward. Low priority: it does not block the Quality Gate and is not a Jira candidate, since no reproducible behavioural failure is associated with it.</w:t>
            </w:r>
          </w:p>
        </w:tc>
      </w:tr>
    </w:tbl>
    <w:p/>
    <w:p>
      <w:pPr>
        <w:pStyle w:val="Heading3"/>
      </w:pPr>
      <w:r>
        <w:rPr>
          <w:b w:val="0"/>
          <w:i w:val="0"/>
        </w:rPr>
        <w:t>NFR evaluation</w:t>
      </w:r>
    </w:p>
    <w:p>
      <w:r>
        <w:rPr>
          <w:b w:val="0"/>
          <w:i w:val="0"/>
        </w:rPr>
        <w:t>The three NFRs selected in Part 1 (3.2.6.1 Compatibility, 2.4.1 Reliability, 2.4.2 Security) were declared in advance, in Note 6, as not falsifiable in the SRS's own wording. The table below evaluates each against the falsifiable surrogate stated there, using SonarQube evidence only where it is actually relevant and stating plainly where it is not.</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981"/>
        <w:gridCol w:w="1981"/>
        <w:gridCol w:w="1981"/>
        <w:gridCol w:w="1981"/>
        <w:gridCol w:w="1981"/>
      </w:tblGrid>
      <w:tr>
        <w:tc>
          <w:tcPr>
            <w:tcW w:type="dxa" w:w="1981"/>
          </w:tcPr>
          <w:p>
            <w:r/>
            <w:r>
              <w:rPr>
                <w:b/>
              </w:rPr>
              <w:t>NFR</w:t>
            </w:r>
          </w:p>
        </w:tc>
        <w:tc>
          <w:tcPr>
            <w:tcW w:type="dxa" w:w="1981"/>
          </w:tcPr>
          <w:p>
            <w:r/>
            <w:r>
              <w:rPr>
                <w:b/>
              </w:rPr>
              <w:t>SonarQube evidence (if relevant)</w:t>
            </w:r>
          </w:p>
        </w:tc>
        <w:tc>
          <w:tcPr>
            <w:tcW w:type="dxa" w:w="1981"/>
          </w:tcPr>
          <w:p>
            <w:r/>
            <w:r>
              <w:rPr>
                <w:b/>
              </w:rPr>
              <w:t>Other evaluation method</w:t>
            </w:r>
          </w:p>
        </w:tc>
        <w:tc>
          <w:tcPr>
            <w:tcW w:type="dxa" w:w="1981"/>
          </w:tcPr>
          <w:p>
            <w:r/>
            <w:r>
              <w:rPr>
                <w:b/>
              </w:rPr>
              <w:t>Finding / judgment</w:t>
            </w:r>
          </w:p>
        </w:tc>
        <w:tc>
          <w:tcPr>
            <w:tcW w:type="dxa" w:w="1981"/>
          </w:tcPr>
          <w:p>
            <w:r/>
            <w:r>
              <w:rPr>
                <w:b/>
              </w:rPr>
              <w:t>Limitation</w:t>
            </w:r>
          </w:p>
        </w:tc>
      </w:tr>
      <w:tr>
        <w:tc>
          <w:tcPr>
            <w:tcW w:type="dxa" w:w="1981"/>
          </w:tcPr>
          <w:p>
            <w:r/>
            <w:r>
              <w:rPr>
                <w:b w:val="0"/>
              </w:rPr>
              <w:t>NFR 3.2.6.1</w:t>
              <w:br/>
              <w:t>Compatibility</w:t>
            </w:r>
          </w:p>
        </w:tc>
        <w:tc>
          <w:tcPr>
            <w:tcW w:type="dxa" w:w="1981"/>
          </w:tcPr>
          <w:p>
            <w:r/>
            <w:r>
              <w:rPr>
                <w:b w:val="0"/>
              </w:rPr>
              <w:t>N/A — static analysis cannot compare against an external agentMom 1.2 artifact. The only tangential finding is two Minor naming-convention smells (rule S101) on packages/agent/src/legacy/agentmom-1_2-adapter.ts (the AgentMom1_2 interface/class names), which are cosmetic and do not affect the preserved signatures.</w:t>
            </w:r>
          </w:p>
        </w:tc>
        <w:tc>
          <w:tcPr>
            <w:tcW w:type="dxa" w:w="1981"/>
          </w:tcPr>
          <w:p>
            <w:r/>
            <w:r>
              <w:rPr>
                <w:b w:val="0"/>
              </w:rPr>
              <w:t>Manual inspection of the legacy adapter's exported signatures against the reconstructed 1.2 surface (A8.2), confirming no existing method was altered and new features sit alongside it.</w:t>
            </w:r>
          </w:p>
        </w:tc>
        <w:tc>
          <w:tcPr>
            <w:tcW w:type="dxa" w:w="1981"/>
          </w:tcPr>
          <w:p>
            <w:r/>
            <w:r>
              <w:rPr>
                <w:b w:val="0"/>
              </w:rPr>
              <w:t>The reconstructed-interface surrogate passes — no legacy signature was changed — but this demonstrates internal additive discipline against our own reconstruction, not genuine compatibility with the real agentMom 1.2.</w:t>
            </w:r>
          </w:p>
        </w:tc>
        <w:tc>
          <w:tcPr>
            <w:tcW w:type="dxa" w:w="1981"/>
          </w:tcPr>
          <w:p>
            <w:r/>
            <w:r>
              <w:rPr>
                <w:b w:val="0"/>
              </w:rPr>
              <w:t>Carried forward from A8.2: a self-authored 1.2 contract cannot evidence real compatibility. This is unchanged and unresolved by the SonarQube run.</w:t>
            </w:r>
          </w:p>
        </w:tc>
      </w:tr>
      <w:tr>
        <w:tc>
          <w:tcPr>
            <w:tcW w:type="dxa" w:w="1981"/>
          </w:tcPr>
          <w:p>
            <w:r/>
            <w:r>
              <w:rPr>
                <w:b w:val="0"/>
              </w:rPr>
              <w:t>NFR 2.4.1</w:t>
              <w:br/>
              <w:t>Reliability (best-effort delivery)</w:t>
            </w:r>
          </w:p>
        </w:tc>
        <w:tc>
          <w:tcPr>
            <w:tcW w:type="dxa" w:w="1981"/>
          </w:tcPr>
          <w:p>
            <w:r/>
            <w:r>
              <w:rPr>
                <w:b w:val="0"/>
              </w:rPr>
              <w:t>Not directly relevant — SonarQube's “Reliability” software-quality rating (D) measures code-level bugs (led by F1, the crypto sort issue), a different construct from the SRS's delivery-reliability constraint; the two share a name but should not be conflated. No retry/acknowledgement-related code smell was raised in the transport files, at least consistent with assumption A9.2.</w:t>
            </w:r>
          </w:p>
        </w:tc>
        <w:tc>
          <w:tcPr>
            <w:tcW w:type="dxa" w:w="1981"/>
          </w:tcPr>
          <w:p>
            <w:r/>
            <w:r>
              <w:rPr>
                <w:b w:val="0"/>
              </w:rPr>
              <w:t>Static search of packages/agent/src/transports and packages/control-plane/src for retry/ack/resend logic, plus the FR3/FR4 integration tests' observed behaviour on a dropped datagram.</w:t>
            </w:r>
          </w:p>
        </w:tc>
        <w:tc>
          <w:tcPr>
            <w:tcW w:type="dxa" w:w="1981"/>
          </w:tcPr>
          <w:p>
            <w:r/>
            <w:r>
              <w:rPr>
                <w:b w:val="0"/>
              </w:rPr>
              <w:t>No acknowledgement or resend path exists anywhere in the multicast/broadcast code paths; this matches assumption A9.2 exactly, so the implementation is faithful to the “may deliver to all or none” wording.</w:t>
            </w:r>
          </w:p>
        </w:tc>
        <w:tc>
          <w:tcPr>
            <w:tcW w:type="dxa" w:w="1981"/>
          </w:tcPr>
          <w:p>
            <w:r/>
            <w:r>
              <w:rPr>
                <w:b w:val="0"/>
              </w:rPr>
              <w:t>The SRS states no delivery-rate threshold, so no pass/fail rate can be asserted; the surrogate can only confirm the absence of a mitigation mechanism, not measure actual delivery reliability under load.</w:t>
            </w:r>
          </w:p>
        </w:tc>
      </w:tr>
      <w:tr>
        <w:tc>
          <w:tcPr>
            <w:tcW w:type="dxa" w:w="1981"/>
          </w:tcPr>
          <w:p>
            <w:r/>
            <w:r>
              <w:rPr>
                <w:b w:val="0"/>
              </w:rPr>
              <w:t>NFR 2.4.2</w:t>
              <w:br/>
              <w:t>Security</w:t>
            </w:r>
          </w:p>
        </w:tc>
        <w:tc>
          <w:tcPr>
            <w:tcW w:type="dxa" w:w="1981"/>
          </w:tcPr>
          <w:p>
            <w:r/>
            <w:r>
              <w:rPr>
                <w:b w:val="0"/>
              </w:rPr>
              <w:t>Relevant, but narrow — Security Hotspots: 0 (confirmed via api/hotspots/search), Security rating B with all 19 issues being the single justified multicast-address pattern (F3); none relate to the crypto/key-derivation code. Community Build's own banner discloses it does not scan for deeper vulnerability classes, and is not designed to catch a protocol/design-level weakness such as a deterministic key without a handshake.</w:t>
            </w:r>
          </w:p>
        </w:tc>
        <w:tc>
          <w:tcPr>
            <w:tcW w:type="dxa" w:w="1981"/>
          </w:tcPr>
          <w:p>
            <w:r/>
            <w:r>
              <w:rPr>
                <w:b w:val="0"/>
              </w:rPr>
              <w:t>Manual code inspection of packages/core/src/crypto/symmetric.ts and the key-holder logic against assumptions A5.2/A6.2 (deterministic shared key, no rotation on leave).</w:t>
            </w:r>
          </w:p>
        </w:tc>
        <w:tc>
          <w:tcPr>
            <w:tcW w:type="dxa" w:w="1981"/>
          </w:tcPr>
          <w:p>
            <w:r/>
            <w:r>
              <w:rPr>
                <w:b w:val="0"/>
              </w:rPr>
              <w:t>The absence of a SonarQube hotspot on the key-derivation code must not be read as a security clearance; manual inspection confirms the deterministic-key and no-rotation gaps declared in Part 1 are real and present in the frozen baseline.</w:t>
            </w:r>
          </w:p>
        </w:tc>
        <w:tc>
          <w:tcPr>
            <w:tcW w:type="dxa" w:w="1981"/>
          </w:tcPr>
          <w:p>
            <w:r/>
            <w:r>
              <w:rPr>
                <w:b w:val="0"/>
              </w:rPr>
              <w:t>This directly corroborates SRS 2.4.2's own disclaimer (“no guarantee that others cannot decrypt the encrypted messages”) — the tool's silence here is a limitation of the tool, not evidence of security.</w:t>
            </w:r>
          </w:p>
        </w:tc>
      </w:tr>
    </w:tbl>
    <w:p/>
    <w:p>
      <w:r>
        <w:rPr>
          <w:b w:val="0"/>
          <w:i w:val="0"/>
        </w:rPr>
        <w:t>Evidence retained: full JSON export of all 71 issues and the empty hotspots result (api/issues/search, api/hotspots/search), the summary measures export, and dashboard screenshots of the Overview, Issues and Security Hotspots pages are kept in evidence/sonarqube/ alongside this report.</w:t>
      </w:r>
    </w:p>
    <w:p>
      <w:pPr>
        <w:pStyle w:val="Heading2"/>
      </w:pPr>
      <w:r>
        <w:rPr>
          <w:b w:val="0"/>
          <w:i w:val="0"/>
        </w:rPr>
        <w:t>B. Functional Test Derivation, Execution and Traceability</w:t>
      </w:r>
    </w:p>
    <w:p>
      <w:r>
        <w:rPr>
          <w:b w:val="0"/>
          <w:i w:val="0"/>
        </w:rPr>
        <w:t>All 15 test cases were executed against the frozen baseline (commit e79b197, evidence/BASELINE_TAG_HASH.txt); no file under packages/ was changed to produce this evidence. Full raw evidence is retained in evidence/test-execution/.</w:t>
      </w:r>
    </w:p>
    <w:p>
      <w:r>
        <w:rPr>
          <w:b/>
          <w:i w:val="0"/>
          <w:sz w:val="24"/>
        </w:rPr>
        <w:t>Table A — Test Condition Record</w:t>
      </w:r>
    </w:p>
    <w:p>
      <w:r>
        <w:rPr>
          <w:b w:val="0"/>
          <w:i w:val="0"/>
        </w:rPr>
        <w:t>Conditions derived from all 7 FRs are recorded in full in TEST-CONDITIONS.md (54 total). The 24 rows below back the 15 executed test cases; the complete set is attached separately.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Test basis / requirement</w:t>
            </w:r>
          </w:p>
        </w:tc>
        <w:tc>
          <w:tcPr>
            <w:tcW w:type="dxa" w:w="3302"/>
          </w:tcPr>
          <w:p>
            <w:r/>
            <w:r>
              <w:rPr>
                <w:b/>
                <w:sz w:val="18"/>
              </w:rPr>
              <w:t>Condition ID</w:t>
            </w:r>
          </w:p>
        </w:tc>
        <w:tc>
          <w:tcPr>
            <w:tcW w:type="dxa" w:w="3302"/>
          </w:tcPr>
          <w:p>
            <w:r/>
            <w:r>
              <w:rPr>
                <w:b/>
                <w:sz w:val="18"/>
              </w:rPr>
              <w:t>Test condition</w:t>
            </w:r>
          </w:p>
        </w:tc>
      </w:tr>
      <w:tr>
        <w:tc>
          <w:tcPr>
            <w:tcW w:type="dxa" w:w="3302"/>
          </w:tcPr>
          <w:p>
            <w:r/>
            <w:r>
              <w:rPr>
                <w:sz w:val="18"/>
              </w:rPr>
              <w:t>3.2.1.1/.2</w:t>
            </w:r>
          </w:p>
        </w:tc>
        <w:tc>
          <w:tcPr>
            <w:tcW w:type="dxa" w:w="3302"/>
          </w:tcPr>
          <w:p>
            <w:r/>
            <w:r>
              <w:rPr>
                <w:sz w:val="18"/>
              </w:rPr>
              <w:t>COND-04</w:t>
            </w:r>
          </w:p>
        </w:tc>
        <w:tc>
          <w:tcPr>
            <w:tcW w:type="dxa" w:w="3302"/>
          </w:tcPr>
          <w:p>
            <w:r/>
            <w:r>
              <w:rPr>
                <w:sz w:val="18"/>
              </w:rPr>
              <w:t>A send establishes a connection and the addressed agent receives the envelope</w:t>
            </w:r>
          </w:p>
        </w:tc>
      </w:tr>
      <w:tr>
        <w:tc>
          <w:tcPr>
            <w:tcW w:type="dxa" w:w="3302"/>
          </w:tcPr>
          <w:p>
            <w:r/>
            <w:r>
              <w:rPr>
                <w:sz w:val="18"/>
              </w:rPr>
              <w:t>BR-01</w:t>
            </w:r>
          </w:p>
        </w:tc>
        <w:tc>
          <w:tcPr>
            <w:tcW w:type="dxa" w:w="3302"/>
          </w:tcPr>
          <w:p>
            <w:r/>
            <w:r>
              <w:rPr>
                <w:sz w:val="18"/>
              </w:rPr>
              <w:t>COND-05</w:t>
            </w:r>
          </w:p>
        </w:tc>
        <w:tc>
          <w:tcPr>
            <w:tcW w:type="dxa" w:w="3302"/>
          </w:tcPr>
          <w:p>
            <w:r/>
            <w:r>
              <w:rPr>
                <w:sz w:val="18"/>
              </w:rPr>
              <w:t>An envelope whose recipientId ≠ this agent is dropped and raises PROTOCOL_VIOLATION</w:t>
            </w:r>
          </w:p>
        </w:tc>
      </w:tr>
      <w:tr>
        <w:tc>
          <w:tcPr>
            <w:tcW w:type="dxa" w:w="3302"/>
          </w:tcPr>
          <w:p>
            <w:r/>
            <w:r>
              <w:rPr>
                <w:sz w:val="18"/>
              </w:rPr>
              <w:t>3.2.1.3</w:t>
            </w:r>
          </w:p>
        </w:tc>
        <w:tc>
          <w:tcPr>
            <w:tcW w:type="dxa" w:w="3302"/>
          </w:tcPr>
          <w:p>
            <w:r/>
            <w:r>
              <w:rPr>
                <w:sz w:val="18"/>
              </w:rPr>
              <w:t>COND-06</w:t>
            </w:r>
          </w:p>
        </w:tc>
        <w:tc>
          <w:tcPr>
            <w:tcW w:type="dxa" w:w="3302"/>
          </w:tcPr>
          <w:p>
            <w:r/>
            <w:r>
              <w:rPr>
                <w:sz w:val="18"/>
              </w:rPr>
              <w:t>A message sent A→B is not received by C</w:t>
            </w:r>
          </w:p>
        </w:tc>
      </w:tr>
      <w:tr>
        <w:tc>
          <w:tcPr>
            <w:tcW w:type="dxa" w:w="3302"/>
          </w:tcPr>
          <w:p>
            <w:r/>
            <w:r>
              <w:rPr>
                <w:sz w:val="18"/>
              </w:rPr>
              <w:t>3.2.1.4</w:t>
            </w:r>
          </w:p>
        </w:tc>
        <w:tc>
          <w:tcPr>
            <w:tcW w:type="dxa" w:w="3302"/>
          </w:tcPr>
          <w:p>
            <w:r/>
            <w:r>
              <w:rPr>
                <w:sz w:val="18"/>
              </w:rPr>
              <w:t>COND-07</w:t>
            </w:r>
          </w:p>
        </w:tc>
        <w:tc>
          <w:tcPr>
            <w:tcW w:type="dxa" w:w="3302"/>
          </w:tcPr>
          <w:p>
            <w:r/>
            <w:r>
              <w:rPr>
                <w:sz w:val="18"/>
              </w:rPr>
              <w:t>50 messages sent A→B arrive in the order sent</w:t>
            </w:r>
          </w:p>
        </w:tc>
      </w:tr>
      <w:tr>
        <w:tc>
          <w:tcPr>
            <w:tcW w:type="dxa" w:w="3302"/>
          </w:tcPr>
          <w:p>
            <w:r/>
            <w:r>
              <w:rPr>
                <w:sz w:val="18"/>
              </w:rPr>
              <w:t>BR-03</w:t>
            </w:r>
          </w:p>
        </w:tc>
        <w:tc>
          <w:tcPr>
            <w:tcW w:type="dxa" w:w="3302"/>
          </w:tcPr>
          <w:p>
            <w:r/>
            <w:r>
              <w:rPr>
                <w:sz w:val="18"/>
              </w:rPr>
              <w:t>COND-08</w:t>
            </w:r>
          </w:p>
        </w:tc>
        <w:tc>
          <w:tcPr>
            <w:tcW w:type="dxa" w:w="3302"/>
          </w:tcPr>
          <w:p>
            <w:r/>
            <w:r>
              <w:rPr>
                <w:sz w:val="18"/>
              </w:rPr>
              <w:t>A sequenceNumber of lastSeen+2 raises SEQUENCE_ANOMALY; lastSeen+1 does not</w:t>
            </w:r>
          </w:p>
        </w:tc>
      </w:tr>
      <w:tr>
        <w:tc>
          <w:tcPr>
            <w:tcW w:type="dxa" w:w="3302"/>
          </w:tcPr>
          <w:p>
            <w:r/>
            <w:r>
              <w:rPr>
                <w:sz w:val="18"/>
              </w:rPr>
              <w:t>SRS UC2</w:t>
            </w:r>
          </w:p>
        </w:tc>
        <w:tc>
          <w:tcPr>
            <w:tcW w:type="dxa" w:w="3302"/>
          </w:tcPr>
          <w:p>
            <w:r/>
            <w:r>
              <w:rPr>
                <w:sz w:val="18"/>
              </w:rPr>
              <w:t>COND-10</w:t>
            </w:r>
          </w:p>
        </w:tc>
        <w:tc>
          <w:tcPr>
            <w:tcW w:type="dxa" w:w="3302"/>
          </w:tcPr>
          <w:p>
            <w:r/>
            <w:r>
              <w:rPr>
                <w:sz w:val="18"/>
              </w:rPr>
              <w:t>Use Case 2 (unicast) re-enacted end-to-end through the harness</w:t>
            </w:r>
          </w:p>
        </w:tc>
      </w:tr>
      <w:tr>
        <w:tc>
          <w:tcPr>
            <w:tcW w:type="dxa" w:w="3302"/>
          </w:tcPr>
          <w:p>
            <w:r/>
            <w:r>
              <w:rPr>
                <w:sz w:val="18"/>
              </w:rPr>
              <w:t>3.2.2.3</w:t>
            </w:r>
          </w:p>
        </w:tc>
        <w:tc>
          <w:tcPr>
            <w:tcW w:type="dxa" w:w="3302"/>
          </w:tcPr>
          <w:p>
            <w:r/>
            <w:r>
              <w:rPr>
                <w:sz w:val="18"/>
              </w:rPr>
              <w:t>COND-11</w:t>
            </w:r>
          </w:p>
        </w:tc>
        <w:tc>
          <w:tcPr>
            <w:tcW w:type="dxa" w:w="3302"/>
          </w:tcPr>
          <w:p>
            <w:r/>
            <w:r>
              <w:rPr>
                <w:sz w:val="18"/>
              </w:rPr>
              <w:t>join() transitions NOT_MEMBER → JOINING → MEMBER</w:t>
            </w:r>
          </w:p>
        </w:tc>
      </w:tr>
      <w:tr>
        <w:tc>
          <w:tcPr>
            <w:tcW w:type="dxa" w:w="3302"/>
          </w:tcPr>
          <w:p>
            <w:r/>
            <w:r>
              <w:rPr>
                <w:sz w:val="18"/>
              </w:rPr>
              <w:t>BR-06</w:t>
            </w:r>
          </w:p>
        </w:tc>
        <w:tc>
          <w:tcPr>
            <w:tcW w:type="dxa" w:w="3302"/>
          </w:tcPr>
          <w:p>
            <w:r/>
            <w:r>
              <w:rPr>
                <w:sz w:val="18"/>
              </w:rPr>
              <w:t>COND-13</w:t>
            </w:r>
          </w:p>
        </w:tc>
        <w:tc>
          <w:tcPr>
            <w:tcW w:type="dxa" w:w="3302"/>
          </w:tcPr>
          <w:p>
            <w:r/>
            <w:r>
              <w:rPr>
                <w:sz w:val="18"/>
              </w:rPr>
              <w:t>leave() removes from the membership set before calling dropMembership</w:t>
            </w:r>
          </w:p>
        </w:tc>
      </w:tr>
      <w:tr>
        <w:tc>
          <w:tcPr>
            <w:tcW w:type="dxa" w:w="3302"/>
          </w:tcPr>
          <w:p>
            <w:r/>
            <w:r>
              <w:rPr>
                <w:sz w:val="18"/>
              </w:rPr>
              <w:t>3.2.2.9 / BR-07</w:t>
            </w:r>
          </w:p>
        </w:tc>
        <w:tc>
          <w:tcPr>
            <w:tcW w:type="dxa" w:w="3302"/>
          </w:tcPr>
          <w:p>
            <w:r/>
            <w:r>
              <w:rPr>
                <w:sz w:val="18"/>
              </w:rPr>
              <w:t>COND-16</w:t>
            </w:r>
          </w:p>
        </w:tc>
        <w:tc>
          <w:tcPr>
            <w:tcW w:type="dxa" w:w="3302"/>
          </w:tcPr>
          <w:p>
            <w:r/>
            <w:r>
              <w:rPr>
                <w:sz w:val="18"/>
              </w:rPr>
              <w:t>An agent joined to α and β receives from both, each attributed to the correct group</w:t>
            </w:r>
          </w:p>
        </w:tc>
      </w:tr>
      <w:tr>
        <w:tc>
          <w:tcPr>
            <w:tcW w:type="dxa" w:w="3302"/>
          </w:tcPr>
          <w:p>
            <w:r/>
            <w:r>
              <w:rPr>
                <w:sz w:val="18"/>
              </w:rPr>
              <w:t>SRS UC1</w:t>
            </w:r>
          </w:p>
        </w:tc>
        <w:tc>
          <w:tcPr>
            <w:tcW w:type="dxa" w:w="3302"/>
          </w:tcPr>
          <w:p>
            <w:r/>
            <w:r>
              <w:rPr>
                <w:sz w:val="18"/>
              </w:rPr>
              <w:t>COND-17</w:t>
            </w:r>
          </w:p>
        </w:tc>
        <w:tc>
          <w:tcPr>
            <w:tcW w:type="dxa" w:w="3302"/>
          </w:tcPr>
          <w:p>
            <w:r/>
            <w:r>
              <w:rPr>
                <w:sz w:val="18"/>
              </w:rPr>
              <w:t>Use Case 1 (join/leave) re-enacted through the harness</w:t>
            </w:r>
          </w:p>
        </w:tc>
      </w:tr>
      <w:tr>
        <w:tc>
          <w:tcPr>
            <w:tcW w:type="dxa" w:w="3302"/>
          </w:tcPr>
          <w:p>
            <w:r/>
            <w:r>
              <w:rPr>
                <w:sz w:val="18"/>
              </w:rPr>
              <w:t>BR-06</w:t>
            </w:r>
          </w:p>
        </w:tc>
        <w:tc>
          <w:tcPr>
            <w:tcW w:type="dxa" w:w="3302"/>
          </w:tcPr>
          <w:p>
            <w:r/>
            <w:r>
              <w:rPr>
                <w:sz w:val="18"/>
              </w:rPr>
              <w:t>COND-18</w:t>
            </w:r>
          </w:p>
        </w:tc>
        <w:tc>
          <w:tcPr>
            <w:tcW w:type="dxa" w:w="3302"/>
          </w:tcPr>
          <w:p>
            <w:r/>
            <w:r>
              <w:rPr>
                <w:sz w:val="18"/>
              </w:rPr>
              <w:t>A message inbound in the same event-loop tick as leave() is dropped, not delivered</w:t>
            </w:r>
          </w:p>
        </w:tc>
      </w:tr>
      <w:tr>
        <w:tc>
          <w:tcPr>
            <w:tcW w:type="dxa" w:w="3302"/>
          </w:tcPr>
          <w:p>
            <w:r/>
            <w:r>
              <w:rPr>
                <w:sz w:val="18"/>
              </w:rPr>
              <w:t>BR-09</w:t>
            </w:r>
          </w:p>
        </w:tc>
        <w:tc>
          <w:tcPr>
            <w:tcW w:type="dxa" w:w="3302"/>
          </w:tcPr>
          <w:p>
            <w:r/>
            <w:r>
              <w:rPr>
                <w:sz w:val="18"/>
              </w:rPr>
              <w:t>COND-19</w:t>
            </w:r>
          </w:p>
        </w:tc>
        <w:tc>
          <w:tcPr>
            <w:tcW w:type="dxa" w:w="3302"/>
          </w:tcPr>
          <w:p>
            <w:r/>
            <w:r>
              <w:rPr>
                <w:sz w:val="18"/>
              </w:rPr>
              <w:t>ttl=1 is deliverable; ttl=0 is expired — exact boundary</w:t>
            </w:r>
          </w:p>
        </w:tc>
      </w:tr>
      <w:tr>
        <w:tc>
          <w:tcPr>
            <w:tcW w:type="dxa" w:w="3302"/>
          </w:tcPr>
          <w:p>
            <w:r/>
            <w:r>
              <w:rPr>
                <w:sz w:val="18"/>
              </w:rPr>
              <w:t>BR-09</w:t>
            </w:r>
          </w:p>
        </w:tc>
        <w:tc>
          <w:tcPr>
            <w:tcW w:type="dxa" w:w="3302"/>
          </w:tcPr>
          <w:p>
            <w:r/>
            <w:r>
              <w:rPr>
                <w:sz w:val="18"/>
              </w:rPr>
              <w:t>COND-21</w:t>
            </w:r>
          </w:p>
        </w:tc>
        <w:tc>
          <w:tcPr>
            <w:tcW w:type="dxa" w:w="3302"/>
          </w:tcPr>
          <w:p>
            <w:r/>
            <w:r>
              <w:rPr>
                <w:sz w:val="18"/>
              </w:rPr>
              <w:t>A received envelope with expired TTL raises MESSAGE_DROPPED_TTL_EXPIRED and is not delivered</w:t>
            </w:r>
          </w:p>
        </w:tc>
      </w:tr>
      <w:tr>
        <w:tc>
          <w:tcPr>
            <w:tcW w:type="dxa" w:w="3302"/>
          </w:tcPr>
          <w:p>
            <w:r/>
            <w:r>
              <w:rPr>
                <w:sz w:val="18"/>
              </w:rPr>
              <w:t>SRS §1.3</w:t>
            </w:r>
          </w:p>
        </w:tc>
        <w:tc>
          <w:tcPr>
            <w:tcW w:type="dxa" w:w="3302"/>
          </w:tcPr>
          <w:p>
            <w:r/>
            <w:r>
              <w:rPr>
                <w:sz w:val="18"/>
              </w:rPr>
              <w:t>COND-22</w:t>
            </w:r>
          </w:p>
        </w:tc>
        <w:tc>
          <w:tcPr>
            <w:tcW w:type="dxa" w:w="3302"/>
          </w:tcPr>
          <w:p>
            <w:r/>
            <w:r>
              <w:rPr>
                <w:sz w:val="18"/>
              </w:rPr>
              <w:t>OS-level setMulticastTTL(0) confines a datagram to the originating host</w:t>
            </w:r>
          </w:p>
        </w:tc>
      </w:tr>
      <w:tr>
        <w:tc>
          <w:tcPr>
            <w:tcW w:type="dxa" w:w="3302"/>
          </w:tcPr>
          <w:p>
            <w:r/>
            <w:r>
              <w:rPr>
                <w:sz w:val="18"/>
              </w:rPr>
              <w:t>BR-10</w:t>
            </w:r>
          </w:p>
        </w:tc>
        <w:tc>
          <w:tcPr>
            <w:tcW w:type="dxa" w:w="3302"/>
          </w:tcPr>
          <w:p>
            <w:r/>
            <w:r>
              <w:rPr>
                <w:sz w:val="18"/>
              </w:rPr>
              <w:t>COND-24</w:t>
            </w:r>
          </w:p>
        </w:tc>
        <w:tc>
          <w:tcPr>
            <w:tcW w:type="dxa" w:w="3302"/>
          </w:tcPr>
          <w:p>
            <w:r/>
            <w:r>
              <w:rPr>
                <w:sz w:val="18"/>
              </w:rPr>
              <w:t>A destination outside 224.0.0.0/4 is rejected at send time</w:t>
            </w:r>
          </w:p>
        </w:tc>
      </w:tr>
      <w:tr>
        <w:tc>
          <w:tcPr>
            <w:tcW w:type="dxa" w:w="3302"/>
          </w:tcPr>
          <w:p>
            <w:r/>
            <w:r>
              <w:rPr>
                <w:sz w:val="18"/>
              </w:rPr>
              <w:t>3.2.3.1/.2</w:t>
            </w:r>
          </w:p>
        </w:tc>
        <w:tc>
          <w:tcPr>
            <w:tcW w:type="dxa" w:w="3302"/>
          </w:tcPr>
          <w:p>
            <w:r/>
            <w:r>
              <w:rPr>
                <w:sz w:val="18"/>
              </w:rPr>
              <w:t>COND-29</w:t>
            </w:r>
          </w:p>
        </w:tc>
        <w:tc>
          <w:tcPr>
            <w:tcW w:type="dxa" w:w="3302"/>
          </w:tcPr>
          <w:p>
            <w:r/>
            <w:r>
              <w:rPr>
                <w:sz w:val="18"/>
              </w:rPr>
              <w:t>A broadcast send is received by every agent on the same host</w:t>
            </w:r>
          </w:p>
        </w:tc>
      </w:tr>
      <w:tr>
        <w:tc>
          <w:tcPr>
            <w:tcW w:type="dxa" w:w="3302"/>
          </w:tcPr>
          <w:p>
            <w:r/>
            <w:r>
              <w:rPr>
                <w:sz w:val="18"/>
              </w:rPr>
              <w:t>3.2.3.3</w:t>
            </w:r>
          </w:p>
        </w:tc>
        <w:tc>
          <w:tcPr>
            <w:tcW w:type="dxa" w:w="3302"/>
          </w:tcPr>
          <w:p>
            <w:r/>
            <w:r>
              <w:rPr>
                <w:sz w:val="18"/>
              </w:rPr>
              <w:t>COND-30</w:t>
            </w:r>
          </w:p>
        </w:tc>
        <w:tc>
          <w:tcPr>
            <w:tcW w:type="dxa" w:w="3302"/>
          </w:tcPr>
          <w:p>
            <w:r/>
            <w:r>
              <w:rPr>
                <w:sz w:val="18"/>
              </w:rPr>
              <w:t>A broadcast is sent to all possible hosts under the same local network</w:t>
            </w:r>
          </w:p>
        </w:tc>
      </w:tr>
      <w:tr>
        <w:tc>
          <w:tcPr>
            <w:tcW w:type="dxa" w:w="3302"/>
          </w:tcPr>
          <w:p>
            <w:r/>
            <w:r>
              <w:rPr>
                <w:sz w:val="18"/>
              </w:rPr>
              <w:t>SRS UC4</w:t>
            </w:r>
          </w:p>
        </w:tc>
        <w:tc>
          <w:tcPr>
            <w:tcW w:type="dxa" w:w="3302"/>
          </w:tcPr>
          <w:p>
            <w:r/>
            <w:r>
              <w:rPr>
                <w:sz w:val="18"/>
              </w:rPr>
              <w:t>COND-33</w:t>
            </w:r>
          </w:p>
        </w:tc>
        <w:tc>
          <w:tcPr>
            <w:tcW w:type="dxa" w:w="3302"/>
          </w:tcPr>
          <w:p>
            <w:r/>
            <w:r>
              <w:rPr>
                <w:sz w:val="18"/>
              </w:rPr>
              <w:t>Use Case 4 (broadcast) re-enacted through the harness</w:t>
            </w:r>
          </w:p>
        </w:tc>
      </w:tr>
      <w:tr>
        <w:tc>
          <w:tcPr>
            <w:tcW w:type="dxa" w:w="3302"/>
          </w:tcPr>
          <w:p>
            <w:r/>
            <w:r>
              <w:rPr>
                <w:sz w:val="18"/>
              </w:rPr>
              <w:t>BR-16</w:t>
            </w:r>
          </w:p>
        </w:tc>
        <w:tc>
          <w:tcPr>
            <w:tcW w:type="dxa" w:w="3302"/>
          </w:tcPr>
          <w:p>
            <w:r/>
            <w:r>
              <w:rPr>
                <w:sz w:val="18"/>
              </w:rPr>
              <w:t>COND-37</w:t>
            </w:r>
          </w:p>
        </w:tc>
        <w:tc>
          <w:tcPr>
            <w:tcW w:type="dxa" w:w="3302"/>
          </w:tcPr>
          <w:p>
            <w:r/>
            <w:r>
              <w:rPr>
                <w:sz w:val="18"/>
              </w:rPr>
              <w:t>encrypted=true with iv or authTag missing is malformed: dropped, no decryption attempted</w:t>
            </w:r>
          </w:p>
        </w:tc>
      </w:tr>
      <w:tr>
        <w:tc>
          <w:tcPr>
            <w:tcW w:type="dxa" w:w="3302"/>
          </w:tcPr>
          <w:p>
            <w:r/>
            <w:r>
              <w:rPr>
                <w:sz w:val="18"/>
              </w:rPr>
              <w:t>BR-14</w:t>
            </w:r>
          </w:p>
        </w:tc>
        <w:tc>
          <w:tcPr>
            <w:tcW w:type="dxa" w:w="3302"/>
          </w:tcPr>
          <w:p>
            <w:r/>
            <w:r>
              <w:rPr>
                <w:sz w:val="18"/>
              </w:rPr>
              <w:t>COND-38</w:t>
            </w:r>
          </w:p>
        </w:tc>
        <w:tc>
          <w:tcPr>
            <w:tcW w:type="dxa" w:w="3302"/>
          </w:tcPr>
          <w:p>
            <w:r/>
            <w:r>
              <w:rPr>
                <w:sz w:val="18"/>
              </w:rPr>
              <w:t>A message sent with encrypted=false travels as plaintext; the same body with encrypted=true differs on the wire</w:t>
            </w:r>
          </w:p>
        </w:tc>
      </w:tr>
      <w:tr>
        <w:tc>
          <w:tcPr>
            <w:tcW w:type="dxa" w:w="3302"/>
          </w:tcPr>
          <w:p>
            <w:r/>
            <w:r>
              <w:rPr>
                <w:sz w:val="18"/>
              </w:rPr>
              <w:t>3.2.4.4</w:t>
            </w:r>
          </w:p>
        </w:tc>
        <w:tc>
          <w:tcPr>
            <w:tcW w:type="dxa" w:w="3302"/>
          </w:tcPr>
          <w:p>
            <w:r/>
            <w:r>
              <w:rPr>
                <w:sz w:val="18"/>
              </w:rPr>
              <w:t>COND-39</w:t>
            </w:r>
          </w:p>
        </w:tc>
        <w:tc>
          <w:tcPr>
            <w:tcW w:type="dxa" w:w="3302"/>
          </w:tcPr>
          <w:p>
            <w:r/>
            <w:r>
              <w:rPr>
                <w:sz w:val="18"/>
              </w:rPr>
              <w:t>The receiver decrypts automatically with no user action</w:t>
            </w:r>
          </w:p>
        </w:tc>
      </w:tr>
      <w:tr>
        <w:tc>
          <w:tcPr>
            <w:tcW w:type="dxa" w:w="3302"/>
          </w:tcPr>
          <w:p>
            <w:r/>
            <w:r>
              <w:rPr>
                <w:sz w:val="18"/>
              </w:rPr>
              <w:t>BR-18</w:t>
            </w:r>
          </w:p>
        </w:tc>
        <w:tc>
          <w:tcPr>
            <w:tcW w:type="dxa" w:w="3302"/>
          </w:tcPr>
          <w:p>
            <w:r/>
            <w:r>
              <w:rPr>
                <w:sz w:val="18"/>
              </w:rPr>
              <w:t>COND-42</w:t>
            </w:r>
          </w:p>
        </w:tc>
        <w:tc>
          <w:tcPr>
            <w:tcW w:type="dxa" w:w="3302"/>
          </w:tcPr>
          <w:p>
            <w:r/>
            <w:r>
              <w:rPr>
                <w:sz w:val="18"/>
              </w:rPr>
              <w:t>A non-allow-listed agent's key request is denied and raises GROUP_KEY_DENIED</w:t>
            </w:r>
          </w:p>
        </w:tc>
      </w:tr>
      <w:tr>
        <w:tc>
          <w:tcPr>
            <w:tcW w:type="dxa" w:w="3302"/>
          </w:tcPr>
          <w:p>
            <w:r/>
            <w:r>
              <w:rPr>
                <w:sz w:val="18"/>
              </w:rPr>
              <w:t>3.2.5.1/.2</w:t>
            </w:r>
          </w:p>
        </w:tc>
        <w:tc>
          <w:tcPr>
            <w:tcW w:type="dxa" w:w="3302"/>
          </w:tcPr>
          <w:p>
            <w:r/>
            <w:r>
              <w:rPr>
                <w:sz w:val="18"/>
              </w:rPr>
              <w:t>COND-47</w:t>
            </w:r>
          </w:p>
        </w:tc>
        <w:tc>
          <w:tcPr>
            <w:tcW w:type="dxa" w:w="3302"/>
          </w:tcPr>
          <w:p>
            <w:r/>
            <w:r>
              <w:rPr>
                <w:sz w:val="18"/>
              </w:rPr>
              <w:t>Delivery behaviour is identical before and after a live architecture switch</w:t>
            </w:r>
          </w:p>
        </w:tc>
      </w:tr>
      <w:tr>
        <w:tc>
          <w:tcPr>
            <w:tcW w:type="dxa" w:w="3302"/>
          </w:tcPr>
          <w:p>
            <w:r/>
            <w:r>
              <w:rPr>
                <w:sz w:val="18"/>
              </w:rPr>
              <w:t>3.2.5.1/.2</w:t>
            </w:r>
          </w:p>
        </w:tc>
        <w:tc>
          <w:tcPr>
            <w:tcW w:type="dxa" w:w="3302"/>
          </w:tcPr>
          <w:p>
            <w:r/>
            <w:r>
              <w:rPr>
                <w:sz w:val="18"/>
              </w:rPr>
              <w:t>COND-49</w:t>
            </w:r>
          </w:p>
        </w:tc>
        <w:tc>
          <w:tcPr>
            <w:tcW w:type="dxa" w:w="3302"/>
          </w:tcPr>
          <w:p>
            <w:r/>
            <w:r>
              <w:rPr>
                <w:sz w:val="18"/>
              </w:rPr>
              <w:t>The switch is observable in the harness with an ARCHITECTURE_SWITCHED marker</w:t>
            </w:r>
          </w:p>
        </w:tc>
      </w:tr>
    </w:tbl>
    <w:p/>
    <w:p>
      <w:r>
        <w:rPr>
          <w:b/>
          <w:i w:val="0"/>
          <w:sz w:val="24"/>
        </w:rPr>
        <w:t>Table B — Test Case Record</w:t>
      </w:r>
    </w:p>
    <w:p>
      <w:r>
        <w:rPr>
          <w:b w:val="0"/>
          <w:i w:val="0"/>
        </w:rPr>
        <w:t>Executed 2026-09-07 against the frozen baseline (e79b197), single-host test bed. Automated cases: npm test, full log in evidence/test-execution/npm-test-output-verbose.txt (217/217 green). Manual cases: driven live through the harness (bash runsystem.sh), screenshots in evidence/test-execution/. Category minimums met: boundary — TC-03, TC-05, TC-07 (3, ≥2 required); invalid/error — TC-09, TC-12, TC-14 (3, ≥2 required); manual system-level — TC-01, TC-04, TC-10, TC-11, TC-15 (5, ≥3 required); genuine FAILED/BLOCKED — TC-08 (FAILED), TC-11 (BLOCKED) (2, ≥2 required).</w:t>
      </w:r>
    </w:p>
    <w:p>
      <w:r>
        <w:rPr>
          <w:b/>
          <w:i w:val="0"/>
          <w:sz w:val="21"/>
        </w:rPr>
        <w:t>TC-01 — Unicast delivery, SRS Use Case 2</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TC-01 — Unicast delivery, SRS Use Case 2</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COND-10 (SRS UC2) + COND-04 (3.2.1.1/.2) — a unicast send is established and delivered to the addressed agent</w:t>
            </w:r>
          </w:p>
        </w:tc>
      </w:tr>
      <w:tr>
        <w:tc>
          <w:tcPr>
            <w:tcW w:type="dxa" w:w="4953"/>
          </w:tcPr>
          <w:p>
            <w:r/>
            <w:r>
              <w:rPr>
                <w:b/>
                <w:sz w:val="18"/>
              </w:rPr>
              <w:t>Preconditions</w:t>
            </w:r>
          </w:p>
        </w:tc>
        <w:tc>
          <w:tcPr>
            <w:tcW w:type="dxa" w:w="4953"/>
          </w:tcPr>
          <w:p>
            <w:r/>
            <w:r>
              <w:rPr>
                <w:sz w:val="18"/>
              </w:rPr>
              <w:t>Demo topology running (agent-A…D forked, control plane up)</w:t>
            </w:r>
          </w:p>
        </w:tc>
      </w:tr>
      <w:tr>
        <w:tc>
          <w:tcPr>
            <w:tcW w:type="dxa" w:w="4953"/>
          </w:tcPr>
          <w:p>
            <w:r/>
            <w:r>
              <w:rPr>
                <w:b/>
                <w:sz w:val="18"/>
              </w:rPr>
              <w:t>Test data</w:t>
            </w:r>
          </w:p>
        </w:tc>
        <w:tc>
          <w:tcPr>
            <w:tcW w:type="dxa" w:w="4953"/>
          </w:tcPr>
          <w:p>
            <w:r/>
            <w:r>
              <w:rPr>
                <w:sz w:val="18"/>
              </w:rPr>
              <w:t>3 messages, agent-A → agent-B, plaintext</w:t>
            </w:r>
          </w:p>
        </w:tc>
      </w:tr>
      <w:tr>
        <w:tc>
          <w:tcPr>
            <w:tcW w:type="dxa" w:w="4953"/>
          </w:tcPr>
          <w:p>
            <w:r/>
            <w:r>
              <w:rPr>
                <w:b/>
                <w:sz w:val="18"/>
              </w:rPr>
              <w:t>Steps</w:t>
            </w:r>
          </w:p>
        </w:tc>
        <w:tc>
          <w:tcPr>
            <w:tcW w:type="dxa" w:w="4953"/>
          </w:tcPr>
          <w:p>
            <w:r/>
            <w:r>
              <w:rPr>
                <w:sz w:val="18"/>
              </w:rPr>
              <w:t>Open Unicast page; from=agent-A, to=agent-B; send 3 messages in succession; observe status badge and log after each</w:t>
            </w:r>
          </w:p>
        </w:tc>
      </w:tr>
      <w:tr>
        <w:tc>
          <w:tcPr>
            <w:tcW w:type="dxa" w:w="4953"/>
          </w:tcPr>
          <w:p>
            <w:r/>
            <w:r>
              <w:rPr>
                <w:b/>
                <w:sz w:val="18"/>
              </w:rPr>
              <w:t>Expected result</w:t>
            </w:r>
          </w:p>
        </w:tc>
        <w:tc>
          <w:tcPr>
            <w:tcW w:type="dxa" w:w="4953"/>
          </w:tcPr>
          <w:p>
            <w:r/>
            <w:r>
              <w:rPr>
                <w:sz w:val="18"/>
              </w:rPr>
              <w:t>Each send is received by agent-B, in the order sent (3.2.1.4 applies transitively)</w:t>
            </w:r>
          </w:p>
        </w:tc>
      </w:tr>
      <w:tr>
        <w:tc>
          <w:tcPr>
            <w:tcW w:type="dxa" w:w="4953"/>
          </w:tcPr>
          <w:p>
            <w:r/>
            <w:r>
              <w:rPr>
                <w:b/>
                <w:sz w:val="18"/>
              </w:rPr>
              <w:t>Actual result</w:t>
            </w:r>
          </w:p>
        </w:tc>
        <w:tc>
          <w:tcPr>
            <w:tcW w:type="dxa" w:w="4953"/>
          </w:tcPr>
          <w:p>
            <w:r/>
            <w:r>
              <w:rPr>
                <w:sz w:val="18"/>
              </w:rPr>
              <w:t>All 3 delivered; log timestamps strictly increasing (SENT then RECEIVED within 3ms, each pair complete before the next 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TC-01-unicast-burst-success.png</w:t>
            </w:r>
          </w:p>
        </w:tc>
      </w:tr>
    </w:tbl>
    <w:p/>
    <w:p>
      <w:r>
        <w:rPr>
          <w:b/>
          <w:i w:val="0"/>
          <w:sz w:val="21"/>
        </w:rPr>
        <w:t>TC-02 — Unicast addressing isolation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TC-02 — Unicast addressing isolation</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COND-06 (3.2.1.3) + COND-05 (BR-01) — a message addressed to B must not be observed by C</w:t>
            </w:r>
          </w:p>
        </w:tc>
      </w:tr>
      <w:tr>
        <w:tc>
          <w:tcPr>
            <w:tcW w:type="dxa" w:w="4953"/>
          </w:tcPr>
          <w:p>
            <w:r/>
            <w:r>
              <w:rPr>
                <w:b/>
                <w:sz w:val="18"/>
              </w:rPr>
              <w:t>Preconditions</w:t>
            </w:r>
          </w:p>
        </w:tc>
        <w:tc>
          <w:tcPr>
            <w:tcW w:type="dxa" w:w="4953"/>
          </w:tcPr>
          <w:p>
            <w:r/>
            <w:r>
              <w:rPr>
                <w:sz w:val="18"/>
              </w:rPr>
              <w:t>Demo topology forked in-test (fr1-unicast.test.ts)</w:t>
            </w:r>
          </w:p>
        </w:tc>
      </w:tr>
      <w:tr>
        <w:tc>
          <w:tcPr>
            <w:tcW w:type="dxa" w:w="4953"/>
          </w:tcPr>
          <w:p>
            <w:r/>
            <w:r>
              <w:rPr>
                <w:b/>
                <w:sz w:val="18"/>
              </w:rPr>
              <w:t>Test data</w:t>
            </w:r>
          </w:p>
        </w:tc>
        <w:tc>
          <w:tcPr>
            <w:tcW w:type="dxa" w:w="4953"/>
          </w:tcPr>
          <w:p>
            <w:r/>
            <w:r>
              <w:rPr>
                <w:sz w:val="18"/>
              </w:rPr>
              <w:t>One message, agent-A → agent-B</w:t>
            </w:r>
          </w:p>
        </w:tc>
      </w:tr>
      <w:tr>
        <w:tc>
          <w:tcPr>
            <w:tcW w:type="dxa" w:w="4953"/>
          </w:tcPr>
          <w:p>
            <w:r/>
            <w:r>
              <w:rPr>
                <w:b/>
                <w:sz w:val="18"/>
              </w:rPr>
              <w:t>Steps</w:t>
            </w:r>
          </w:p>
        </w:tc>
        <w:tc>
          <w:tcPr>
            <w:tcW w:type="dxa" w:w="4953"/>
          </w:tcPr>
          <w:p>
            <w:r/>
            <w:r>
              <w:rPr>
                <w:sz w:val="18"/>
              </w:rPr>
              <w:t>POST /messages/unicast A→B; query the aggregated log; assert every MESSAGE_RECEIVED for this exchange is attributed to agent-B only</w:t>
            </w:r>
          </w:p>
        </w:tc>
      </w:tr>
      <w:tr>
        <w:tc>
          <w:tcPr>
            <w:tcW w:type="dxa" w:w="4953"/>
          </w:tcPr>
          <w:p>
            <w:r/>
            <w:r>
              <w:rPr>
                <w:b/>
                <w:sz w:val="18"/>
              </w:rPr>
              <w:t>Expected result</w:t>
            </w:r>
          </w:p>
        </w:tc>
        <w:tc>
          <w:tcPr>
            <w:tcW w:type="dxa" w:w="4953"/>
          </w:tcPr>
          <w:p>
            <w:r/>
            <w:r>
              <w:rPr>
                <w:sz w:val="18"/>
              </w:rPr>
              <w:t>No MESSAGE_RECEIVED event attributed to agent-C</w:t>
            </w:r>
          </w:p>
        </w:tc>
      </w:tr>
      <w:tr>
        <w:tc>
          <w:tcPr>
            <w:tcW w:type="dxa" w:w="4953"/>
          </w:tcPr>
          <w:p>
            <w:r/>
            <w:r>
              <w:rPr>
                <w:b/>
                <w:sz w:val="18"/>
              </w:rPr>
              <w:t>Actual result</w:t>
            </w:r>
          </w:p>
        </w:tc>
        <w:tc>
          <w:tcPr>
            <w:tcW w:type="dxa" w:w="4953"/>
          </w:tcPr>
          <w:p>
            <w:r/>
            <w:r>
              <w:rPr>
                <w:sz w:val="18"/>
              </w:rPr>
              <w:t>Matched — only agent-B logged as receiver</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TC-02 / COND-06 … &gt; only B receives — npm-test-output-verbose.txt</w:t>
            </w:r>
          </w:p>
        </w:tc>
      </w:tr>
    </w:tbl>
    <w:p/>
    <w:p>
      <w:r>
        <w:rPr>
          <w:b/>
          <w:i w:val="0"/>
          <w:sz w:val="21"/>
        </w:rPr>
        <w:t>TC-03 — Ordered delivery of a 50-message burst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TC-03 — Ordered delivery of a 50-message burst</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COND-07 (3.2.1.4) + COND-08 (BR-03) — TCP-backed ordering holds under volume; no false SEQUENCE_ANOMALY</w:t>
            </w:r>
          </w:p>
        </w:tc>
      </w:tr>
      <w:tr>
        <w:tc>
          <w:tcPr>
            <w:tcW w:type="dxa" w:w="4953"/>
          </w:tcPr>
          <w:p>
            <w:r/>
            <w:r>
              <w:rPr>
                <w:b/>
                <w:sz w:val="18"/>
              </w:rPr>
              <w:t>Preconditions</w:t>
            </w:r>
          </w:p>
        </w:tc>
        <w:tc>
          <w:tcPr>
            <w:tcW w:type="dxa" w:w="4953"/>
          </w:tcPr>
          <w:p>
            <w:r/>
            <w:r>
              <w:rPr>
                <w:sz w:val="18"/>
              </w:rPr>
              <w:t>As TC-02</w:t>
            </w:r>
          </w:p>
        </w:tc>
      </w:tr>
      <w:tr>
        <w:tc>
          <w:tcPr>
            <w:tcW w:type="dxa" w:w="4953"/>
          </w:tcPr>
          <w:p>
            <w:r/>
            <w:r>
              <w:rPr>
                <w:b/>
                <w:sz w:val="18"/>
              </w:rPr>
              <w:t>Test data</w:t>
            </w:r>
          </w:p>
        </w:tc>
        <w:tc>
          <w:tcPr>
            <w:tcW w:type="dxa" w:w="4953"/>
          </w:tcPr>
          <w:p>
            <w:r/>
            <w:r>
              <w:rPr>
                <w:sz w:val="18"/>
              </w:rPr>
              <w:t>50 sequential messages, agent-A → agent-B</w:t>
            </w:r>
          </w:p>
        </w:tc>
      </w:tr>
      <w:tr>
        <w:tc>
          <w:tcPr>
            <w:tcW w:type="dxa" w:w="4953"/>
          </w:tcPr>
          <w:p>
            <w:r/>
            <w:r>
              <w:rPr>
                <w:b/>
                <w:sz w:val="18"/>
              </w:rPr>
              <w:t>Steps</w:t>
            </w:r>
          </w:p>
        </w:tc>
        <w:tc>
          <w:tcPr>
            <w:tcW w:type="dxa" w:w="4953"/>
          </w:tcPr>
          <w:p>
            <w:r/>
            <w:r>
              <w:rPr>
                <w:sz w:val="18"/>
              </w:rPr>
              <w:t>POST 50 messages in a loop; assert zero SEQUENCE_ANOMALY events; assert ≥50 MESSAGE_SENT from agent-A</w:t>
            </w:r>
          </w:p>
        </w:tc>
      </w:tr>
      <w:tr>
        <w:tc>
          <w:tcPr>
            <w:tcW w:type="dxa" w:w="4953"/>
          </w:tcPr>
          <w:p>
            <w:r/>
            <w:r>
              <w:rPr>
                <w:b/>
                <w:sz w:val="18"/>
              </w:rPr>
              <w:t>Expected result</w:t>
            </w:r>
          </w:p>
        </w:tc>
        <w:tc>
          <w:tcPr>
            <w:tcW w:type="dxa" w:w="4953"/>
          </w:tcPr>
          <w:p>
            <w:r/>
            <w:r>
              <w:rPr>
                <w:sz w:val="18"/>
              </w:rPr>
              <w:t>No anomaly raised; all 50 sent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TC-03 / COND-07 … &gt; ordered delivery — npm-test-output-verbose.txt</w:t>
            </w:r>
          </w:p>
        </w:tc>
      </w:tr>
    </w:tbl>
    <w:p/>
    <w:p>
      <w:r>
        <w:rPr>
          <w:b/>
          <w:i w:val="0"/>
          <w:sz w:val="21"/>
        </w:rPr>
        <w:t>TC-04 — Multicast join/leave, SRS Use Case 1</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TC-04 — Multicast join/leave, SRS Use Case 1</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COND-17 (SRS UC1) + COND-11 (3.2.2.3) — join transitions membership and unlocks delivery; leave revokes it</w:t>
            </w:r>
          </w:p>
        </w:tc>
      </w:tr>
      <w:tr>
        <w:tc>
          <w:tcPr>
            <w:tcW w:type="dxa" w:w="4953"/>
          </w:tcPr>
          <w:p>
            <w:r/>
            <w:r>
              <w:rPr>
                <w:b/>
                <w:sz w:val="18"/>
              </w:rPr>
              <w:t>Preconditions</w:t>
            </w:r>
          </w:p>
        </w:tc>
        <w:tc>
          <w:tcPr>
            <w:tcW w:type="dxa" w:w="4953"/>
          </w:tcPr>
          <w:p>
            <w:r/>
            <w:r>
              <w:rPr>
                <w:sz w:val="18"/>
              </w:rPr>
              <w:t>agent-A starts NOT_MEMBER of group α (239.1.1.5)</w:t>
            </w:r>
          </w:p>
        </w:tc>
      </w:tr>
      <w:tr>
        <w:tc>
          <w:tcPr>
            <w:tcW w:type="dxa" w:w="4953"/>
          </w:tcPr>
          <w:p>
            <w:r/>
            <w:r>
              <w:rPr>
                <w:b/>
                <w:sz w:val="18"/>
              </w:rPr>
              <w:t>Test data</w:t>
            </w:r>
          </w:p>
        </w:tc>
        <w:tc>
          <w:tcPr>
            <w:tcW w:type="dxa" w:w="4953"/>
          </w:tcPr>
          <w:p>
            <w:r/>
            <w:r>
              <w:rPr>
                <w:sz w:val="18"/>
              </w:rPr>
              <w:t>Group α, sender agent-C</w:t>
            </w:r>
          </w:p>
        </w:tc>
      </w:tr>
      <w:tr>
        <w:tc>
          <w:tcPr>
            <w:tcW w:type="dxa" w:w="4953"/>
          </w:tcPr>
          <w:p>
            <w:r/>
            <w:r>
              <w:rPr>
                <w:b/>
                <w:sz w:val="18"/>
              </w:rPr>
              <w:t>Steps</w:t>
            </w:r>
          </w:p>
        </w:tc>
        <w:tc>
          <w:tcPr>
            <w:tcW w:type="dxa" w:w="4953"/>
          </w:tcPr>
          <w:p>
            <w:r/>
            <w:r>
              <w:rPr>
                <w:sz w:val="18"/>
              </w:rPr>
              <w:t>(1) confirm agent-A is NOT_MEMBER; (2) join agent-A; (3) send a multicast from agent-C; (4) confirm agent-A receives it; (5) leave agent-A; (6) send again from agent-C; (7) confirm agent-A does not receive it</w:t>
            </w:r>
          </w:p>
        </w:tc>
      </w:tr>
      <w:tr>
        <w:tc>
          <w:tcPr>
            <w:tcW w:type="dxa" w:w="4953"/>
          </w:tcPr>
          <w:p>
            <w:r/>
            <w:r>
              <w:rPr>
                <w:b/>
                <w:sz w:val="18"/>
              </w:rPr>
              <w:t>Expected result</w:t>
            </w:r>
          </w:p>
        </w:tc>
        <w:tc>
          <w:tcPr>
            <w:tcW w:type="dxa" w:w="4953"/>
          </w:tcPr>
          <w:p>
            <w:r/>
            <w:r>
              <w:rPr>
                <w:sz w:val="18"/>
              </w:rPr>
              <w:t>agent-A receives only while a member (3.2.2.5, 3.2.2.6)</w:t>
            </w:r>
          </w:p>
        </w:tc>
      </w:tr>
      <w:tr>
        <w:tc>
          <w:tcPr>
            <w:tcW w:type="dxa" w:w="4953"/>
          </w:tcPr>
          <w:p>
            <w:r/>
            <w:r>
              <w:rPr>
                <w:b/>
                <w:sz w:val="18"/>
              </w:rPr>
              <w:t>Actual result</w:t>
            </w:r>
          </w:p>
        </w:tc>
        <w:tc>
          <w:tcPr>
            <w:tcW w:type="dxa" w:w="4953"/>
          </w:tcPr>
          <w:p>
            <w:r/>
            <w:r>
              <w:rPr>
                <w:sz w:val="18"/>
              </w:rPr>
              <w:t>After join — envelope 4c3289fb… received by A, B, C, D. After leave — envelope 9327f9fa… received by B, C, D only, agent-A absent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TC-04-multicast-joined.png, TC-04-multicast-received-after-join.png, TC-04-multicast-not-received-after-leave.png</w:t>
            </w:r>
          </w:p>
        </w:tc>
      </w:tr>
    </w:tbl>
    <w:p/>
    <w:p>
      <w:r>
        <w:rPr>
          <w:b/>
          <w:i w:val="0"/>
          <w:sz w:val="21"/>
        </w:rPr>
        <w:t>TC-05 — Leave/inject race (BR-06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TC-05 — Leave/inject race (BR-06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COND-18 (BR-06) + COND-13 — a datagram inbound in the same event-loop tick as leave() must be dropped, because the membership set is cleared synchronously before the OS dropMembership call</w:t>
            </w:r>
          </w:p>
        </w:tc>
      </w:tr>
      <w:tr>
        <w:tc>
          <w:tcPr>
            <w:tcW w:type="dxa" w:w="4953"/>
          </w:tcPr>
          <w:p>
            <w:r/>
            <w:r>
              <w:rPr>
                <w:b/>
                <w:sz w:val="18"/>
              </w:rPr>
              <w:t>Preconditions</w:t>
            </w:r>
          </w:p>
        </w:tc>
        <w:tc>
          <w:tcPr>
            <w:tcW w:type="dxa" w:w="4953"/>
          </w:tcPr>
          <w:p>
            <w:r/>
            <w:r>
              <w:rPr>
                <w:sz w:val="18"/>
              </w:rPr>
              <w:t>agent-B is a member of α</w:t>
            </w:r>
          </w:p>
        </w:tc>
      </w:tr>
      <w:tr>
        <w:tc>
          <w:tcPr>
            <w:tcW w:type="dxa" w:w="4953"/>
          </w:tcPr>
          <w:p>
            <w:r/>
            <w:r>
              <w:rPr>
                <w:b/>
                <w:sz w:val="18"/>
              </w:rPr>
              <w:t>Test data</w:t>
            </w:r>
          </w:p>
        </w:tc>
        <w:tc>
          <w:tcPr>
            <w:tcW w:type="dxa" w:w="4953"/>
          </w:tcPr>
          <w:p>
            <w:r/>
            <w:r>
              <w:rPr>
                <w:sz w:val="18"/>
              </w:rPr>
              <w:t>agent-B leaves α while agent-C injects a multicast in the same tick</w:t>
            </w:r>
          </w:p>
        </w:tc>
      </w:tr>
      <w:tr>
        <w:tc>
          <w:tcPr>
            <w:tcW w:type="dxa" w:w="4953"/>
          </w:tcPr>
          <w:p>
            <w:r/>
            <w:r>
              <w:rPr>
                <w:b/>
                <w:sz w:val="18"/>
              </w:rPr>
              <w:t>Steps</w:t>
            </w:r>
          </w:p>
        </w:tc>
        <w:tc>
          <w:tcPr>
            <w:tcW w:type="dxa" w:w="4953"/>
          </w:tcPr>
          <w:p>
            <w:r/>
            <w:r>
              <w:rPr>
                <w:sz w:val="18"/>
              </w:rPr>
              <w:t>POST /groups/239.1.1.5/leave-then-inject with agentId=agent-B, injectFrom=agent-C; inspect the log for MESSAGE_RECEIVED attributed to agent-B</w:t>
            </w:r>
          </w:p>
        </w:tc>
      </w:tr>
      <w:tr>
        <w:tc>
          <w:tcPr>
            <w:tcW w:type="dxa" w:w="4953"/>
          </w:tcPr>
          <w:p>
            <w:r/>
            <w:r>
              <w:rPr>
                <w:b/>
                <w:sz w:val="18"/>
              </w:rPr>
              <w:t>Expected result</w:t>
            </w:r>
          </w:p>
        </w:tc>
        <w:tc>
          <w:tcPr>
            <w:tcW w:type="dxa" w:w="4953"/>
          </w:tcPr>
          <w:p>
            <w:r/>
            <w:r>
              <w:rPr>
                <w:sz w:val="18"/>
              </w:rPr>
              <w:t>Zero MESSAGE_RECEIVED for agent-B on that envelope</w:t>
            </w:r>
          </w:p>
        </w:tc>
      </w:tr>
      <w:tr>
        <w:tc>
          <w:tcPr>
            <w:tcW w:type="dxa" w:w="4953"/>
          </w:tcPr>
          <w:p>
            <w:r/>
            <w:r>
              <w:rPr>
                <w:b/>
                <w:sz w:val="18"/>
              </w:rPr>
              <w:t>Actual result</w:t>
            </w:r>
          </w:p>
        </w:tc>
        <w:tc>
          <w:tcPr>
            <w:tcW w:type="dxa" w:w="4953"/>
          </w:tcPr>
          <w:p>
            <w:r/>
            <w:r>
              <w:rPr>
                <w:sz w:val="18"/>
              </w:rPr>
              <w:t>Matched — zero</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TC-05 / COND-18 … &gt; leave-then-inject drops the in-flight datagram — npm-test-output-verbose.txt</w:t>
            </w:r>
          </w:p>
        </w:tc>
      </w:tr>
    </w:tbl>
    <w:p/>
    <w:p>
      <w:r>
        <w:rPr>
          <w:b/>
          <w:i w:val="0"/>
          <w:sz w:val="21"/>
        </w:rPr>
        <w:t>TC-06 — Multi-group attribution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TC-06 — Multi-group attribution</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COND-16 (3.2.2.9 / BR-07) — an agent in two groups attributes each datagram to the correct group</w:t>
            </w:r>
          </w:p>
        </w:tc>
      </w:tr>
      <w:tr>
        <w:tc>
          <w:tcPr>
            <w:tcW w:type="dxa" w:w="4953"/>
          </w:tcPr>
          <w:p>
            <w:r/>
            <w:r>
              <w:rPr>
                <w:b/>
                <w:sz w:val="18"/>
              </w:rPr>
              <w:t>Preconditions</w:t>
            </w:r>
          </w:p>
        </w:tc>
        <w:tc>
          <w:tcPr>
            <w:tcW w:type="dxa" w:w="4953"/>
          </w:tcPr>
          <w:p>
            <w:r/>
            <w:r>
              <w:rPr>
                <w:sz w:val="18"/>
              </w:rPr>
              <w:t>agent-C joined to both α and β</w:t>
            </w:r>
          </w:p>
        </w:tc>
      </w:tr>
      <w:tr>
        <w:tc>
          <w:tcPr>
            <w:tcW w:type="dxa" w:w="4953"/>
          </w:tcPr>
          <w:p>
            <w:r/>
            <w:r>
              <w:rPr>
                <w:b/>
                <w:sz w:val="18"/>
              </w:rPr>
              <w:t>Test data</w:t>
            </w:r>
          </w:p>
        </w:tc>
        <w:tc>
          <w:tcPr>
            <w:tcW w:type="dxa" w:w="4953"/>
          </w:tcPr>
          <w:p>
            <w:r/>
            <w:r>
              <w:rPr>
                <w:sz w:val="18"/>
              </w:rPr>
              <w:t>One send to α, one to β</w:t>
            </w:r>
          </w:p>
        </w:tc>
      </w:tr>
      <w:tr>
        <w:tc>
          <w:tcPr>
            <w:tcW w:type="dxa" w:w="4953"/>
          </w:tcPr>
          <w:p>
            <w:r/>
            <w:r>
              <w:rPr>
                <w:b/>
                <w:sz w:val="18"/>
              </w:rPr>
              <w:t>Steps</w:t>
            </w:r>
          </w:p>
        </w:tc>
        <w:tc>
          <w:tcPr>
            <w:tcW w:type="dxa" w:w="4953"/>
          </w:tcPr>
          <w:p>
            <w:r/>
            <w:r>
              <w:rPr>
                <w:sz w:val="18"/>
              </w:rPr>
              <w:t>Send a multicast to α, then to β; inspect agent-C's received-events groupAddress field for each</w:t>
            </w:r>
          </w:p>
        </w:tc>
      </w:tr>
      <w:tr>
        <w:tc>
          <w:tcPr>
            <w:tcW w:type="dxa" w:w="4953"/>
          </w:tcPr>
          <w:p>
            <w:r/>
            <w:r>
              <w:rPr>
                <w:b/>
                <w:sz w:val="18"/>
              </w:rPr>
              <w:t>Expected result</w:t>
            </w:r>
          </w:p>
        </w:tc>
        <w:tc>
          <w:tcPr>
            <w:tcW w:type="dxa" w:w="4953"/>
          </w:tcPr>
          <w:p>
            <w:r/>
            <w:r>
              <w:rPr>
                <w:sz w:val="18"/>
              </w:rPr>
              <w:t>α-send attributed to 239.1.1.5, β-send to 239.1.1.6, no cross-attribution</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fr2-fr3-delivery.test.ts &gt; COND-26 / TC-06 area … — npm-test-output-verbose.txt</w:t>
            </w:r>
          </w:p>
        </w:tc>
      </w:tr>
    </w:tbl>
    <w:p/>
    <w:p>
      <w:r>
        <w:rPr>
          <w:b/>
          <w:i w:val="0"/>
          <w:sz w:val="21"/>
        </w:rPr>
        <w:t>TC-07 — TTL expiry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TC-07 — TTL expiry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COND-19 (BR-09, exact boundary ttl=1 vs ttl=0) + COND-21 — an expired-TTL envelope is dropped at the application layer</w:t>
            </w:r>
          </w:p>
        </w:tc>
      </w:tr>
      <w:tr>
        <w:tc>
          <w:tcPr>
            <w:tcW w:type="dxa" w:w="4953"/>
          </w:tcPr>
          <w:p>
            <w:r/>
            <w:r>
              <w:rPr>
                <w:b/>
                <w:sz w:val="18"/>
              </w:rPr>
              <w:t>Preconditions</w:t>
            </w:r>
          </w:p>
        </w:tc>
        <w:tc>
          <w:tcPr>
            <w:tcW w:type="dxa" w:w="4953"/>
          </w:tcPr>
          <w:p>
            <w:r/>
            <w:r>
              <w:rPr>
                <w:sz w:val="18"/>
              </w:rPr>
              <w:t>None beyond demo topology</w:t>
            </w:r>
          </w:p>
        </w:tc>
      </w:tr>
      <w:tr>
        <w:tc>
          <w:tcPr>
            <w:tcW w:type="dxa" w:w="4953"/>
          </w:tcPr>
          <w:p>
            <w:r/>
            <w:r>
              <w:rPr>
                <w:b/>
                <w:sz w:val="18"/>
              </w:rPr>
              <w:t>Test data</w:t>
            </w:r>
          </w:p>
        </w:tc>
        <w:tc>
          <w:tcPr>
            <w:tcW w:type="dxa" w:w="4953"/>
          </w:tcPr>
          <w:p>
            <w:r/>
            <w:r>
              <w:rPr>
                <w:sz w:val="18"/>
              </w:rPr>
              <w:t>Multicast with ttl=0</w:t>
            </w:r>
          </w:p>
        </w:tc>
      </w:tr>
      <w:tr>
        <w:tc>
          <w:tcPr>
            <w:tcW w:type="dxa" w:w="4953"/>
          </w:tcPr>
          <w:p>
            <w:r/>
            <w:r>
              <w:rPr>
                <w:b/>
                <w:sz w:val="18"/>
              </w:rPr>
              <w:t>Steps</w:t>
            </w:r>
          </w:p>
        </w:tc>
        <w:tc>
          <w:tcPr>
            <w:tcW w:type="dxa" w:w="4953"/>
          </w:tcPr>
          <w:p>
            <w:r/>
            <w:r>
              <w:rPr>
                <w:sz w:val="18"/>
              </w:rPr>
              <w:t>POST a multicast with ttl=0; inspect the log for MESSAGE_DROPPED_TTL_EXPIRED</w:t>
            </w:r>
          </w:p>
        </w:tc>
      </w:tr>
      <w:tr>
        <w:tc>
          <w:tcPr>
            <w:tcW w:type="dxa" w:w="4953"/>
          </w:tcPr>
          <w:p>
            <w:r/>
            <w:r>
              <w:rPr>
                <w:b/>
                <w:sz w:val="18"/>
              </w:rPr>
              <w:t>Expected result</w:t>
            </w:r>
          </w:p>
        </w:tc>
        <w:tc>
          <w:tcPr>
            <w:tcW w:type="dxa" w:w="4953"/>
          </w:tcPr>
          <w:p>
            <w:r/>
            <w:r>
              <w:rPr>
                <w:sz w:val="18"/>
              </w:rPr>
              <w:t>Envelope dropped, event raised, no MESSAGE_RECEIVED for it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TC-07 / COND-21 … &gt; ttl=0 at the application layer is dropped — npm-test-output-verbose.txt</w:t>
            </w:r>
          </w:p>
        </w:tc>
      </w:tr>
    </w:tbl>
    <w:p/>
    <w:p>
      <w:r>
        <w:rPr>
          <w:b/>
          <w:i w:val="0"/>
          <w:sz w:val="21"/>
        </w:rPr>
        <w:t>TC-08 — OS-level TTL confinement (SRS §1.3) — deliberately expected FAILED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TC-08 — OS-level TTL confinement (SRS §1.3) — deliberately expected FAILED</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COND-22 — SRS §1.3 defines TTL as router hops; setMulticastTTL(0) should confine a datagram to the originating host</w:t>
            </w:r>
          </w:p>
        </w:tc>
      </w:tr>
      <w:tr>
        <w:tc>
          <w:tcPr>
            <w:tcW w:type="dxa" w:w="4953"/>
          </w:tcPr>
          <w:p>
            <w:r/>
            <w:r>
              <w:rPr>
                <w:b/>
                <w:sz w:val="18"/>
              </w:rPr>
              <w:t>Preconditions</w:t>
            </w:r>
          </w:p>
        </w:tc>
        <w:tc>
          <w:tcPr>
            <w:tcW w:type="dxa" w:w="4953"/>
          </w:tcPr>
          <w:p>
            <w:r/>
            <w:r>
              <w:rPr>
                <w:sz w:val="18"/>
              </w:rPr>
              <w:t>Single-host test bed (no router in the path)</w:t>
            </w:r>
          </w:p>
        </w:tc>
      </w:tr>
      <w:tr>
        <w:tc>
          <w:tcPr>
            <w:tcW w:type="dxa" w:w="4953"/>
          </w:tcPr>
          <w:p>
            <w:r/>
            <w:r>
              <w:rPr>
                <w:b/>
                <w:sz w:val="18"/>
              </w:rPr>
              <w:t>Test data</w:t>
            </w:r>
          </w:p>
        </w:tc>
        <w:tc>
          <w:tcPr>
            <w:tcW w:type="dxa" w:w="4953"/>
          </w:tcPr>
          <w:p>
            <w:r/>
            <w:r>
              <w:rPr>
                <w:sz w:val="18"/>
              </w:rPr>
              <w:t>Multicast with a positive envelope TTL (so only the level-1 OS TTL could confine it)</w:t>
            </w:r>
          </w:p>
        </w:tc>
      </w:tr>
      <w:tr>
        <w:tc>
          <w:tcPr>
            <w:tcW w:type="dxa" w:w="4953"/>
          </w:tcPr>
          <w:p>
            <w:r/>
            <w:r>
              <w:rPr>
                <w:b/>
                <w:sz w:val="18"/>
              </w:rPr>
              <w:t>Steps</w:t>
            </w:r>
          </w:p>
        </w:tc>
        <w:tc>
          <w:tcPr>
            <w:tcW w:type="dxa" w:w="4953"/>
          </w:tcPr>
          <w:p>
            <w:r/>
            <w:r>
              <w:rPr>
                <w:sz w:val="18"/>
              </w:rPr>
              <w:t>Send a group-α multicast; record which co-located agents receive it</w:t>
            </w:r>
          </w:p>
        </w:tc>
      </w:tr>
      <w:tr>
        <w:tc>
          <w:tcPr>
            <w:tcW w:type="dxa" w:w="4953"/>
          </w:tcPr>
          <w:p>
            <w:r/>
            <w:r>
              <w:rPr>
                <w:b/>
                <w:sz w:val="18"/>
              </w:rPr>
              <w:t>Expected result</w:t>
            </w:r>
          </w:p>
        </w:tc>
        <w:tc>
          <w:tcPr>
            <w:tcW w:type="dxa" w:w="4953"/>
          </w:tcPr>
          <w:p>
            <w:r/>
            <w:r>
              <w:rPr>
                <w:sz w:val="18"/>
              </w:rPr>
              <w:t>(Per SRS §1.3) the datagram does not leave the originating host</w:t>
            </w:r>
          </w:p>
        </w:tc>
      </w:tr>
      <w:tr>
        <w:tc>
          <w:tcPr>
            <w:tcW w:type="dxa" w:w="4953"/>
          </w:tcPr>
          <w:p>
            <w:r/>
            <w:r>
              <w:rPr>
                <w:b/>
                <w:sz w:val="18"/>
              </w:rPr>
              <w:t>Actual result</w:t>
            </w:r>
          </w:p>
        </w:tc>
        <w:tc>
          <w:tcPr>
            <w:tcW w:type="dxa" w:w="4953"/>
          </w:tcPr>
          <w:p>
            <w:r/>
            <w:r>
              <w:rPr>
                <w:sz w:val="18"/>
              </w:rPr>
              <w:t>agent-C, agent-B, and agent-D all received it — same-host delivery traverses no router, so hop-count confinement has nothing to act on</w:t>
            </w:r>
          </w:p>
        </w:tc>
      </w:tr>
      <w:tr>
        <w:tc>
          <w:tcPr>
            <w:tcW w:type="dxa" w:w="4953"/>
          </w:tcPr>
          <w:p>
            <w:r/>
            <w:r>
              <w:rPr>
                <w:b/>
                <w:sz w:val="18"/>
              </w:rPr>
              <w:t>Status</w:t>
            </w:r>
          </w:p>
        </w:tc>
        <w:tc>
          <w:tcPr>
            <w:tcW w:type="dxa" w:w="4953"/>
          </w:tcPr>
          <w:p>
            <w:r/>
            <w:r>
              <w:rPr>
                <w:sz w:val="18"/>
              </w:rPr>
              <w:t>FAILED (against the SRS expectation — see Part 4 §5.1 for the Vitest-green-vs-SRS-FAILED distinction)</w:t>
            </w:r>
          </w:p>
        </w:tc>
      </w:tr>
      <w:tr>
        <w:tc>
          <w:tcPr>
            <w:tcW w:type="dxa" w:w="4953"/>
          </w:tcPr>
          <w:p>
            <w:r/>
            <w:r>
              <w:rPr>
                <w:b/>
                <w:sz w:val="18"/>
              </w:rPr>
              <w:t>Evidence</w:t>
            </w:r>
          </w:p>
        </w:tc>
        <w:tc>
          <w:tcPr>
            <w:tcW w:type="dxa" w:w="4953"/>
          </w:tcPr>
          <w:p>
            <w:r/>
            <w:r>
              <w:rPr>
                <w:sz w:val="18"/>
              </w:rPr>
              <w:t>fr3-ttl.test.ts &gt; TC-08 / COND-22 … console line: '[TC-08] co-located receivers observed … agent-C, agent-B, agent-D' — npm-test-output-verbose.txt</w:t>
            </w:r>
          </w:p>
        </w:tc>
      </w:tr>
    </w:tbl>
    <w:p/>
    <w:p>
      <w:r>
        <w:rPr>
          <w:b/>
          <w:i w:val="0"/>
          <w:sz w:val="21"/>
        </w:rPr>
        <w:t>TC-09 — Multicast address range validation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TC-09 — Multicast address range validation</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COND-24 (BR-10) — a destination outside 224.0.0.0/4 is rejected at send time</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groupAddress 10.0.0.1</w:t>
            </w:r>
          </w:p>
        </w:tc>
      </w:tr>
      <w:tr>
        <w:tc>
          <w:tcPr>
            <w:tcW w:type="dxa" w:w="4953"/>
          </w:tcPr>
          <w:p>
            <w:r/>
            <w:r>
              <w:rPr>
                <w:b/>
                <w:sz w:val="18"/>
              </w:rPr>
              <w:t>Steps</w:t>
            </w:r>
          </w:p>
        </w:tc>
        <w:tc>
          <w:tcPr>
            <w:tcW w:type="dxa" w:w="4953"/>
          </w:tcPr>
          <w:p>
            <w:r/>
            <w:r>
              <w:rPr>
                <w:sz w:val="18"/>
              </w:rPr>
              <w:t>POST /messages/multicast with groupAddress=10.0.0.1</w:t>
            </w:r>
          </w:p>
        </w:tc>
      </w:tr>
      <w:tr>
        <w:tc>
          <w:tcPr>
            <w:tcW w:type="dxa" w:w="4953"/>
          </w:tcPr>
          <w:p>
            <w:r/>
            <w:r>
              <w:rPr>
                <w:b/>
                <w:sz w:val="18"/>
              </w:rPr>
              <w:t>Expected result</w:t>
            </w:r>
          </w:p>
        </w:tc>
        <w:tc>
          <w:tcPr>
            <w:tcW w:type="dxa" w:w="4953"/>
          </w:tcPr>
          <w:p>
            <w:r/>
            <w:r>
              <w:rPr>
                <w:sz w:val="18"/>
              </w:rPr>
              <w:t>Rejected, HTTP 400</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TC-09 / COND-24 … &gt; the control plane returns an error for 10.0.0.1 — npm-test-output-verbose.txt</w:t>
            </w:r>
          </w:p>
        </w:tc>
      </w:tr>
    </w:tbl>
    <w:p/>
    <w:p>
      <w:r>
        <w:rPr>
          <w:b/>
          <w:i w:val="0"/>
          <w:sz w:val="21"/>
        </w:rPr>
        <w:t>TC-10 — Broadcast delivery, SRS Use Case 4 (host-local)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TC-10 — Broadcast delivery, SRS Use Case 4 (host-local)</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COND-29 (3.2.3.1/.2) + COND-33 (SRS UC4) — one broadcast datagram is sent to every host reachable, observed here as every agent on this host</w:t>
            </w:r>
          </w:p>
        </w:tc>
      </w:tr>
      <w:tr>
        <w:tc>
          <w:tcPr>
            <w:tcW w:type="dxa" w:w="4953"/>
          </w:tcPr>
          <w:p>
            <w:r/>
            <w:r>
              <w:rPr>
                <w:b/>
                <w:sz w:val="18"/>
              </w:rPr>
              <w:t>Preconditions</w:t>
            </w:r>
          </w:p>
        </w:tc>
        <w:tc>
          <w:tcPr>
            <w:tcW w:type="dxa" w:w="4953"/>
          </w:tcPr>
          <w:p>
            <w:r/>
            <w:r>
              <w:rPr>
                <w:sz w:val="18"/>
              </w:rPr>
              <w:t>Demo topology running</w:t>
            </w:r>
          </w:p>
        </w:tc>
      </w:tr>
      <w:tr>
        <w:tc>
          <w:tcPr>
            <w:tcW w:type="dxa" w:w="4953"/>
          </w:tcPr>
          <w:p>
            <w:r/>
            <w:r>
              <w:rPr>
                <w:b/>
                <w:sz w:val="18"/>
              </w:rPr>
              <w:t>Test data</w:t>
            </w:r>
          </w:p>
        </w:tc>
        <w:tc>
          <w:tcPr>
            <w:tcW w:type="dxa" w:w="4953"/>
          </w:tcPr>
          <w:p>
            <w:r/>
            <w:r>
              <w:rPr>
                <w:sz w:val="18"/>
              </w:rPr>
              <w:t>One broadcast from agent-A</w:t>
            </w:r>
          </w:p>
        </w:tc>
      </w:tr>
      <w:tr>
        <w:tc>
          <w:tcPr>
            <w:tcW w:type="dxa" w:w="4953"/>
          </w:tcPr>
          <w:p>
            <w:r/>
            <w:r>
              <w:rPr>
                <w:b/>
                <w:sz w:val="18"/>
              </w:rPr>
              <w:t>Steps</w:t>
            </w:r>
          </w:p>
        </w:tc>
        <w:tc>
          <w:tcPr>
            <w:tcW w:type="dxa" w:w="4953"/>
          </w:tcPr>
          <w:p>
            <w:r/>
            <w:r>
              <w:rPr>
                <w:sz w:val="18"/>
              </w:rPr>
              <w:t>Open Broadcast page; from=agent-A; send; observe per-agent receipt indicators and addressUsed</w:t>
            </w:r>
          </w:p>
        </w:tc>
      </w:tr>
      <w:tr>
        <w:tc>
          <w:tcPr>
            <w:tcW w:type="dxa" w:w="4953"/>
          </w:tcPr>
          <w:p>
            <w:r/>
            <w:r>
              <w:rPr>
                <w:b/>
                <w:sz w:val="18"/>
              </w:rPr>
              <w:t>Expected result</w:t>
            </w:r>
          </w:p>
        </w:tc>
        <w:tc>
          <w:tcPr>
            <w:tcW w:type="dxa" w:w="4953"/>
          </w:tcPr>
          <w:p>
            <w:r/>
            <w:r>
              <w:rPr>
                <w:sz w:val="18"/>
              </w:rPr>
              <w:t>All 4 agents show received; addressUsed reported</w:t>
            </w:r>
          </w:p>
        </w:tc>
      </w:tr>
      <w:tr>
        <w:tc>
          <w:tcPr>
            <w:tcW w:type="dxa" w:w="4953"/>
          </w:tcPr>
          <w:p>
            <w:r/>
            <w:r>
              <w:rPr>
                <w:b/>
                <w:sz w:val="18"/>
              </w:rPr>
              <w:t>Actual result</w:t>
            </w:r>
          </w:p>
        </w:tc>
        <w:tc>
          <w:tcPr>
            <w:tcW w:type="dxa" w:w="4953"/>
          </w:tcPr>
          <w:p>
            <w:r/>
            <w:r>
              <w:rPr>
                <w:sz w:val="18"/>
              </w:rPr>
              <w:t>agent-A, B, C, D all show '✓ received'; addressUsed = 255.255.255.255</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TC-10-broadcast-hostlocal-received.png</w:t>
            </w:r>
          </w:p>
        </w:tc>
      </w:tr>
    </w:tbl>
    <w:p/>
    <w:p>
      <w:r>
        <w:rPr>
          <w:b/>
          <w:i w:val="0"/>
          <w:sz w:val="21"/>
        </w:rPr>
        <w:t>TC-11 — LAN-wide broadcast reach, SRS 3.2.3.3 — BLOCKED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TC-11 — LAN-wide broadcast reach, SRS 3.2.3.3 — BLOCKED</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COND-30 — a broadcast must be sent to 'all possible hosts under the same local network'</w:t>
            </w:r>
          </w:p>
        </w:tc>
      </w:tr>
      <w:tr>
        <w:tc>
          <w:tcPr>
            <w:tcW w:type="dxa" w:w="4953"/>
          </w:tcPr>
          <w:p>
            <w:r/>
            <w:r>
              <w:rPr>
                <w:b/>
                <w:sz w:val="18"/>
              </w:rPr>
              <w:t>Preconditions</w:t>
            </w:r>
          </w:p>
        </w:tc>
        <w:tc>
          <w:tcPr>
            <w:tcW w:type="dxa" w:w="4953"/>
          </w:tcPr>
          <w:p>
            <w:r/>
            <w:r>
              <w:rPr>
                <w:sz w:val="18"/>
              </w:rPr>
              <w:t>Required: a multi-host local network so 'all possible hosts' can be enumerated and receipt confirmed on each. Available: one physical machine only</w:t>
            </w:r>
          </w:p>
        </w:tc>
      </w:tr>
      <w:tr>
        <w:tc>
          <w:tcPr>
            <w:tcW w:type="dxa" w:w="4953"/>
          </w:tcPr>
          <w:p>
            <w:r/>
            <w:r>
              <w:rPr>
                <w:b/>
                <w:sz w:val="18"/>
              </w:rPr>
              <w:t>Test data</w:t>
            </w:r>
          </w:p>
        </w:tc>
        <w:tc>
          <w:tcPr>
            <w:tcW w:type="dxa" w:w="4953"/>
          </w:tcPr>
          <w:p>
            <w:r/>
            <w:r>
              <w:rPr>
                <w:sz w:val="18"/>
              </w:rPr>
              <w:t>Same broadcast as TC-10</w:t>
            </w:r>
          </w:p>
        </w:tc>
      </w:tr>
      <w:tr>
        <w:tc>
          <w:tcPr>
            <w:tcW w:type="dxa" w:w="4953"/>
          </w:tcPr>
          <w:p>
            <w:r/>
            <w:r>
              <w:rPr>
                <w:b/>
                <w:sz w:val="18"/>
              </w:rPr>
              <w:t>Steps</w:t>
            </w:r>
          </w:p>
        </w:tc>
        <w:tc>
          <w:tcPr>
            <w:tcW w:type="dxa" w:w="4953"/>
          </w:tcPr>
          <w:p>
            <w:r/>
            <w:r>
              <w:rPr>
                <w:sz w:val="18"/>
              </w:rPr>
              <w:t>Attempt to confirm receipt on a second host on the LAN</w:t>
            </w:r>
          </w:p>
        </w:tc>
      </w:tr>
      <w:tr>
        <w:tc>
          <w:tcPr>
            <w:tcW w:type="dxa" w:w="4953"/>
          </w:tcPr>
          <w:p>
            <w:r/>
            <w:r>
              <w:rPr>
                <w:b/>
                <w:sz w:val="18"/>
              </w:rPr>
              <w:t>Expected result</w:t>
            </w:r>
          </w:p>
        </w:tc>
        <w:tc>
          <w:tcPr>
            <w:tcW w:type="dxa" w:w="4953"/>
          </w:tcPr>
          <w:p>
            <w:r/>
            <w:r>
              <w:rPr>
                <w:sz w:val="18"/>
              </w:rPr>
              <w:t>N/A — the precondition itself cannot be established</w:t>
            </w:r>
          </w:p>
        </w:tc>
      </w:tr>
      <w:tr>
        <w:tc>
          <w:tcPr>
            <w:tcW w:type="dxa" w:w="4953"/>
          </w:tcPr>
          <w:p>
            <w:r/>
            <w:r>
              <w:rPr>
                <w:b/>
                <w:sz w:val="18"/>
              </w:rPr>
              <w:t>Actual result</w:t>
            </w:r>
          </w:p>
        </w:tc>
        <w:tc>
          <w:tcPr>
            <w:tcW w:type="dxa" w:w="4953"/>
          </w:tcPr>
          <w:p>
            <w:r/>
            <w:r>
              <w:rPr>
                <w:sz w:val="18"/>
              </w:rPr>
              <w:t>The required precondition (≥2 hosts on the same local network) does not exist on this test bed, confirmed by scripts/verify-preconditions.sh (one host, 5 interfaces, zero peers). This is not a claim LAN-wide delivery failed — it was never executed at LAN scope. TC-10 already establishes host-local delivery works</w:t>
            </w:r>
          </w:p>
        </w:tc>
      </w:tr>
      <w:tr>
        <w:tc>
          <w:tcPr>
            <w:tcW w:type="dxa" w:w="4953"/>
          </w:tcPr>
          <w:p>
            <w:r/>
            <w:r>
              <w:rPr>
                <w:b/>
                <w:sz w:val="18"/>
              </w:rPr>
              <w:t>Status</w:t>
            </w:r>
          </w:p>
        </w:tc>
        <w:tc>
          <w:tcPr>
            <w:tcW w:type="dxa" w:w="4953"/>
          </w:tcPr>
          <w:p>
            <w:r/>
            <w:r>
              <w:rPr>
                <w:sz w:val="18"/>
              </w:rPr>
              <w:t>BLOCKED</w:t>
            </w:r>
          </w:p>
        </w:tc>
      </w:tr>
      <w:tr>
        <w:tc>
          <w:tcPr>
            <w:tcW w:type="dxa" w:w="4953"/>
          </w:tcPr>
          <w:p>
            <w:r/>
            <w:r>
              <w:rPr>
                <w:b/>
                <w:sz w:val="18"/>
              </w:rPr>
              <w:t>Evidence</w:t>
            </w:r>
          </w:p>
        </w:tc>
        <w:tc>
          <w:tcPr>
            <w:tcW w:type="dxa" w:w="4953"/>
          </w:tcPr>
          <w:p>
            <w:r/>
            <w:r>
              <w:rPr>
                <w:sz w:val="18"/>
              </w:rPr>
              <w:t>TC-11-single-host-network-interfaces.txt (verify-preconditions.sh output)</w:t>
            </w:r>
          </w:p>
        </w:tc>
      </w:tr>
    </w:tbl>
    <w:p/>
    <w:p>
      <w:r>
        <w:rPr>
          <w:b/>
          <w:i w:val="0"/>
          <w:sz w:val="21"/>
        </w:rPr>
        <w:t>TC-12 — Malformed encrypted envelope</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TC-12 — Malformed encrypted envelope</w:t>
            </w:r>
          </w:p>
        </w:tc>
      </w:tr>
      <w:tr>
        <w:tc>
          <w:tcPr>
            <w:tcW w:type="dxa" w:w="4953"/>
          </w:tcPr>
          <w:p>
            <w:r/>
            <w:r>
              <w:rPr>
                <w:b/>
                <w:sz w:val="18"/>
              </w:rPr>
              <w:t>Level / category</w:t>
            </w:r>
          </w:p>
        </w:tc>
        <w:tc>
          <w:tcPr>
            <w:tcW w:type="dxa" w:w="4953"/>
          </w:tcPr>
          <w:p>
            <w:r/>
            <w:r>
              <w:rPr>
                <w:sz w:val="18"/>
              </w:rPr>
              <w:t>Unit — automated, Invalid/error</w:t>
            </w:r>
          </w:p>
        </w:tc>
      </w:tr>
      <w:tr>
        <w:tc>
          <w:tcPr>
            <w:tcW w:type="dxa" w:w="4953"/>
          </w:tcPr>
          <w:p>
            <w:r/>
            <w:r>
              <w:rPr>
                <w:b/>
                <w:sz w:val="18"/>
              </w:rPr>
              <w:t>Test basis / objective</w:t>
            </w:r>
          </w:p>
        </w:tc>
        <w:tc>
          <w:tcPr>
            <w:tcW w:type="dxa" w:w="4953"/>
          </w:tcPr>
          <w:p>
            <w:r/>
            <w:r>
              <w:rPr>
                <w:sz w:val="18"/>
              </w:rPr>
              <w:t>COND-37 (BR-16) — encrypted=true with iv/authTag missing must be dropped, with no decryption attempt</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Envelope with encrypted:true, iv present, authTag absent (and the false/stray-fields inverse)</w:t>
            </w:r>
          </w:p>
        </w:tc>
      </w:tr>
      <w:tr>
        <w:tc>
          <w:tcPr>
            <w:tcW w:type="dxa" w:w="4953"/>
          </w:tcPr>
          <w:p>
            <w:r/>
            <w:r>
              <w:rPr>
                <w:b/>
                <w:sz w:val="18"/>
              </w:rPr>
              <w:t>Steps</w:t>
            </w:r>
          </w:p>
        </w:tc>
        <w:tc>
          <w:tcPr>
            <w:tcW w:type="dxa" w:w="4953"/>
          </w:tcPr>
          <w:p>
            <w:r/>
            <w:r>
              <w:rPr>
                <w:sz w:val="18"/>
              </w:rPr>
              <w:t>Call validateEnvelope on the malformed envelope</w:t>
            </w:r>
          </w:p>
        </w:tc>
      </w:tr>
      <w:tr>
        <w:tc>
          <w:tcPr>
            <w:tcW w:type="dxa" w:w="4953"/>
          </w:tcPr>
          <w:p>
            <w:r/>
            <w:r>
              <w:rPr>
                <w:b/>
                <w:sz w:val="18"/>
              </w:rPr>
              <w:t>Expected result</w:t>
            </w:r>
          </w:p>
        </w:tc>
        <w:tc>
          <w:tcPr>
            <w:tcW w:type="dxa" w:w="4953"/>
          </w:tcPr>
          <w:p>
            <w:r/>
            <w:r>
              <w:rPr>
                <w:sz w:val="18"/>
              </w:rPr>
              <w:t>MALFORMED_CRYPTO_FIELDS (or STRAY_CRYPTO_FIELDS for the inverse case), decryption never attempted</w:t>
            </w:r>
          </w:p>
        </w:tc>
      </w:tr>
      <w:tr>
        <w:tc>
          <w:tcPr>
            <w:tcW w:type="dxa" w:w="4953"/>
          </w:tcPr>
          <w:p>
            <w:r/>
            <w:r>
              <w:rPr>
                <w:b/>
                <w:sz w:val="18"/>
              </w:rPr>
              <w:t>Actual result</w:t>
            </w:r>
          </w:p>
        </w:tc>
        <w:tc>
          <w:tcPr>
            <w:tcW w:type="dxa" w:w="4953"/>
          </w:tcPr>
          <w:p>
            <w:r/>
            <w:r>
              <w:rPr>
                <w:sz w:val="18"/>
              </w:rPr>
              <w:t>Matched, all 3 branches (missing authTag, stray iv, ttl-on-non-multicast)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validator-and-sequence.test.ts &gt; §8 invariants — BR-16 malformed crypto fields (TC-12 target) — npm-test-output-verbose.txt</w:t>
            </w:r>
          </w:p>
        </w:tc>
      </w:tr>
    </w:tbl>
    <w:p/>
    <w:p>
      <w:r>
        <w:rPr>
          <w:b/>
          <w:i w:val="0"/>
          <w:sz w:val="21"/>
        </w:rPr>
        <w:t>TC-13 — Per-message encryption opt-in + auto-decrypt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TC-13 — Per-message encryption opt-in + auto-decrypt</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COND-38 (BR-14) + COND-39 (3.2.4.4) — encryption is a per-message sender choice; the receiver decrypts automatically</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One unicast with encrypted:true</w:t>
            </w:r>
          </w:p>
        </w:tc>
      </w:tr>
      <w:tr>
        <w:tc>
          <w:tcPr>
            <w:tcW w:type="dxa" w:w="4953"/>
          </w:tcPr>
          <w:p>
            <w:r/>
            <w:r>
              <w:rPr>
                <w:b/>
                <w:sz w:val="18"/>
              </w:rPr>
              <w:t>Steps</w:t>
            </w:r>
          </w:p>
        </w:tc>
        <w:tc>
          <w:tcPr>
            <w:tcW w:type="dxa" w:w="4953"/>
          </w:tcPr>
          <w:p>
            <w:r/>
            <w:r>
              <w:rPr>
                <w:sz w:val="18"/>
              </w:rPr>
              <w:t>POST an encrypted unicast A→B; confirm receipt with no DECRYPTION_FAILED</w:t>
            </w:r>
          </w:p>
        </w:tc>
      </w:tr>
      <w:tr>
        <w:tc>
          <w:tcPr>
            <w:tcW w:type="dxa" w:w="4953"/>
          </w:tcPr>
          <w:p>
            <w:r/>
            <w:r>
              <w:rPr>
                <w:b/>
                <w:sz w:val="18"/>
              </w:rPr>
              <w:t>Expected result</w:t>
            </w:r>
          </w:p>
        </w:tc>
        <w:tc>
          <w:tcPr>
            <w:tcW w:type="dxa" w:w="4953"/>
          </w:tcPr>
          <w:p>
            <w:r/>
            <w:r>
              <w:rPr>
                <w:sz w:val="18"/>
              </w:rPr>
              <w:t>Delivered, encrypted:true on the wire, auto-decrypted, no user action, no failure event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TC-13 / COND-38+39 … — npm-test-output-verbose.txt; also shown live in TC-01-unicast-burst-success.png</w:t>
            </w:r>
          </w:p>
        </w:tc>
      </w:tr>
    </w:tbl>
    <w:p/>
    <w:p>
      <w:r>
        <w:rPr>
          <w:b/>
          <w:i w:val="0"/>
          <w:sz w:val="21"/>
        </w:rPr>
        <w:t>TC-14 — Key-request denial for a non-allow-listed agent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TC-14 — Key-request denial for a non-allow-listed agent</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COND-42 (BR-18) — the key holder must deny a request from an agent not on its allow-list</w:t>
            </w:r>
          </w:p>
        </w:tc>
      </w:tr>
      <w:tr>
        <w:tc>
          <w:tcPr>
            <w:tcW w:type="dxa" w:w="4953"/>
          </w:tcPr>
          <w:p>
            <w:r/>
            <w:r>
              <w:rPr>
                <w:b/>
                <w:sz w:val="18"/>
              </w:rPr>
              <w:t>Preconditions</w:t>
            </w:r>
          </w:p>
        </w:tc>
        <w:tc>
          <w:tcPr>
            <w:tcW w:type="dxa" w:w="4953"/>
          </w:tcPr>
          <w:p>
            <w:r/>
            <w:r>
              <w:rPr>
                <w:sz w:val="18"/>
              </w:rPr>
              <w:t>agent-B is a member of α but is not on agent-D's allow-list (allow-list ≠ membership, by design)</w:t>
            </w:r>
          </w:p>
        </w:tc>
      </w:tr>
      <w:tr>
        <w:tc>
          <w:tcPr>
            <w:tcW w:type="dxa" w:w="4953"/>
          </w:tcPr>
          <w:p>
            <w:r/>
            <w:r>
              <w:rPr>
                <w:b/>
                <w:sz w:val="18"/>
              </w:rPr>
              <w:t>Test data</w:t>
            </w:r>
          </w:p>
        </w:tc>
        <w:tc>
          <w:tcPr>
            <w:tcW w:type="dxa" w:w="4953"/>
          </w:tcPr>
          <w:p>
            <w:r/>
            <w:r>
              <w:rPr>
                <w:sz w:val="18"/>
              </w:rPr>
              <w:t>Key request from agent-B for group α</w:t>
            </w:r>
          </w:p>
        </w:tc>
      </w:tr>
      <w:tr>
        <w:tc>
          <w:tcPr>
            <w:tcW w:type="dxa" w:w="4953"/>
          </w:tcPr>
          <w:p>
            <w:r/>
            <w:r>
              <w:rPr>
                <w:b/>
                <w:sz w:val="18"/>
              </w:rPr>
              <w:t>Steps</w:t>
            </w:r>
          </w:p>
        </w:tc>
        <w:tc>
          <w:tcPr>
            <w:tcW w:type="dxa" w:w="4953"/>
          </w:tcPr>
          <w:p>
            <w:r/>
            <w:r>
              <w:rPr>
                <w:sz w:val="18"/>
              </w:rPr>
              <w:t>POST /keys/request with requestingAgentId=agent-B; inspect for GROUP_KEY_DENIED</w:t>
            </w:r>
          </w:p>
        </w:tc>
      </w:tr>
      <w:tr>
        <w:tc>
          <w:tcPr>
            <w:tcW w:type="dxa" w:w="4953"/>
          </w:tcPr>
          <w:p>
            <w:r/>
            <w:r>
              <w:rPr>
                <w:b/>
                <w:sz w:val="18"/>
              </w:rPr>
              <w:t>Expected result</w:t>
            </w:r>
          </w:p>
        </w:tc>
        <w:tc>
          <w:tcPr>
            <w:tcW w:type="dxa" w:w="4953"/>
          </w:tcPr>
          <w:p>
            <w:r/>
            <w:r>
              <w:rPr>
                <w:sz w:val="18"/>
              </w:rPr>
              <w:t>Denied</w:t>
            </w:r>
          </w:p>
        </w:tc>
      </w:tr>
      <w:tr>
        <w:tc>
          <w:tcPr>
            <w:tcW w:type="dxa" w:w="4953"/>
          </w:tcPr>
          <w:p>
            <w:r/>
            <w:r>
              <w:rPr>
                <w:b/>
                <w:sz w:val="18"/>
              </w:rPr>
              <w:t>Actual result</w:t>
            </w:r>
          </w:p>
        </w:tc>
        <w:tc>
          <w:tcPr>
            <w:tcW w:type="dxa" w:w="4953"/>
          </w:tcPr>
          <w:p>
            <w:r/>
            <w:r>
              <w:rPr>
                <w:sz w:val="18"/>
              </w:rPr>
              <w:t>Matched; the allow-listed control case (agent-C) is granted in the same run</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TC-14 / COND-42 … — npm-test-output-verbose.txt</w:t>
            </w:r>
          </w:p>
        </w:tc>
      </w:tr>
    </w:tbl>
    <w:p/>
    <w:p>
      <w:r>
        <w:rPr>
          <w:b/>
          <w:i w:val="0"/>
          <w:sz w:val="21"/>
        </w:rPr>
        <w:t>TC-15 — Live conversation-architecture switch</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TC-15 — Live conversation-architecture switch</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COND-47 (3.2.5.1/.2, identical delivery either side) + COND-49 (switch observable with a marker)</w:t>
            </w:r>
          </w:p>
        </w:tc>
      </w:tr>
      <w:tr>
        <w:tc>
          <w:tcPr>
            <w:tcW w:type="dxa" w:w="4953"/>
          </w:tcPr>
          <w:p>
            <w:r/>
            <w:r>
              <w:rPr>
                <w:b/>
                <w:sz w:val="18"/>
              </w:rPr>
              <w:t>Preconditions</w:t>
            </w:r>
          </w:p>
        </w:tc>
        <w:tc>
          <w:tcPr>
            <w:tcW w:type="dxa" w:w="4953"/>
          </w:tcPr>
          <w:p>
            <w:r/>
            <w:r>
              <w:rPr>
                <w:sz w:val="18"/>
              </w:rPr>
              <w:t>agent-A running agent-controlled</w:t>
            </w:r>
          </w:p>
        </w:tc>
      </w:tr>
      <w:tr>
        <w:tc>
          <w:tcPr>
            <w:tcW w:type="dxa" w:w="4953"/>
          </w:tcPr>
          <w:p>
            <w:r/>
            <w:r>
              <w:rPr>
                <w:b/>
                <w:sz w:val="18"/>
              </w:rPr>
              <w:t>Test data</w:t>
            </w:r>
          </w:p>
        </w:tc>
        <w:tc>
          <w:tcPr>
            <w:tcW w:type="dxa" w:w="4953"/>
          </w:tcPr>
          <w:p>
            <w:r/>
            <w:r>
              <w:rPr>
                <w:sz w:val="18"/>
              </w:rPr>
              <w:t>1 unicast A→B before the switch, 1 after</w:t>
            </w:r>
          </w:p>
        </w:tc>
      </w:tr>
      <w:tr>
        <w:tc>
          <w:tcPr>
            <w:tcW w:type="dxa" w:w="4953"/>
          </w:tcPr>
          <w:p>
            <w:r/>
            <w:r>
              <w:rPr>
                <w:b/>
                <w:sz w:val="18"/>
              </w:rPr>
              <w:t>Steps</w:t>
            </w:r>
          </w:p>
        </w:tc>
        <w:tc>
          <w:tcPr>
            <w:tcW w:type="dxa" w:w="4953"/>
          </w:tcPr>
          <w:p>
            <w:r/>
            <w:r>
              <w:rPr>
                <w:sz w:val="18"/>
              </w:rPr>
              <w:t>(1) send unicast A→B (agent-controlled, delivered — TC-01); (2) switch agent-A to component-controlled; (3) confirm ARCHITECTURE_SWITCHED logged; (4) send another unicast A→B; (5) confirm delivered</w:t>
            </w:r>
          </w:p>
        </w:tc>
      </w:tr>
      <w:tr>
        <w:tc>
          <w:tcPr>
            <w:tcW w:type="dxa" w:w="4953"/>
          </w:tcPr>
          <w:p>
            <w:r/>
            <w:r>
              <w:rPr>
                <w:b/>
                <w:sz w:val="18"/>
              </w:rPr>
              <w:t>Expected result</w:t>
            </w:r>
          </w:p>
        </w:tc>
        <w:tc>
          <w:tcPr>
            <w:tcW w:type="dxa" w:w="4953"/>
          </w:tcPr>
          <w:p>
            <w:r/>
            <w:r>
              <w:rPr>
                <w:sz w:val="18"/>
              </w:rPr>
              <w:t>Identical delivery both sides; marker present; no socket restart</w:t>
            </w:r>
          </w:p>
        </w:tc>
      </w:tr>
      <w:tr>
        <w:tc>
          <w:tcPr>
            <w:tcW w:type="dxa" w:w="4953"/>
          </w:tcPr>
          <w:p>
            <w:r/>
            <w:r>
              <w:rPr>
                <w:b/>
                <w:sz w:val="18"/>
              </w:rPr>
              <w:t>Actual result</w:t>
            </w:r>
          </w:p>
        </w:tc>
        <w:tc>
          <w:tcPr>
            <w:tcW w:type="dxa" w:w="4953"/>
          </w:tcPr>
          <w:p>
            <w:r/>
            <w:r>
              <w:rPr>
                <w:sz w:val="18"/>
              </w:rPr>
              <w:t>ARCHITECTURE_SWITCHED logged for agent-A; post-switch send (envelope c3b3b4c5…) SENT then RECEIVED 1ms later, same as pre-switch timing</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TC-15-architecture-switched.png, TC-15-delivery-after-switch.png; fr2-6-7.test.ts &gt; TC-15 / COND-49 … — npm-test-output-verbose.txt</w:t>
            </w:r>
          </w:p>
        </w:tc>
      </w:tr>
    </w:tbl>
    <w:p/>
    <w:p>
      <w:r>
        <w:rPr>
          <w:b/>
          <w:i w:val="0"/>
          <w:sz w:val="24"/>
        </w:rPr>
        <w:t>Table C — Traceability Record</w:t>
      </w:r>
    </w:p>
    <w:p>
      <w:r>
        <w:rPr>
          <w:b w:val="0"/>
          <w:i w:val="0"/>
        </w:rPr>
        <w:t>Full 54-condition matrix. TC-nn = one of the 15 formal Table B cases above; other carriers are automated unit/component/integration tests (all green — npm-test-output-verbose.txt), or a manual observation folded into an adjacent Table B case (noted explicitly).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tcPr>
          <w:p>
            <w:r/>
            <w:r>
              <w:rPr>
                <w:b/>
                <w:sz w:val="18"/>
              </w:rPr>
              <w:t>Requirement</w:t>
            </w:r>
          </w:p>
        </w:tc>
        <w:tc>
          <w:tcPr>
            <w:tcW w:type="dxa" w:w="1981"/>
          </w:tcPr>
          <w:p>
            <w:r/>
            <w:r>
              <w:rPr>
                <w:b/>
                <w:sz w:val="18"/>
              </w:rPr>
              <w:t>Condition</w:t>
            </w:r>
          </w:p>
        </w:tc>
        <w:tc>
          <w:tcPr>
            <w:tcW w:type="dxa" w:w="1981"/>
          </w:tcPr>
          <w:p>
            <w:r/>
            <w:r>
              <w:rPr>
                <w:b/>
                <w:sz w:val="18"/>
              </w:rPr>
              <w:t>Test case</w:t>
            </w:r>
          </w:p>
        </w:tc>
        <w:tc>
          <w:tcPr>
            <w:tcW w:type="dxa" w:w="1981"/>
          </w:tcPr>
          <w:p>
            <w:r/>
            <w:r>
              <w:rPr>
                <w:b/>
                <w:sz w:val="18"/>
              </w:rPr>
              <w:t>Execution result</w:t>
            </w:r>
          </w:p>
        </w:tc>
        <w:tc>
          <w:tcPr>
            <w:tcW w:type="dxa" w:w="1981"/>
          </w:tcPr>
          <w:p>
            <w:r/>
            <w:r>
              <w:rPr>
                <w:b/>
                <w:sz w:val="18"/>
              </w:rPr>
              <w:t>Defect report</w:t>
            </w:r>
          </w:p>
        </w:tc>
      </w:tr>
      <w:tr>
        <w:tc>
          <w:tcPr>
            <w:tcW w:type="dxa" w:w="1981"/>
          </w:tcPr>
          <w:p>
            <w:r/>
            <w:r>
              <w:rPr>
                <w:sz w:val="18"/>
              </w:rPr>
              <w:t>FR1 — 3.2.1.1–.4</w:t>
            </w:r>
          </w:p>
        </w:tc>
        <w:tc>
          <w:tcPr>
            <w:tcW w:type="dxa" w:w="1981"/>
          </w:tcPr>
          <w:p>
            <w:r/>
            <w:r>
              <w:rPr>
                <w:sz w:val="18"/>
              </w:rPr>
              <w:t>COND-01… 03</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COND-04</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COND-05</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COND-06</w:t>
            </w:r>
          </w:p>
        </w:tc>
        <w:tc>
          <w:tcPr>
            <w:tcW w:type="dxa" w:w="1981"/>
          </w:tcPr>
          <w:p>
            <w:r/>
            <w:r>
              <w:rPr>
                <w:sz w:val="18"/>
              </w:rPr>
              <w:t>TC-02</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COND-07</w:t>
            </w:r>
          </w:p>
        </w:tc>
        <w:tc>
          <w:tcPr>
            <w:tcW w:type="dxa" w:w="1981"/>
          </w:tcPr>
          <w:p>
            <w:r/>
            <w:r>
              <w:rPr>
                <w:sz w:val="18"/>
              </w:rPr>
              <w:t>TC-03</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COND-08</w:t>
            </w:r>
          </w:p>
        </w:tc>
        <w:tc>
          <w:tcPr>
            <w:tcW w:type="dxa" w:w="1981"/>
          </w:tcPr>
          <w:p>
            <w:r/>
            <w:r>
              <w:rPr>
                <w:sz w:val="18"/>
              </w:rPr>
              <w:t>validator-and-sequence.test.ts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COND-09</w:t>
            </w:r>
          </w:p>
        </w:tc>
        <w:tc>
          <w:tcPr>
            <w:tcW w:type="dxa" w:w="1981"/>
          </w:tcPr>
          <w:p>
            <w:r/>
            <w:r>
              <w:rPr>
                <w:sz w:val="18"/>
              </w:rPr>
              <w:t>unicast-transport.test.ts + fr1-unicast.test.ts</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COND-10</w:t>
            </w:r>
          </w:p>
        </w:tc>
        <w:tc>
          <w:tcPr>
            <w:tcW w:type="dxa" w:w="1981"/>
          </w:tcPr>
          <w:p>
            <w:r/>
            <w:r>
              <w:rPr>
                <w:sz w:val="18"/>
              </w:rPr>
              <w:t>TC-01</w:t>
            </w:r>
          </w:p>
        </w:tc>
        <w:tc>
          <w:tcPr>
            <w:tcW w:type="dxa" w:w="1981"/>
          </w:tcPr>
          <w:p>
            <w:r/>
            <w:r>
              <w:rPr>
                <w:sz w:val="18"/>
              </w:rPr>
              <w:t>PASSED</w:t>
            </w:r>
          </w:p>
        </w:tc>
        <w:tc>
          <w:tcPr>
            <w:tcW w:type="dxa" w:w="1981"/>
          </w:tcPr>
          <w:p>
            <w:r/>
            <w:r>
              <w:rPr>
                <w:sz w:val="18"/>
              </w:rPr>
              <w:t>N/A</w:t>
            </w:r>
          </w:p>
        </w:tc>
      </w:tr>
      <w:tr>
        <w:tc>
          <w:tcPr>
            <w:tcW w:type="dxa" w:w="1981"/>
          </w:tcPr>
          <w:p>
            <w:r/>
            <w:r>
              <w:rPr>
                <w:sz w:val="18"/>
              </w:rPr>
              <w:t>FR2 — 3.2.2.3–.6, .9</w:t>
            </w:r>
          </w:p>
        </w:tc>
        <w:tc>
          <w:tcPr>
            <w:tcW w:type="dxa" w:w="1981"/>
          </w:tcPr>
          <w:p>
            <w:r/>
            <w:r>
              <w:rPr>
                <w:sz w:val="18"/>
              </w:rPr>
              <w:t>COND-11… 13</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COND-14</w:t>
            </w:r>
          </w:p>
        </w:tc>
        <w:tc>
          <w:tcPr>
            <w:tcW w:type="dxa" w:w="1981"/>
          </w:tcPr>
          <w:p>
            <w:r/>
            <w:r>
              <w:rPr>
                <w:sz w:val="18"/>
              </w:rPr>
              <w:t>fr2-6-7.test.ts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COND-15</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COND-16</w:t>
            </w:r>
          </w:p>
        </w:tc>
        <w:tc>
          <w:tcPr>
            <w:tcW w:type="dxa" w:w="1981"/>
          </w:tcPr>
          <w:p>
            <w:r/>
            <w:r>
              <w:rPr>
                <w:sz w:val="18"/>
              </w:rPr>
              <w:t>TC-06</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COND-17</w:t>
            </w:r>
          </w:p>
        </w:tc>
        <w:tc>
          <w:tcPr>
            <w:tcW w:type="dxa" w:w="1981"/>
          </w:tcPr>
          <w:p>
            <w:r/>
            <w:r>
              <w:rPr>
                <w:sz w:val="18"/>
              </w:rPr>
              <w:t>TC-04</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COND-18</w:t>
            </w:r>
          </w:p>
        </w:tc>
        <w:tc>
          <w:tcPr>
            <w:tcW w:type="dxa" w:w="1981"/>
          </w:tcPr>
          <w:p>
            <w:r/>
            <w:r>
              <w:rPr>
                <w:sz w:val="18"/>
              </w:rPr>
              <w:t>TC-05</w:t>
            </w:r>
          </w:p>
        </w:tc>
        <w:tc>
          <w:tcPr>
            <w:tcW w:type="dxa" w:w="1981"/>
          </w:tcPr>
          <w:p>
            <w:r/>
            <w:r>
              <w:rPr>
                <w:sz w:val="18"/>
              </w:rPr>
              <w:t>PASSED</w:t>
            </w:r>
          </w:p>
        </w:tc>
        <w:tc>
          <w:tcPr>
            <w:tcW w:type="dxa" w:w="1981"/>
          </w:tcPr>
          <w:p>
            <w:r/>
            <w:r>
              <w:rPr>
                <w:sz w:val="18"/>
              </w:rPr>
              <w:t>N/A</w:t>
            </w:r>
          </w:p>
        </w:tc>
      </w:tr>
      <w:tr>
        <w:tc>
          <w:tcPr>
            <w:tcW w:type="dxa" w:w="1981"/>
          </w:tcPr>
          <w:p>
            <w:r/>
            <w:r>
              <w:rPr>
                <w:sz w:val="18"/>
              </w:rPr>
              <w:t>FR3 — 3.2.2.1, .2, .7, .8</w:t>
            </w:r>
          </w:p>
        </w:tc>
        <w:tc>
          <w:tcPr>
            <w:tcW w:type="dxa" w:w="1981"/>
          </w:tcPr>
          <w:p>
            <w:r/>
            <w:r>
              <w:rPr>
                <w:sz w:val="18"/>
              </w:rPr>
              <w:t>COND-19, 25</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COND-20</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COND-21</w:t>
            </w:r>
          </w:p>
        </w:tc>
        <w:tc>
          <w:tcPr>
            <w:tcW w:type="dxa" w:w="1981"/>
          </w:tcPr>
          <w:p>
            <w:r/>
            <w:r>
              <w:rPr>
                <w:sz w:val="18"/>
              </w:rPr>
              <w:t>TC-07</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COND-22</w:t>
            </w:r>
          </w:p>
        </w:tc>
        <w:tc>
          <w:tcPr>
            <w:tcW w:type="dxa" w:w="1981"/>
          </w:tcPr>
          <w:p>
            <w:r/>
            <w:r>
              <w:rPr>
                <w:sz w:val="18"/>
              </w:rPr>
              <w:t>TC-08</w:t>
            </w:r>
          </w:p>
        </w:tc>
        <w:tc>
          <w:tcPr>
            <w:tcW w:type="dxa" w:w="1981"/>
          </w:tcPr>
          <w:p>
            <w:r/>
            <w:r>
              <w:rPr>
                <w:sz w:val="18"/>
              </w:rPr>
              <w:t>FAILED (expected — environment limitation)</w:t>
            </w:r>
          </w:p>
        </w:tc>
        <w:tc>
          <w:tcPr>
            <w:tcW w:type="dxa" w:w="1981"/>
          </w:tcPr>
          <w:p>
            <w:r/>
            <w:r>
              <w:rPr>
                <w:sz w:val="18"/>
              </w:rPr>
              <w:t>N/A — see Part 4 §5.2</w:t>
            </w:r>
          </w:p>
        </w:tc>
      </w:tr>
      <w:tr>
        <w:tc>
          <w:tcPr>
            <w:tcW w:type="dxa" w:w="1981"/>
          </w:tcPr>
          <w:p>
            <w:r/>
            <w:r>
              <w:rPr>
                <w:sz w:val="18"/>
              </w:rPr>
              <w:t>FR3</w:t>
            </w:r>
          </w:p>
        </w:tc>
        <w:tc>
          <w:tcPr>
            <w:tcW w:type="dxa" w:w="1981"/>
          </w:tcPr>
          <w:p>
            <w:r/>
            <w:r>
              <w:rPr>
                <w:sz w:val="18"/>
              </w:rPr>
              <w:t>COND-23</w:t>
            </w:r>
          </w:p>
        </w:tc>
        <w:tc>
          <w:tcPr>
            <w:tcW w:type="dxa" w:w="1981"/>
          </w:tcPr>
          <w:p>
            <w:r/>
            <w:r>
              <w:rPr>
                <w:sz w:val="18"/>
              </w:rPr>
              <w:t>security-and-config.test.ts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COND-24</w:t>
            </w:r>
          </w:p>
        </w:tc>
        <w:tc>
          <w:tcPr>
            <w:tcW w:type="dxa" w:w="1981"/>
          </w:tcPr>
          <w:p>
            <w:r/>
            <w:r>
              <w:rPr>
                <w:sz w:val="18"/>
              </w:rPr>
              <w:t>TC-09</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COND-26</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COND-27</w:t>
            </w:r>
          </w:p>
        </w:tc>
        <w:tc>
          <w:tcPr>
            <w:tcW w:type="dxa" w:w="1981"/>
          </w:tcPr>
          <w:p>
            <w:r/>
            <w:r>
              <w:rPr>
                <w:sz w:val="18"/>
              </w:rPr>
              <w:t>observed during TC-04 multicast walkthrough</w:t>
            </w:r>
          </w:p>
        </w:tc>
        <w:tc>
          <w:tcPr>
            <w:tcW w:type="dxa" w:w="1981"/>
          </w:tcPr>
          <w:p>
            <w:r/>
            <w:r>
              <w:rPr>
                <w:sz w:val="18"/>
              </w:rPr>
              <w:t>PASSED (observed)</w:t>
            </w:r>
          </w:p>
        </w:tc>
        <w:tc>
          <w:tcPr>
            <w:tcW w:type="dxa" w:w="1981"/>
          </w:tcPr>
          <w:p>
            <w:r/>
            <w:r>
              <w:rPr>
                <w:sz w:val="18"/>
              </w:rPr>
              <w:t>N/A</w:t>
            </w:r>
          </w:p>
        </w:tc>
      </w:tr>
      <w:tr>
        <w:tc>
          <w:tcPr>
            <w:tcW w:type="dxa" w:w="1981"/>
          </w:tcPr>
          <w:p>
            <w:r/>
            <w:r>
              <w:rPr>
                <w:sz w:val="18"/>
              </w:rPr>
              <w:t>FR4 — 3.2.3.1–.3</w:t>
            </w:r>
          </w:p>
        </w:tc>
        <w:tc>
          <w:tcPr>
            <w:tcW w:type="dxa" w:w="1981"/>
          </w:tcPr>
          <w:p>
            <w:r/>
            <w:r>
              <w:rPr>
                <w:sz w:val="18"/>
              </w:rPr>
              <w:t>COND-28, 31, 32</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COND-29</w:t>
            </w:r>
          </w:p>
        </w:tc>
        <w:tc>
          <w:tcPr>
            <w:tcW w:type="dxa" w:w="1981"/>
          </w:tcPr>
          <w:p>
            <w:r/>
            <w:r>
              <w:rPr>
                <w:sz w:val="18"/>
              </w:rPr>
              <w:t>TC-10</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COND-30</w:t>
            </w:r>
          </w:p>
        </w:tc>
        <w:tc>
          <w:tcPr>
            <w:tcW w:type="dxa" w:w="1981"/>
          </w:tcPr>
          <w:p>
            <w:r/>
            <w:r>
              <w:rPr>
                <w:sz w:val="18"/>
              </w:rPr>
              <w:t>TC-11</w:t>
            </w:r>
          </w:p>
        </w:tc>
        <w:tc>
          <w:tcPr>
            <w:tcW w:type="dxa" w:w="1981"/>
          </w:tcPr>
          <w:p>
            <w:r/>
            <w:r>
              <w:rPr>
                <w:sz w:val="18"/>
              </w:rPr>
              <w:t>BLOCKED (single-host precondition unmet)</w:t>
            </w:r>
          </w:p>
        </w:tc>
        <w:tc>
          <w:tcPr>
            <w:tcW w:type="dxa" w:w="1981"/>
          </w:tcPr>
          <w:p>
            <w:r/>
            <w:r>
              <w:rPr>
                <w:sz w:val="18"/>
              </w:rPr>
              <w:t>N/A — see Part 4 §5.2</w:t>
            </w:r>
          </w:p>
        </w:tc>
      </w:tr>
      <w:tr>
        <w:tc>
          <w:tcPr>
            <w:tcW w:type="dxa" w:w="1981"/>
          </w:tcPr>
          <w:p>
            <w:r/>
            <w:r>
              <w:rPr>
                <w:sz w:val="18"/>
              </w:rPr>
              <w:t>FR4</w:t>
            </w:r>
          </w:p>
        </w:tc>
        <w:tc>
          <w:tcPr>
            <w:tcW w:type="dxa" w:w="1981"/>
          </w:tcPr>
          <w:p>
            <w:r/>
            <w:r>
              <w:rPr>
                <w:sz w:val="18"/>
              </w:rPr>
              <w:t>COND-33</w:t>
            </w:r>
          </w:p>
        </w:tc>
        <w:tc>
          <w:tcPr>
            <w:tcW w:type="dxa" w:w="1981"/>
          </w:tcPr>
          <w:p>
            <w:r/>
            <w:r>
              <w:rPr>
                <w:sz w:val="18"/>
              </w:rPr>
              <w:t>folded into TC-10 (UC4 walkthrough)</w:t>
            </w:r>
          </w:p>
        </w:tc>
        <w:tc>
          <w:tcPr>
            <w:tcW w:type="dxa" w:w="1981"/>
          </w:tcPr>
          <w:p>
            <w:r/>
            <w:r>
              <w:rPr>
                <w:sz w:val="18"/>
              </w:rPr>
              <w:t>PASSED</w:t>
            </w:r>
          </w:p>
        </w:tc>
        <w:tc>
          <w:tcPr>
            <w:tcW w:type="dxa" w:w="1981"/>
          </w:tcPr>
          <w:p>
            <w:r/>
            <w:r>
              <w:rPr>
                <w:sz w:val="18"/>
              </w:rPr>
              <w:t>N/A</w:t>
            </w:r>
          </w:p>
        </w:tc>
      </w:tr>
      <w:tr>
        <w:tc>
          <w:tcPr>
            <w:tcW w:type="dxa" w:w="1981"/>
          </w:tcPr>
          <w:p>
            <w:r/>
            <w:r>
              <w:rPr>
                <w:sz w:val="18"/>
              </w:rPr>
              <w:t>FR5 — 3.2.4.1–.4</w:t>
            </w:r>
          </w:p>
        </w:tc>
        <w:tc>
          <w:tcPr>
            <w:tcW w:type="dxa" w:w="1981"/>
          </w:tcPr>
          <w:p>
            <w:r/>
            <w:r>
              <w:rPr>
                <w:sz w:val="18"/>
              </w:rPr>
              <w:t>COND-34, 35, 36, 54</w:t>
            </w:r>
          </w:p>
        </w:tc>
        <w:tc>
          <w:tcPr>
            <w:tcW w:type="dxa" w:w="1981"/>
          </w:tcPr>
          <w:p>
            <w:r/>
            <w:r>
              <w:rPr>
                <w:sz w:val="18"/>
              </w:rPr>
              <w:t>crypto.test.ts (unit)</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COND-37</w:t>
            </w:r>
          </w:p>
        </w:tc>
        <w:tc>
          <w:tcPr>
            <w:tcW w:type="dxa" w:w="1981"/>
          </w:tcPr>
          <w:p>
            <w:r/>
            <w:r>
              <w:rPr>
                <w:sz w:val="18"/>
              </w:rPr>
              <w:t>TC-12</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COND-38, 39</w:t>
            </w:r>
          </w:p>
        </w:tc>
        <w:tc>
          <w:tcPr>
            <w:tcW w:type="dxa" w:w="1981"/>
          </w:tcPr>
          <w:p>
            <w:r/>
            <w:r>
              <w:rPr>
                <w:sz w:val="18"/>
              </w:rPr>
              <w:t>TC-13</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COND-40</w:t>
            </w:r>
          </w:p>
        </w:tc>
        <w:tc>
          <w:tcPr>
            <w:tcW w:type="dxa" w:w="1981"/>
          </w:tcPr>
          <w:p>
            <w:r/>
            <w:r>
              <w:rPr>
                <w:sz w:val="18"/>
              </w:rPr>
              <w:t>crypto.test.ts + security-and-config.test.ts</w:t>
            </w:r>
          </w:p>
        </w:tc>
        <w:tc>
          <w:tcPr>
            <w:tcW w:type="dxa" w:w="1981"/>
          </w:tcPr>
          <w:p>
            <w:r/>
            <w:r>
              <w:rPr>
                <w:sz w:val="18"/>
              </w:rPr>
              <w:t>PASSED</w:t>
            </w:r>
          </w:p>
        </w:tc>
        <w:tc>
          <w:tcPr>
            <w:tcW w:type="dxa" w:w="1981"/>
          </w:tcPr>
          <w:p>
            <w:r/>
            <w:r>
              <w:rPr>
                <w:sz w:val="18"/>
              </w:rPr>
              <w:t>N/A</w:t>
            </w:r>
          </w:p>
        </w:tc>
      </w:tr>
      <w:tr>
        <w:tc>
          <w:tcPr>
            <w:tcW w:type="dxa" w:w="1981"/>
          </w:tcPr>
          <w:p>
            <w:r/>
            <w:r>
              <w:rPr>
                <w:sz w:val="18"/>
              </w:rPr>
              <w:t>FR6 — 3.2.4.5, .6</w:t>
            </w:r>
          </w:p>
        </w:tc>
        <w:tc>
          <w:tcPr>
            <w:tcW w:type="dxa" w:w="1981"/>
          </w:tcPr>
          <w:p>
            <w:r/>
            <w:r>
              <w:rPr>
                <w:sz w:val="18"/>
              </w:rPr>
              <w:t>COND-41, 42</w:t>
            </w:r>
          </w:p>
        </w:tc>
        <w:tc>
          <w:tcPr>
            <w:tcW w:type="dxa" w:w="1981"/>
          </w:tcPr>
          <w:p>
            <w:r/>
            <w:r>
              <w:rPr>
                <w:sz w:val="18"/>
              </w:rPr>
              <w:t>TC-14</w:t>
            </w:r>
          </w:p>
        </w:tc>
        <w:tc>
          <w:tcPr>
            <w:tcW w:type="dxa" w:w="1981"/>
          </w:tcPr>
          <w:p>
            <w:r/>
            <w:r>
              <w:rPr>
                <w:sz w:val="18"/>
              </w:rPr>
              <w:t>PASSED</w:t>
            </w:r>
          </w:p>
        </w:tc>
        <w:tc>
          <w:tcPr>
            <w:tcW w:type="dxa" w:w="1981"/>
          </w:tcPr>
          <w:p>
            <w:r/>
            <w:r>
              <w:rPr>
                <w:sz w:val="18"/>
              </w:rPr>
              <w:t>N/A</w:t>
            </w:r>
          </w:p>
        </w:tc>
      </w:tr>
      <w:tr>
        <w:tc>
          <w:tcPr>
            <w:tcW w:type="dxa" w:w="1981"/>
          </w:tcPr>
          <w:p>
            <w:r/>
            <w:r>
              <w:rPr>
                <w:sz w:val="18"/>
              </w:rPr>
              <w:t>FR6</w:t>
            </w:r>
          </w:p>
        </w:tc>
        <w:tc>
          <w:tcPr>
            <w:tcW w:type="dxa" w:w="1981"/>
          </w:tcPr>
          <w:p>
            <w:r/>
            <w:r>
              <w:rPr>
                <w:sz w:val="18"/>
              </w:rPr>
              <w:t>COND-43, 44, 45</w:t>
            </w:r>
          </w:p>
        </w:tc>
        <w:tc>
          <w:tcPr>
            <w:tcW w:type="dxa" w:w="1981"/>
          </w:tcPr>
          <w:p>
            <w:r/>
            <w:r>
              <w:rPr>
                <w:sz w:val="18"/>
              </w:rPr>
              <w:t>fr5-fr6-security.test.ts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 — 3.2.5.1, .2</w:t>
            </w:r>
          </w:p>
        </w:tc>
        <w:tc>
          <w:tcPr>
            <w:tcW w:type="dxa" w:w="1981"/>
          </w:tcPr>
          <w:p>
            <w:r/>
            <w:r>
              <w:rPr>
                <w:sz w:val="18"/>
              </w:rPr>
              <w:t>COND-46</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COND-47, 48</w:t>
            </w:r>
          </w:p>
        </w:tc>
        <w:tc>
          <w:tcPr>
            <w:tcW w:type="dxa" w:w="1981"/>
          </w:tcPr>
          <w:p>
            <w:r/>
            <w:r>
              <w:rPr>
                <w:sz w:val="18"/>
              </w:rPr>
              <w:t>fr7-architecture.test.ts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COND-49</w:t>
            </w:r>
          </w:p>
        </w:tc>
        <w:tc>
          <w:tcPr>
            <w:tcW w:type="dxa" w:w="1981"/>
          </w:tcPr>
          <w:p>
            <w:r/>
            <w:r>
              <w:rPr>
                <w:sz w:val="18"/>
              </w:rPr>
              <w:t>TC-15</w:t>
            </w:r>
          </w:p>
        </w:tc>
        <w:tc>
          <w:tcPr>
            <w:tcW w:type="dxa" w:w="1981"/>
          </w:tcPr>
          <w:p>
            <w:r/>
            <w:r>
              <w:rPr>
                <w:sz w:val="18"/>
              </w:rPr>
              <w:t>PASSED</w:t>
            </w:r>
          </w:p>
        </w:tc>
        <w:tc>
          <w:tcPr>
            <w:tcW w:type="dxa" w:w="1981"/>
          </w:tcPr>
          <w:p>
            <w:r/>
            <w:r>
              <w:rPr>
                <w:sz w:val="18"/>
              </w:rPr>
              <w:t>N/A</w:t>
            </w:r>
          </w:p>
        </w:tc>
      </w:tr>
      <w:tr>
        <w:tc>
          <w:tcPr>
            <w:tcW w:type="dxa" w:w="1981"/>
          </w:tcPr>
          <w:p>
            <w:r/>
            <w:r>
              <w:rPr>
                <w:sz w:val="18"/>
              </w:rPr>
              <w:t>NFR8 — 3.2.6.1</w:t>
            </w:r>
          </w:p>
        </w:tc>
        <w:tc>
          <w:tcPr>
            <w:tcW w:type="dxa" w:w="1981"/>
          </w:tcPr>
          <w:p>
            <w:r/>
            <w:r>
              <w:rPr>
                <w:sz w:val="18"/>
              </w:rPr>
              <w:t>COND-50</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NFR8</w:t>
            </w:r>
          </w:p>
        </w:tc>
        <w:tc>
          <w:tcPr>
            <w:tcW w:type="dxa" w:w="1981"/>
          </w:tcPr>
          <w:p>
            <w:r/>
            <w:r>
              <w:rPr>
                <w:sz w:val="18"/>
              </w:rPr>
              <w:t>COND-51</w:t>
            </w:r>
          </w:p>
        </w:tc>
        <w:tc>
          <w:tcPr>
            <w:tcW w:type="dxa" w:w="1981"/>
          </w:tcPr>
          <w:p>
            <w:r/>
            <w:r>
              <w:rPr>
                <w:sz w:val="18"/>
              </w:rPr>
              <w:t>manual — Compatibility page, live</w:t>
            </w:r>
          </w:p>
        </w:tc>
        <w:tc>
          <w:tcPr>
            <w:tcW w:type="dxa" w:w="1981"/>
          </w:tcPr>
          <w:p>
            <w:r/>
            <w:r>
              <w:rPr>
                <w:sz w:val="18"/>
              </w:rPr>
              <w:t>PASSED</w:t>
            </w:r>
          </w:p>
        </w:tc>
        <w:tc>
          <w:tcPr>
            <w:tcW w:type="dxa" w:w="1981"/>
          </w:tcPr>
          <w:p>
            <w:r/>
            <w:r>
              <w:rPr>
                <w:sz w:val="18"/>
              </w:rPr>
              <w:t>N/A</w:t>
            </w:r>
          </w:p>
        </w:tc>
      </w:tr>
      <w:tr>
        <w:tc>
          <w:tcPr>
            <w:tcW w:type="dxa" w:w="1981"/>
          </w:tcPr>
          <w:p>
            <w:r/>
            <w:r>
              <w:rPr>
                <w:sz w:val="18"/>
              </w:rPr>
              <w:t>NFR9 — 2.4.1</w:t>
            </w:r>
          </w:p>
        </w:tc>
        <w:tc>
          <w:tcPr>
            <w:tcW w:type="dxa" w:w="1981"/>
          </w:tcPr>
          <w:p>
            <w:r/>
            <w:r>
              <w:rPr>
                <w:sz w:val="18"/>
              </w:rPr>
              <w:t>COND-52</w:t>
            </w:r>
          </w:p>
        </w:tc>
        <w:tc>
          <w:tcPr>
            <w:tcW w:type="dxa" w:w="1981"/>
          </w:tcPr>
          <w:p>
            <w:r/>
            <w:r>
              <w:rPr>
                <w:sz w:val="18"/>
              </w:rPr>
              <w:t>traceability.test.ts (static inspection)</w:t>
            </w:r>
          </w:p>
        </w:tc>
        <w:tc>
          <w:tcPr>
            <w:tcW w:type="dxa" w:w="1981"/>
          </w:tcPr>
          <w:p>
            <w:r/>
            <w:r>
              <w:rPr>
                <w:sz w:val="18"/>
              </w:rPr>
              <w:t>PASSED</w:t>
            </w:r>
          </w:p>
        </w:tc>
        <w:tc>
          <w:tcPr>
            <w:tcW w:type="dxa" w:w="1981"/>
          </w:tcPr>
          <w:p>
            <w:r/>
            <w:r>
              <w:rPr>
                <w:sz w:val="18"/>
              </w:rPr>
              <w:t>N/A</w:t>
            </w:r>
          </w:p>
        </w:tc>
      </w:tr>
      <w:tr>
        <w:tc>
          <w:tcPr>
            <w:tcW w:type="dxa" w:w="1981"/>
          </w:tcPr>
          <w:p>
            <w:r/>
            <w:r>
              <w:rPr>
                <w:sz w:val="18"/>
              </w:rPr>
              <w:t>NFR9</w:t>
            </w:r>
          </w:p>
        </w:tc>
        <w:tc>
          <w:tcPr>
            <w:tcW w:type="dxa" w:w="1981"/>
          </w:tcPr>
          <w:p>
            <w:r/>
            <w:r>
              <w:rPr>
                <w:sz w:val="18"/>
              </w:rPr>
              <w:t>COND-53</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NFR10 — 2.4.2</w:t>
            </w:r>
          </w:p>
        </w:tc>
        <w:tc>
          <w:tcPr>
            <w:tcW w:type="dxa" w:w="1981"/>
          </w:tcPr>
          <w:p>
            <w:r/>
            <w:r>
              <w:rPr>
                <w:sz w:val="18"/>
              </w:rPr>
              <w:t>COND-54</w:t>
            </w:r>
          </w:p>
        </w:tc>
        <w:tc>
          <w:tcPr>
            <w:tcW w:type="dxa" w:w="1981"/>
          </w:tcPr>
          <w:p>
            <w:r/>
            <w:r>
              <w:rPr>
                <w:sz w:val="18"/>
              </w:rPr>
              <w:t>crypto.test.ts + fr5-fr6-security.test.ts</w:t>
            </w:r>
          </w:p>
        </w:tc>
        <w:tc>
          <w:tcPr>
            <w:tcW w:type="dxa" w:w="1981"/>
          </w:tcPr>
          <w:p>
            <w:r/>
            <w:r>
              <w:rPr>
                <w:sz w:val="18"/>
              </w:rPr>
              <w:t>PASSED</w:t>
            </w:r>
          </w:p>
        </w:tc>
        <w:tc>
          <w:tcPr>
            <w:tcW w:type="dxa" w:w="1981"/>
          </w:tcPr>
          <w:p>
            <w:r/>
            <w:r>
              <w:rPr>
                <w:sz w:val="18"/>
              </w:rPr>
              <w:t>N/A</w:t>
            </w:r>
          </w:p>
        </w:tc>
      </w:tr>
    </w:tbl>
    <w:p/>
    <w:p>
      <w:r>
        <w:rPr>
          <w:b w:val="0"/>
          <w:i/>
        </w:rPr>
        <w:t>52 of 54 conditions PASSED. 1 FAILED (COND-22 / TC-08, deliberate, environment-caused). 1 BLOCKED (COND-30 / TC-11, deliberate, precondition-caused). Zero conditions produced a confirmed implementation defect — see the investigation in Part 4.</w:t>
      </w:r>
    </w:p>
    <w:p>
      <w:pPr>
        <w:pStyle w:val="Heading1"/>
        <w:spacing w:after="160" w:before="280"/>
      </w:pPr>
      <w:r>
        <w:t xml:space="preserve">Part 4: Defect Reporting and Final Quality Judgment</w:t>
      </w:r>
    </w:p>
    <w:p>
      <w:r>
        <w:rPr>
          <w:b/>
          <w:i w:val="0"/>
        </w:rPr>
        <w:t>5.1 The FAILED/BLOCKED-vs-defect distinction, applied to TC-08</w:t>
      </w:r>
    </w:p>
    <w:p>
      <w:r>
        <w:rPr>
          <w:b w:val="0"/>
          <w:i w:val="0"/>
        </w:rPr>
        <w:t>Vitest's own report shows fr3-ttl.test.ts passing — because the test's assertion is about the observation itself (record which agents received the confinement-violating datagram), not about confinement occurring. The SRS-level verdict is separate: judged against SRS §1.3's own definition of TTL (router hops before discard), the confinement did not occur, so TC-08 is FAILED against the SRS expected result, independent of what the test runner's exit code says.</w:t>
      </w:r>
    </w:p>
    <w:p>
      <w:r>
        <w:rPr>
          <w:b/>
          <w:i w:val="0"/>
        </w:rPr>
        <w:t>5.2 Investigation of every FAILED/BLOCKED case</w:t>
      </w:r>
    </w:p>
    <w:p>
      <w:r>
        <w:rPr>
          <w:b/>
        </w:rPr>
        <w:t>TC-08 — FAILED.</w:t>
      </w:r>
      <w:r>
        <w:t xml:space="preserve"> Test setup/data/environment checked: single physical machine, no router in the network path. Reproduced: yes, deterministically, every run (3/3 in this session, consistent across prior CI history). Root cause: SRS §1.3 defines TTL as a router-hop counter; on same-host delivery no router is traversed, so the mechanism the SRS describes has nothing to act on. socket.setMulticastTTL() is called correctly (verified by code inspection). Verdict: not a defect — declared in advance in DEVIATIONS.md D-5; the implementation matches the SRS, the test bed cannot exercise its router-hop scope.</w:t>
      </w:r>
    </w:p>
    <w:p>
      <w:r>
        <w:rPr>
          <w:b/>
        </w:rPr>
        <w:t>TC-11 — BLOCKED.</w:t>
      </w:r>
      <w:r>
        <w:t xml:space="preserve"> Precondition checked: verify-preconditions.sh confirms exactly one host, no peer reachable. Reproduced: not applicable — a BLOCKED case cannot execute, so there is nothing to reproduce. Root cause: the required precondition ('all possible hosts under the same local network' as an enumerable, testable set) does not exist on a single development machine. Verdict: not a defect — declared in advance in ASSUMPTIONS.md A4.1/A4.2; TC-10 already confirms the send/receive logic is correct at the scale this test bed can exercise.</w:t>
      </w:r>
    </w:p>
    <w:p>
      <w:r>
        <w:rPr>
          <w:b/>
        </w:rPr>
        <w:t>F1 (SonarQube, Part 3.A) — symmetric.ts:59 implicit Array.sort().</w:t>
      </w:r>
      <w:r>
        <w:t xml:space="preserve"> Checked whether the sort feeds a hash: yes — derivePairwiseKey() sorts [agentA, agentB], joins, and hashes the result. Investigated what 'implicit sort' means for ASCII agent-ID strings: JavaScript's default comparator sorts by UTF-16 code-unit order, deterministic and locale-independent — confirmed by crypto.test.ts COND-36 (order-independence) passing every run. SonarQube's suggested fix (localeCompare) would make ordering locale-dependent, the opposite of what a hash canonicalization step needs. Verdict: not a defect — a true-positive static pattern that is functionally correct for this specific usage.</w:t>
      </w:r>
    </w:p>
    <w:p>
      <w:r>
        <w:rPr>
          <w:b/>
        </w:rPr>
        <w:t>F4 (SonarQube, Part 3.A) — ambiguous JSX spacing, 12 occurrences.</w:t>
      </w:r>
      <w:r>
        <w:t xml:space="preserve"> Checked whether the flagged label/input pairs render with the space Sonar cannot confirm is intentional. Manually inspected the rendered harness on every affected page during TC-01, TC-04, TC-10, TC-15 and the COND-51 walkthrough: every flagged label ('TTL', 'port', 'from', 'to') renders with a clear, correctly spaced value. Verdict: not a defect — a genuine static-analysis flag with no observable rendering failure.</w:t>
      </w:r>
    </w:p>
    <w:p>
      <w:r>
        <w:rPr>
          <w:b/>
          <w:i w:val="0"/>
        </w:rPr>
        <w:t>5.3 Jira</w:t>
      </w:r>
    </w:p>
    <w:p>
      <w:r>
        <w:rPr>
          <w:b w:val="0"/>
          <w:i w:val="0"/>
        </w:rPr>
        <w:t>Outcome of triage: zero confirmed, reproducible implementation defects. Every FAILED/BLOCKED test case and every SonarQube finding with a plausible functional angle (F1, F4) resolved to 'not a defect' for a specific, evidenced reason — see §5.2. Per the assignment's own wording ('not every failure or blocker should become a Jira bug'), none of the four investigated candidates was logged as an open Bug, because none satisfies all four defect criteria (executed test; actual ≠ expected; reproduced ≥2 times; not explained by an already-declared assumption/limitation). Each was instead logged in Jira as a closed, fully-documented investigation record (Task type — this project defines no Bug issue type), so the audit trail is verifiable in the tool the assignment requires, not only in this report.</w:t>
      </w:r>
    </w:p>
    <w:p>
      <w:r>
        <w:rPr>
          <w:b w:val="0"/>
          <w:i w:val="0"/>
        </w:rPr>
        <w:t>Jira project: Vexa Testing (KAN), https://muhammadbilaltahir.atlassian.net/jira/software/projects/KAN. Epic KAN-9 'SE3002 Assignment 01 — Defect Triage (Part 4)' groups four investigation records, each Done / Low priority, each carrying environment/build, preconditions, numbered reproduction steps, expected vs. actual result, reproducibility, severity/priority, the full investigation writeup, verdict, related test-case ID, and a comment linking to the exact source evidence in the repository: KAN-5 (TC-08), KAN-6 (TC-11), KAN-7 (SonarQube F1), KAN-8 (SonarQube F4). The same investigation content is mirrored in evidence/jira/DEFECT-TRIAGE.md for reviewers without Jira access.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Candidate</w:t>
            </w:r>
          </w:p>
        </w:tc>
        <w:tc>
          <w:tcPr>
            <w:tcW w:type="dxa" w:w="3302"/>
          </w:tcPr>
          <w:p>
            <w:r/>
            <w:r>
              <w:rPr>
                <w:b/>
                <w:sz w:val="18"/>
              </w:rPr>
              <w:t>Status</w:t>
            </w:r>
          </w:p>
        </w:tc>
        <w:tc>
          <w:tcPr>
            <w:tcW w:type="dxa" w:w="3302"/>
          </w:tcPr>
          <w:p>
            <w:r/>
            <w:r>
              <w:rPr>
                <w:b/>
                <w:sz w:val="18"/>
              </w:rPr>
              <w:t>Jira issue</w:t>
            </w:r>
          </w:p>
        </w:tc>
      </w:tr>
      <w:tr>
        <w:tc>
          <w:tcPr>
            <w:tcW w:type="dxa" w:w="3302"/>
          </w:tcPr>
          <w:p>
            <w:r/>
            <w:r>
              <w:rPr>
                <w:sz w:val="18"/>
              </w:rPr>
              <w:t>TC-08 (COND-22)</w:t>
            </w:r>
          </w:p>
        </w:tc>
        <w:tc>
          <w:tcPr>
            <w:tcW w:type="dxa" w:w="3302"/>
          </w:tcPr>
          <w:p>
            <w:r/>
            <w:r>
              <w:rPr>
                <w:sz w:val="18"/>
              </w:rPr>
              <w:t>FAILED (expected, environment)</w:t>
            </w:r>
          </w:p>
        </w:tc>
        <w:tc>
          <w:tcPr>
            <w:tcW w:type="dxa" w:w="3302"/>
          </w:tcPr>
          <w:p>
            <w:r/>
            <w:r>
              <w:rPr>
                <w:sz w:val="18"/>
              </w:rPr>
              <w:t>Not logged — not a defect</w:t>
            </w:r>
          </w:p>
        </w:tc>
      </w:tr>
      <w:tr>
        <w:tc>
          <w:tcPr>
            <w:tcW w:type="dxa" w:w="3302"/>
          </w:tcPr>
          <w:p>
            <w:r/>
            <w:r>
              <w:rPr>
                <w:sz w:val="18"/>
              </w:rPr>
              <w:t>TC-11 (COND-30)</w:t>
            </w:r>
          </w:p>
        </w:tc>
        <w:tc>
          <w:tcPr>
            <w:tcW w:type="dxa" w:w="3302"/>
          </w:tcPr>
          <w:p>
            <w:r/>
            <w:r>
              <w:rPr>
                <w:sz w:val="18"/>
              </w:rPr>
              <w:t>BLOCKED (expected, precondition)</w:t>
            </w:r>
          </w:p>
        </w:tc>
        <w:tc>
          <w:tcPr>
            <w:tcW w:type="dxa" w:w="3302"/>
          </w:tcPr>
          <w:p>
            <w:r/>
            <w:r>
              <w:rPr>
                <w:sz w:val="18"/>
              </w:rPr>
              <w:t>Not logged — not a defect</w:t>
            </w:r>
          </w:p>
        </w:tc>
      </w:tr>
      <w:tr>
        <w:tc>
          <w:tcPr>
            <w:tcW w:type="dxa" w:w="3302"/>
          </w:tcPr>
          <w:p>
            <w:r/>
            <w:r>
              <w:rPr>
                <w:sz w:val="18"/>
              </w:rPr>
              <w:t>SonarQube F1</w:t>
            </w:r>
          </w:p>
        </w:tc>
        <w:tc>
          <w:tcPr>
            <w:tcW w:type="dxa" w:w="3302"/>
          </w:tcPr>
          <w:p>
            <w:r/>
            <w:r>
              <w:rPr>
                <w:sz w:val="18"/>
              </w:rPr>
              <w:t>Investigated</w:t>
            </w:r>
          </w:p>
        </w:tc>
        <w:tc>
          <w:tcPr>
            <w:tcW w:type="dxa" w:w="3302"/>
          </w:tcPr>
          <w:p>
            <w:r/>
            <w:r>
              <w:rPr>
                <w:sz w:val="18"/>
              </w:rPr>
              <w:t>Not logged — not a defect</w:t>
            </w:r>
          </w:p>
        </w:tc>
      </w:tr>
      <w:tr>
        <w:tc>
          <w:tcPr>
            <w:tcW w:type="dxa" w:w="3302"/>
          </w:tcPr>
          <w:p>
            <w:r/>
            <w:r>
              <w:rPr>
                <w:sz w:val="18"/>
              </w:rPr>
              <w:t>SonarQube F4</w:t>
            </w:r>
          </w:p>
        </w:tc>
        <w:tc>
          <w:tcPr>
            <w:tcW w:type="dxa" w:w="3302"/>
          </w:tcPr>
          <w:p>
            <w:r/>
            <w:r>
              <w:rPr>
                <w:sz w:val="18"/>
              </w:rPr>
              <w:t>Investigated</w:t>
            </w:r>
          </w:p>
        </w:tc>
        <w:tc>
          <w:tcPr>
            <w:tcW w:type="dxa" w:w="3302"/>
          </w:tcPr>
          <w:p>
            <w:r/>
            <w:r>
              <w:rPr>
                <w:sz w:val="18"/>
              </w:rPr>
              <w:t>Not logged — not a defect</w:t>
            </w:r>
          </w:p>
        </w:tc>
      </w:tr>
    </w:tbl>
    <w:p/>
    <w:p>
      <w:r>
        <w:rPr>
          <w:b w:val="0"/>
          <w:i/>
        </w:rPr>
        <w:t>0 of 4 investigated candidates met all four defect criteria. 0 open Bugs — 4 closed, fully-evidenced investigation records logged in Jira (KAN-5…KAN-8) under Epic KAN-9.</w:t>
      </w:r>
    </w:p>
    <w:p>
      <w:r>
        <w:rPr>
          <w:b/>
          <w:i w:val="0"/>
        </w:rPr>
        <w:t>5.4 Final Quality Judgment</w:t>
      </w:r>
    </w:p>
    <w:p>
      <w:r>
        <w:rPr>
          <w:b w:val="0"/>
          <w:i w:val="0"/>
        </w:rPr>
        <w:t>The combined evidence supports a working implementation of the ten selected requirements. All 217 automated tests pass (unit/component/integration, ~99.7% line coverage), SonarQube's Quality Gate passed against the complete frozen codebase (Reliability D driven almost entirely by one justified finding and a JSX-spacing pattern confirmed cosmetic; Security effectively clean once the single repeated multicast-address pattern is discounted), and all 15 designed test cases executed with every required category met — including two genuine, investigated FAILED/BLOCKED results that were neither manufactured nor hidden.</w:t>
      </w:r>
    </w:p>
    <w:p>
      <w:r>
        <w:rPr>
          <w:b w:val="0"/>
          <w:i w:val="0"/>
        </w:rPr>
        <w:t>What remains unsupported is scoped and specific, not general doubt. NFR8 (1.2 compatibility) cannot be validated against a real agentMom 1.2 artifact — none exists to compare against, and the implementation runs on Node rather than the SRS-specified Java 1.4, so the compatibility check is against a self-authored reconstruction (A8.2) by construction, not a limitation testing can close. NFR9's 'all or none' delivery wording admits no falsifiable pass/fail rate. NFR10 explicitly disclaims any decryption-resistance guarantee, so nothing was promised to test against there either. Three further assumptions — deterministic pairwise unicast keys with no handshake (A5.2), no group-key rotation on leave (A6.2), and the limited-broadcast address choice (A4.1) — are declared design-time stand-ins, not SRS-derived guarantees.</w:t>
      </w:r>
    </w:p>
    <w:p>
      <w:r>
        <w:rPr>
          <w:b w:val="0"/>
          <w:i w:val="0"/>
        </w:rPr>
        <w:t>AI-introduced assumptions materially shaped where confidence can and cannot be placed. A5.2 in particular is a real security-relevant design gap — a deterministic, handshake-free key — that neither SonarQube (which flagged the sort, not the absence of a handshake) nor functional testing (which only confirms the derivation is consistent, not that it is secure) can detect, because it is a protocol-design choice rather than a code-level defect. This is a boundary functional testing cannot cross by design.</w:t>
      </w:r>
    </w:p>
    <w:p>
      <w:r>
        <w:rPr>
          <w:b w:val="0"/>
          <w:i w:val="0"/>
        </w:rPr>
        <w:t>Scoped strictly to the ten requirements evaluated, on this single-host test bed, against this frozen baseline: the implementation is acceptable. FR1–FR7 are supported by executed, reproducible evidence at every category the assignment requires. NFR8–NFR10 are evaluated as far as their own wording permits, with every remaining gap named rather than glossed. This is not a claim about production readiness, real agentMom-1.2 interoperability, or LAN-scale broadcast — those remain explicitly out of evidence, not silently assumed.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20"/>
    </w:pPr>
    <w:rPr>
      <w:b/>
      <w:bCs/>
      <w:color w:val="1F3864"/>
      <w:sz w:val="28"/>
      <w:szCs w:val="28"/>
    </w:rPr>
  </w:style>
  <w:style w:type="paragraph" w:styleId="Heading2">
    <w:name w:val="Heading 2"/>
    <w:basedOn w:val="Normal"/>
    <w:next w:val="Normal"/>
    <w:qFormat/>
    <w:pPr>
      <w:spacing w:after="120" w:before="260"/>
    </w:pPr>
    <w:rPr>
      <w:b/>
      <w:bCs/>
      <w:color w:val="1F386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