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0" w:after="100"/>
        <w:jc w:val="center"/>
        <w:rPr/>
      </w:pPr>
      <w:r>
        <w:rPr>
          <w:b/>
          <w:bCs/>
          <w:color w:val="000000"/>
          <w:sz w:val="28"/>
          <w:szCs w:val="28"/>
        </w:rPr>
        <w:t>SE3002 Assignment 01: Quality Evaluation of AI Generated Software</w:t>
      </w:r>
    </w:p>
    <w:p>
      <w:pPr>
        <w:pStyle w:val="Normal"/>
        <w:spacing w:before="0" w:after="100"/>
        <w:jc w:val="center"/>
        <w:rPr/>
      </w:pPr>
      <w:r>
        <w:rPr>
          <w:color w:val="000000"/>
          <w:sz w:val="22"/>
          <w:szCs w:val="22"/>
        </w:rPr>
        <w:t>Project: agentMom, Broadcasting/Multicasting/Secured Communication in Multi Agent Systems</w:t>
      </w:r>
    </w:p>
    <w:p>
      <w:pPr>
        <w:pStyle w:val="Normal"/>
        <w:spacing w:before="0" w:after="300"/>
        <w:jc w:val="center"/>
        <w:rPr/>
      </w:pPr>
      <w:r>
        <w:rPr>
          <w:i/>
          <w:iCs/>
          <w:color w:val="000000"/>
          <w:sz w:val="20"/>
          <w:szCs w:val="20"/>
        </w:rPr>
        <w:t xml:space="preserve">Team members: M. Bilal Tahir (24i-3166) and Taimoor Shaukat (24i-3015)        Section: </w:t>
      </w:r>
      <w:r>
        <w:rPr>
          <w:i/>
          <w:iCs/>
          <w:color w:val="000000"/>
          <w:sz w:val="20"/>
          <w:szCs w:val="20"/>
        </w:rPr>
        <w:t>SE-B</w:t>
      </w:r>
    </w:p>
    <w:p>
      <w:pPr>
        <w:pStyle w:val="Heading1"/>
        <w:spacing w:before="300" w:after="150"/>
        <w:rPr/>
      </w:pPr>
      <w:r>
        <w:rPr>
          <w:color w:val="000000"/>
        </w:rPr>
        <w:t>Part 1: Requirement Scope and AI Assumptions</w:t>
      </w:r>
    </w:p>
    <w:p>
      <w:pPr>
        <w:pStyle w:val="Normal"/>
        <w:spacing w:before="0" w:after="150"/>
        <w:rPr/>
      </w:pPr>
      <w:r>
        <w:rPr>
          <w:i w:val="false"/>
          <w:iCs w:val="false"/>
          <w:color w:val="000000"/>
        </w:rPr>
        <w:t>We selected the agentMom SRS (Applying Broadcasting/Multicasting/Secured Communication to agentMom in Multi-Agent Systems). The ten requirements below cover seven functional requirements and three non-functional requirements, chosen to give balanced coverage of the three communication modes the project is built around: unicast, multicast and broadcast, plus the security layer on top of them. None of the seven FRs are CRUD operations, since the underlying SRS describes a messaging framework rather than a data management system, so the CRUD limit in the assignment does not restrict this selection.</w:t>
      </w:r>
    </w:p>
    <w:p>
      <w:pPr>
        <w:pStyle w:val="Normal"/>
        <w:spacing w:before="0" w:after="150"/>
        <w:rPr/>
      </w:pPr>
      <w:r>
        <w:rPr>
          <w:i w:val="false"/>
          <w:iCs w:val="false"/>
          <w:color w:val="000000"/>
        </w:rPr>
        <w:t>For the requirement IDs, we grouped sub-requirements together where they describe managing one capability end to end, for example all four unicast sub-requirements are treated as one FR, following the assignment's rule that complete management of one entity counts as a single requirement.</w:t>
      </w:r>
    </w:p>
    <w:tbl>
      <w:tblPr>
        <w:tblW w:w="14400" w:type="dxa"/>
        <w:jc w:val="left"/>
        <w:tblInd w:w="0" w:type="dxa"/>
        <w:tblLayout w:type="fixed"/>
        <w:tblCellMar>
          <w:top w:w="100" w:type="dxa"/>
          <w:left w:w="100" w:type="dxa"/>
          <w:bottom w:w="100" w:type="dxa"/>
          <w:right w:w="100" w:type="dxa"/>
        </w:tblCellMar>
      </w:tblPr>
      <w:tblGrid>
        <w:gridCol w:w="1300"/>
        <w:gridCol w:w="900"/>
        <w:gridCol w:w="3299"/>
        <w:gridCol w:w="3201"/>
        <w:gridCol w:w="2900"/>
        <w:gridCol w:w="2799"/>
      </w:tblGrid>
      <w:tr>
        <w:trPr>
          <w:tblHeader w:val="true"/>
        </w:trPr>
        <w:tc>
          <w:tcPr>
            <w:tcW w:w="1300" w:type="dxa"/>
            <w:tcBorders>
              <w:top w:val="single" w:sz="4" w:space="0" w:color="000000"/>
              <w:left w:val="single" w:sz="4" w:space="0" w:color="000000"/>
              <w:bottom w:val="single" w:sz="4" w:space="0" w:color="000000"/>
              <w:right w:val="single" w:sz="4" w:space="0" w:color="000000"/>
            </w:tcBorders>
            <w:shd w:fill="D9D9D9" w:val="clear"/>
          </w:tcPr>
          <w:p>
            <w:pPr>
              <w:pStyle w:val="Normal"/>
              <w:rPr/>
            </w:pPr>
            <w:r>
              <w:rPr>
                <w:b/>
                <w:bCs/>
                <w:color w:val="000000"/>
                <w:sz w:val="18"/>
                <w:szCs w:val="18"/>
              </w:rPr>
              <w:t>Req. ID</w:t>
            </w:r>
          </w:p>
        </w:tc>
        <w:tc>
          <w:tcPr>
            <w:tcW w:w="900" w:type="dxa"/>
            <w:tcBorders>
              <w:top w:val="single" w:sz="4" w:space="0" w:color="000000"/>
              <w:left w:val="single" w:sz="4" w:space="0" w:color="000000"/>
              <w:bottom w:val="single" w:sz="4" w:space="0" w:color="000000"/>
              <w:right w:val="single" w:sz="4" w:space="0" w:color="000000"/>
            </w:tcBorders>
            <w:shd w:fill="D9D9D9" w:val="clear"/>
          </w:tcPr>
          <w:p>
            <w:pPr>
              <w:pStyle w:val="Normal"/>
              <w:rPr/>
            </w:pPr>
            <w:r>
              <w:rPr>
                <w:b/>
                <w:bCs/>
                <w:color w:val="000000"/>
                <w:sz w:val="18"/>
                <w:szCs w:val="18"/>
              </w:rPr>
              <w:t>Type</w:t>
            </w:r>
          </w:p>
        </w:tc>
        <w:tc>
          <w:tcPr>
            <w:tcW w:w="3299" w:type="dxa"/>
            <w:tcBorders>
              <w:top w:val="single" w:sz="4" w:space="0" w:color="000000"/>
              <w:left w:val="single" w:sz="4" w:space="0" w:color="000000"/>
              <w:bottom w:val="single" w:sz="4" w:space="0" w:color="000000"/>
              <w:right w:val="single" w:sz="4" w:space="0" w:color="000000"/>
            </w:tcBorders>
            <w:shd w:fill="D9D9D9" w:val="clear"/>
          </w:tcPr>
          <w:p>
            <w:pPr>
              <w:pStyle w:val="Normal"/>
              <w:rPr/>
            </w:pPr>
            <w:r>
              <w:rPr>
                <w:b/>
                <w:bCs/>
                <w:color w:val="000000"/>
                <w:sz w:val="18"/>
                <w:szCs w:val="18"/>
              </w:rPr>
              <w:t>Requirement (brief)</w:t>
            </w:r>
          </w:p>
        </w:tc>
        <w:tc>
          <w:tcPr>
            <w:tcW w:w="3201" w:type="dxa"/>
            <w:tcBorders>
              <w:top w:val="single" w:sz="4" w:space="0" w:color="000000"/>
              <w:left w:val="single" w:sz="4" w:space="0" w:color="000000"/>
              <w:bottom w:val="single" w:sz="4" w:space="0" w:color="000000"/>
              <w:right w:val="single" w:sz="4" w:space="0" w:color="000000"/>
            </w:tcBorders>
            <w:shd w:fill="D9D9D9" w:val="clear"/>
          </w:tcPr>
          <w:p>
            <w:pPr>
              <w:pStyle w:val="Normal"/>
              <w:rPr/>
            </w:pPr>
            <w:r>
              <w:rPr>
                <w:b/>
                <w:bCs/>
                <w:color w:val="000000"/>
                <w:sz w:val="18"/>
                <w:szCs w:val="18"/>
              </w:rPr>
              <w:t>Why selected / risk</w:t>
            </w:r>
          </w:p>
        </w:tc>
        <w:tc>
          <w:tcPr>
            <w:tcW w:w="2900" w:type="dxa"/>
            <w:tcBorders>
              <w:top w:val="single" w:sz="4" w:space="0" w:color="000000"/>
              <w:left w:val="single" w:sz="4" w:space="0" w:color="000000"/>
              <w:bottom w:val="single" w:sz="4" w:space="0" w:color="000000"/>
              <w:right w:val="single" w:sz="4" w:space="0" w:color="000000"/>
            </w:tcBorders>
            <w:shd w:fill="D9D9D9" w:val="clear"/>
          </w:tcPr>
          <w:p>
            <w:pPr>
              <w:pStyle w:val="Normal"/>
              <w:rPr/>
            </w:pPr>
            <w:r>
              <w:rPr>
                <w:b/>
                <w:bCs/>
                <w:color w:val="000000"/>
                <w:sz w:val="18"/>
                <w:szCs w:val="18"/>
              </w:rPr>
              <w:t>AI assumption</w:t>
            </w:r>
          </w:p>
        </w:tc>
        <w:tc>
          <w:tcPr>
            <w:tcW w:w="2799" w:type="dxa"/>
            <w:tcBorders>
              <w:top w:val="single" w:sz="4" w:space="0" w:color="000000"/>
              <w:left w:val="single" w:sz="4" w:space="0" w:color="000000"/>
              <w:bottom w:val="single" w:sz="4" w:space="0" w:color="000000"/>
              <w:right w:val="single" w:sz="4" w:space="0" w:color="000000"/>
            </w:tcBorders>
            <w:shd w:fill="D9D9D9" w:val="clear"/>
          </w:tcPr>
          <w:p>
            <w:pPr>
              <w:pStyle w:val="Normal"/>
              <w:rPr/>
            </w:pPr>
            <w:r>
              <w:rPr>
                <w:b/>
                <w:bCs/>
                <w:color w:val="000000"/>
                <w:sz w:val="18"/>
                <w:szCs w:val="18"/>
              </w:rPr>
              <w:t>Defence / basis</w:t>
            </w:r>
          </w:p>
        </w:tc>
      </w:tr>
      <w:tr>
        <w:trPr/>
        <w:tc>
          <w:tcPr>
            <w:tcW w:w="1300" w:type="dxa"/>
            <w:tcBorders>
              <w:top w:val="single" w:sz="4" w:space="0" w:color="000000"/>
              <w:left w:val="single" w:sz="4" w:space="0" w:color="000000"/>
              <w:bottom w:val="single" w:sz="4" w:space="0" w:color="000000"/>
              <w:right w:val="single" w:sz="4" w:space="0" w:color="000000"/>
            </w:tcBorders>
          </w:tcPr>
          <w:p>
            <w:pPr>
              <w:pStyle w:val="Normal"/>
              <w:rPr/>
            </w:pPr>
            <w:r>
              <w:rPr>
                <w:b w:val="false"/>
                <w:bCs w:val="false"/>
                <w:color w:val="000000"/>
                <w:sz w:val="18"/>
                <w:szCs w:val="18"/>
              </w:rPr>
              <w:t>3.2.1.1 - 3.2.1.4</w:t>
            </w:r>
          </w:p>
        </w:tc>
        <w:tc>
          <w:tcPr>
            <w:tcW w:w="900" w:type="dxa"/>
            <w:tcBorders>
              <w:top w:val="single" w:sz="4" w:space="0" w:color="000000"/>
              <w:left w:val="single" w:sz="4" w:space="0" w:color="000000"/>
              <w:bottom w:val="single" w:sz="4" w:space="0" w:color="000000"/>
              <w:right w:val="single" w:sz="4" w:space="0" w:color="000000"/>
            </w:tcBorders>
          </w:tcPr>
          <w:p>
            <w:pPr>
              <w:pStyle w:val="Normal"/>
              <w:rPr/>
            </w:pPr>
            <w:r>
              <w:rPr>
                <w:b w:val="false"/>
                <w:bCs w:val="false"/>
                <w:color w:val="000000"/>
                <w:sz w:val="18"/>
                <w:szCs w:val="18"/>
              </w:rPr>
              <w:t>FR</w:t>
            </w:r>
          </w:p>
        </w:tc>
        <w:tc>
          <w:tcPr>
            <w:tcW w:w="3299" w:type="dxa"/>
            <w:tcBorders>
              <w:top w:val="single" w:sz="4" w:space="0" w:color="000000"/>
              <w:left w:val="single" w:sz="4" w:space="0" w:color="000000"/>
              <w:bottom w:val="single" w:sz="4" w:space="0" w:color="000000"/>
              <w:right w:val="single" w:sz="4" w:space="0" w:color="000000"/>
            </w:tcBorders>
          </w:tcPr>
          <w:p>
            <w:pPr>
              <w:pStyle w:val="Normal"/>
              <w:rPr/>
            </w:pPr>
            <w:r>
              <w:rPr>
                <w:b w:val="false"/>
                <w:bCs w:val="false"/>
                <w:color w:val="000000"/>
                <w:sz w:val="18"/>
                <w:szCs w:val="18"/>
              </w:rPr>
              <w:t>Unicast communication: agentMom shall support sending and receiving unicast messages, and a unicast message shall be received only by the specified address and shall arrive in order.</w:t>
            </w:r>
          </w:p>
        </w:tc>
        <w:tc>
          <w:tcPr>
            <w:tcW w:w="3201" w:type="dxa"/>
            <w:tcBorders>
              <w:top w:val="single" w:sz="4" w:space="0" w:color="000000"/>
              <w:left w:val="single" w:sz="4" w:space="0" w:color="000000"/>
              <w:bottom w:val="single" w:sz="4" w:space="0" w:color="000000"/>
              <w:right w:val="single" w:sz="4" w:space="0" w:color="000000"/>
            </w:tcBorders>
          </w:tcPr>
          <w:p>
            <w:pPr>
              <w:pStyle w:val="Normal"/>
              <w:rPr/>
            </w:pPr>
            <w:r>
              <w:rPr>
                <w:b w:val="false"/>
                <w:bCs w:val="false"/>
                <w:color w:val="000000"/>
                <w:sz w:val="18"/>
                <w:szCs w:val="18"/>
              </w:rPr>
              <w:t>This is the most basic communication mode in the framework, and two of the four sub requirements, send and receive, are marked as Driving Requirements that must be demonstrated by the end of phase II. The addressing and ordering sub-requirements are not marked as Driving, but the ordering one still carries a real risk on its own: the SRS does not say how in order delivery is actually guaranteed once more than one message is sent close together.</w:t>
            </w:r>
          </w:p>
        </w:tc>
        <w:tc>
          <w:tcPr>
            <w:tcW w:w="2900" w:type="dxa"/>
            <w:tcBorders>
              <w:top w:val="single" w:sz="4" w:space="0" w:color="000000"/>
              <w:left w:val="single" w:sz="4" w:space="0" w:color="000000"/>
              <w:bottom w:val="single" w:sz="4" w:space="0" w:color="000000"/>
              <w:right w:val="single" w:sz="4" w:space="0" w:color="000000"/>
            </w:tcBorders>
          </w:tcPr>
          <w:p>
            <w:pPr>
              <w:pStyle w:val="Normal"/>
              <w:rPr/>
            </w:pPr>
            <w:r>
              <w:rPr>
                <w:b w:val="false"/>
                <w:bCs w:val="false"/>
                <w:color w:val="000000"/>
                <w:sz w:val="18"/>
                <w:szCs w:val="18"/>
              </w:rPr>
              <w:t>The AI assumed that relying on the underlying TCP connection is enough to satisfy the in order requirement, since TCP already delivers data on a single connection in order.</w:t>
            </w:r>
          </w:p>
        </w:tc>
        <w:tc>
          <w:tcPr>
            <w:tcW w:w="2799" w:type="dxa"/>
            <w:tcBorders>
              <w:top w:val="single" w:sz="4" w:space="0" w:color="000000"/>
              <w:left w:val="single" w:sz="4" w:space="0" w:color="000000"/>
              <w:bottom w:val="single" w:sz="4" w:space="0" w:color="000000"/>
              <w:right w:val="single" w:sz="4" w:space="0" w:color="000000"/>
            </w:tcBorders>
          </w:tcPr>
          <w:p>
            <w:pPr>
              <w:pStyle w:val="Normal"/>
              <w:rPr/>
            </w:pPr>
            <w:r>
              <w:rPr>
                <w:b w:val="false"/>
                <w:bCs w:val="false"/>
                <w:color w:val="000000"/>
                <w:sz w:val="18"/>
                <w:szCs w:val="18"/>
              </w:rPr>
              <w:t>SRS supported. Requirement 3.2.1.4 asks for in order arrival, and section 2.1.2 states TCP/IP is used for unicast, so building on TCP ordering is a reasonable design decision rather than a guess.</w:t>
            </w:r>
          </w:p>
        </w:tc>
      </w:tr>
      <w:tr>
        <w:trPr/>
        <w:tc>
          <w:tcPr>
            <w:tcW w:w="1300" w:type="dxa"/>
            <w:tcBorders>
              <w:top w:val="single" w:sz="4" w:space="0" w:color="000000"/>
              <w:left w:val="single" w:sz="4" w:space="0" w:color="000000"/>
              <w:bottom w:val="single" w:sz="4" w:space="0" w:color="000000"/>
              <w:right w:val="single" w:sz="4" w:space="0" w:color="000000"/>
            </w:tcBorders>
          </w:tcPr>
          <w:p>
            <w:pPr>
              <w:pStyle w:val="Normal"/>
              <w:rPr/>
            </w:pPr>
            <w:r>
              <w:rPr>
                <w:b w:val="false"/>
                <w:bCs w:val="false"/>
                <w:color w:val="000000"/>
                <w:sz w:val="18"/>
                <w:szCs w:val="18"/>
              </w:rPr>
              <w:t>3.2.2.3, 3.2.2.4, 3.2.2.5, 3.2.2.6</w:t>
            </w:r>
          </w:p>
        </w:tc>
        <w:tc>
          <w:tcPr>
            <w:tcW w:w="900" w:type="dxa"/>
            <w:tcBorders>
              <w:top w:val="single" w:sz="4" w:space="0" w:color="000000"/>
              <w:left w:val="single" w:sz="4" w:space="0" w:color="000000"/>
              <w:bottom w:val="single" w:sz="4" w:space="0" w:color="000000"/>
              <w:right w:val="single" w:sz="4" w:space="0" w:color="000000"/>
            </w:tcBorders>
          </w:tcPr>
          <w:p>
            <w:pPr>
              <w:pStyle w:val="Normal"/>
              <w:rPr/>
            </w:pPr>
            <w:r>
              <w:rPr>
                <w:b w:val="false"/>
                <w:bCs w:val="false"/>
                <w:color w:val="000000"/>
                <w:sz w:val="18"/>
                <w:szCs w:val="18"/>
              </w:rPr>
              <w:t>FR</w:t>
            </w:r>
          </w:p>
        </w:tc>
        <w:tc>
          <w:tcPr>
            <w:tcW w:w="3299" w:type="dxa"/>
            <w:tcBorders>
              <w:top w:val="single" w:sz="4" w:space="0" w:color="000000"/>
              <w:left w:val="single" w:sz="4" w:space="0" w:color="000000"/>
              <w:bottom w:val="single" w:sz="4" w:space="0" w:color="000000"/>
              <w:right w:val="single" w:sz="4" w:space="0" w:color="000000"/>
            </w:tcBorders>
          </w:tcPr>
          <w:p>
            <w:pPr>
              <w:pStyle w:val="Normal"/>
              <w:rPr/>
            </w:pPr>
            <w:r>
              <w:rPr>
                <w:b w:val="false"/>
                <w:bCs w:val="false"/>
                <w:color w:val="000000"/>
                <w:sz w:val="18"/>
                <w:szCs w:val="18"/>
              </w:rPr>
              <w:t>Multicast group membership: an agent shall be able to send a request to join or leave a multicast group, and shall not receive messages from a group before joining it or after leaving it.</w:t>
            </w:r>
          </w:p>
        </w:tc>
        <w:tc>
          <w:tcPr>
            <w:tcW w:w="3201" w:type="dxa"/>
            <w:tcBorders>
              <w:top w:val="single" w:sz="4" w:space="0" w:color="000000"/>
              <w:left w:val="single" w:sz="4" w:space="0" w:color="000000"/>
              <w:bottom w:val="single" w:sz="4" w:space="0" w:color="000000"/>
              <w:right w:val="single" w:sz="4" w:space="0" w:color="000000"/>
            </w:tcBorders>
          </w:tcPr>
          <w:p>
            <w:pPr>
              <w:pStyle w:val="Normal"/>
              <w:rPr/>
            </w:pPr>
            <w:r>
              <w:rPr>
                <w:b w:val="false"/>
                <w:bCs w:val="false"/>
                <w:color w:val="000000"/>
                <w:sz w:val="18"/>
                <w:szCs w:val="18"/>
              </w:rPr>
              <w:t>This is a genuine business rule rather than a CRUD operation, because it decides whether a message is delivered at all based on the agent's membership state. The risk is a leave request and an incoming message arriving at almost the same time.</w:t>
            </w:r>
          </w:p>
        </w:tc>
        <w:tc>
          <w:tcPr>
            <w:tcW w:w="2900" w:type="dxa"/>
            <w:tcBorders>
              <w:top w:val="single" w:sz="4" w:space="0" w:color="000000"/>
              <w:left w:val="single" w:sz="4" w:space="0" w:color="000000"/>
              <w:bottom w:val="single" w:sz="4" w:space="0" w:color="000000"/>
              <w:right w:val="single" w:sz="4" w:space="0" w:color="000000"/>
            </w:tcBorders>
          </w:tcPr>
          <w:p>
            <w:pPr>
              <w:pStyle w:val="Normal"/>
              <w:rPr/>
            </w:pPr>
            <w:r>
              <w:rPr>
                <w:b w:val="false"/>
                <w:bCs w:val="false"/>
                <w:color w:val="000000"/>
                <w:sz w:val="18"/>
                <w:szCs w:val="18"/>
              </w:rPr>
              <w:t>The AI assumed a leave request takes effect immediately, and any message already in transit when the leave request is sent is simply dropped instead of delivered.</w:t>
            </w:r>
          </w:p>
        </w:tc>
        <w:tc>
          <w:tcPr>
            <w:tcW w:w="2799" w:type="dxa"/>
            <w:tcBorders>
              <w:top w:val="single" w:sz="4" w:space="0" w:color="000000"/>
              <w:left w:val="single" w:sz="4" w:space="0" w:color="000000"/>
              <w:bottom w:val="single" w:sz="4" w:space="0" w:color="000000"/>
              <w:right w:val="single" w:sz="4" w:space="0" w:color="000000"/>
            </w:tcBorders>
          </w:tcPr>
          <w:p>
            <w:pPr>
              <w:pStyle w:val="Normal"/>
              <w:rPr/>
            </w:pPr>
            <w:r>
              <w:rPr>
                <w:b w:val="false"/>
                <w:bCs w:val="false"/>
                <w:color w:val="000000"/>
                <w:sz w:val="18"/>
                <w:szCs w:val="18"/>
              </w:rPr>
              <w:t>Design decision. The SRS does not describe what should happen to messages already in transit during a leave, so this behaviour was decided by us and is not something the SRS states directly.</w:t>
            </w:r>
          </w:p>
        </w:tc>
      </w:tr>
      <w:tr>
        <w:trPr/>
        <w:tc>
          <w:tcPr>
            <w:tcW w:w="1300" w:type="dxa"/>
            <w:tcBorders>
              <w:top w:val="single" w:sz="4" w:space="0" w:color="000000"/>
              <w:left w:val="single" w:sz="4" w:space="0" w:color="000000"/>
              <w:bottom w:val="single" w:sz="4" w:space="0" w:color="000000"/>
              <w:right w:val="single" w:sz="4" w:space="0" w:color="000000"/>
            </w:tcBorders>
          </w:tcPr>
          <w:p>
            <w:pPr>
              <w:pStyle w:val="Normal"/>
              <w:rPr/>
            </w:pPr>
            <w:r>
              <w:rPr>
                <w:b w:val="false"/>
                <w:bCs w:val="false"/>
                <w:color w:val="000000"/>
                <w:sz w:val="18"/>
                <w:szCs w:val="18"/>
              </w:rPr>
              <w:t>3.2.2.1, 3.2.2.2, 3.2.2.7, 3.2.2.8, 3.2.2.9</w:t>
            </w:r>
          </w:p>
        </w:tc>
        <w:tc>
          <w:tcPr>
            <w:tcW w:w="900" w:type="dxa"/>
            <w:tcBorders>
              <w:top w:val="single" w:sz="4" w:space="0" w:color="000000"/>
              <w:left w:val="single" w:sz="4" w:space="0" w:color="000000"/>
              <w:bottom w:val="single" w:sz="4" w:space="0" w:color="000000"/>
              <w:right w:val="single" w:sz="4" w:space="0" w:color="000000"/>
            </w:tcBorders>
          </w:tcPr>
          <w:p>
            <w:pPr>
              <w:pStyle w:val="Normal"/>
              <w:rPr/>
            </w:pPr>
            <w:r>
              <w:rPr>
                <w:b w:val="false"/>
                <w:bCs w:val="false"/>
                <w:color w:val="000000"/>
                <w:sz w:val="18"/>
                <w:szCs w:val="18"/>
              </w:rPr>
              <w:t>FR</w:t>
            </w:r>
          </w:p>
        </w:tc>
        <w:tc>
          <w:tcPr>
            <w:tcW w:w="3299" w:type="dxa"/>
            <w:tcBorders>
              <w:top w:val="single" w:sz="4" w:space="0" w:color="000000"/>
              <w:left w:val="single" w:sz="4" w:space="0" w:color="000000"/>
              <w:bottom w:val="single" w:sz="4" w:space="0" w:color="000000"/>
              <w:right w:val="single" w:sz="4" w:space="0" w:color="000000"/>
            </w:tcBorders>
          </w:tcPr>
          <w:p>
            <w:pPr>
              <w:pStyle w:val="Normal"/>
              <w:rPr/>
            </w:pPr>
            <w:r>
              <w:rPr>
                <w:b w:val="false"/>
                <w:bCs w:val="false"/>
                <w:color w:val="000000"/>
                <w:sz w:val="18"/>
                <w:szCs w:val="18"/>
              </w:rPr>
              <w:t>Multicast messaging: agentMom shall support sending and receiving multicast messages, setting a time to live per message, configuring the multicast address and port, and receiving from more than one group at once.</w:t>
            </w:r>
          </w:p>
        </w:tc>
        <w:tc>
          <w:tcPr>
            <w:tcW w:w="3201" w:type="dxa"/>
            <w:tcBorders>
              <w:top w:val="single" w:sz="4" w:space="0" w:color="000000"/>
              <w:left w:val="single" w:sz="4" w:space="0" w:color="000000"/>
              <w:bottom w:val="single" w:sz="4" w:space="0" w:color="000000"/>
              <w:right w:val="single" w:sz="4" w:space="0" w:color="000000"/>
            </w:tcBorders>
          </w:tcPr>
          <w:p>
            <w:pPr>
              <w:pStyle w:val="Normal"/>
              <w:rPr/>
            </w:pPr>
            <w:r>
              <w:rPr>
                <w:b w:val="false"/>
                <w:bCs w:val="false"/>
                <w:color w:val="000000"/>
                <w:sz w:val="18"/>
                <w:szCs w:val="18"/>
              </w:rPr>
              <w:t>Send and receive for multicast are Driving Requirements, and grouping TTL, addressing and multi group support with them keeps all multicast messaging behaviour as one feature instead of five separate line items. The risk is handling TTL expiry and several active group subscriptions correctly at the same time.</w:t>
            </w:r>
          </w:p>
        </w:tc>
        <w:tc>
          <w:tcPr>
            <w:tcW w:w="2900" w:type="dxa"/>
            <w:tcBorders>
              <w:top w:val="single" w:sz="4" w:space="0" w:color="000000"/>
              <w:left w:val="single" w:sz="4" w:space="0" w:color="000000"/>
              <w:bottom w:val="single" w:sz="4" w:space="0" w:color="000000"/>
              <w:right w:val="single" w:sz="4" w:space="0" w:color="000000"/>
            </w:tcBorders>
          </w:tcPr>
          <w:p>
            <w:pPr>
              <w:pStyle w:val="Normal"/>
              <w:rPr/>
            </w:pPr>
            <w:r>
              <w:rPr>
                <w:b w:val="false"/>
                <w:bCs w:val="false"/>
                <w:color w:val="000000"/>
                <w:sz w:val="18"/>
                <w:szCs w:val="18"/>
              </w:rPr>
              <w:t>The AI assumed a default TTL value applies when the calling agent does not set one, since the SRS requires the ability to set a TTL but never says what happens if it is left unset.</w:t>
            </w:r>
          </w:p>
        </w:tc>
        <w:tc>
          <w:tcPr>
            <w:tcW w:w="2799" w:type="dxa"/>
            <w:tcBorders>
              <w:top w:val="single" w:sz="4" w:space="0" w:color="000000"/>
              <w:left w:val="single" w:sz="4" w:space="0" w:color="000000"/>
              <w:bottom w:val="single" w:sz="4" w:space="0" w:color="000000"/>
              <w:right w:val="single" w:sz="4" w:space="0" w:color="000000"/>
            </w:tcBorders>
          </w:tcPr>
          <w:p>
            <w:pPr>
              <w:pStyle w:val="Normal"/>
              <w:rPr/>
            </w:pPr>
            <w:r>
              <w:rPr>
                <w:b w:val="false"/>
                <w:bCs w:val="false"/>
                <w:color w:val="000000"/>
                <w:sz w:val="18"/>
                <w:szCs w:val="18"/>
              </w:rPr>
              <w:t>Unsupported. The SRS is silent on a default TTL, so this detail was introduced by the AI during development and needs to be flagged rather than treated as SRS backed.</w:t>
            </w:r>
          </w:p>
        </w:tc>
      </w:tr>
      <w:tr>
        <w:trPr/>
        <w:tc>
          <w:tcPr>
            <w:tcW w:w="1300" w:type="dxa"/>
            <w:tcBorders>
              <w:top w:val="single" w:sz="4" w:space="0" w:color="000000"/>
              <w:left w:val="single" w:sz="4" w:space="0" w:color="000000"/>
              <w:bottom w:val="single" w:sz="4" w:space="0" w:color="000000"/>
              <w:right w:val="single" w:sz="4" w:space="0" w:color="000000"/>
            </w:tcBorders>
          </w:tcPr>
          <w:p>
            <w:pPr>
              <w:pStyle w:val="Normal"/>
              <w:rPr/>
            </w:pPr>
            <w:r>
              <w:rPr>
                <w:b w:val="false"/>
                <w:bCs w:val="false"/>
                <w:color w:val="000000"/>
                <w:sz w:val="18"/>
                <w:szCs w:val="18"/>
              </w:rPr>
              <w:t>3.2.3.1, 3.2.3.2, 3.2.3.3</w:t>
            </w:r>
          </w:p>
        </w:tc>
        <w:tc>
          <w:tcPr>
            <w:tcW w:w="900" w:type="dxa"/>
            <w:tcBorders>
              <w:top w:val="single" w:sz="4" w:space="0" w:color="000000"/>
              <w:left w:val="single" w:sz="4" w:space="0" w:color="000000"/>
              <w:bottom w:val="single" w:sz="4" w:space="0" w:color="000000"/>
              <w:right w:val="single" w:sz="4" w:space="0" w:color="000000"/>
            </w:tcBorders>
          </w:tcPr>
          <w:p>
            <w:pPr>
              <w:pStyle w:val="Normal"/>
              <w:rPr/>
            </w:pPr>
            <w:r>
              <w:rPr>
                <w:b w:val="false"/>
                <w:bCs w:val="false"/>
                <w:color w:val="000000"/>
                <w:sz w:val="18"/>
                <w:szCs w:val="18"/>
              </w:rPr>
              <w:t>FR</w:t>
            </w:r>
          </w:p>
        </w:tc>
        <w:tc>
          <w:tcPr>
            <w:tcW w:w="3299" w:type="dxa"/>
            <w:tcBorders>
              <w:top w:val="single" w:sz="4" w:space="0" w:color="000000"/>
              <w:left w:val="single" w:sz="4" w:space="0" w:color="000000"/>
              <w:bottom w:val="single" w:sz="4" w:space="0" w:color="000000"/>
              <w:right w:val="single" w:sz="4" w:space="0" w:color="000000"/>
            </w:tcBorders>
          </w:tcPr>
          <w:p>
            <w:pPr>
              <w:pStyle w:val="Normal"/>
              <w:rPr/>
            </w:pPr>
            <w:r>
              <w:rPr>
                <w:b w:val="false"/>
                <w:bCs w:val="false"/>
                <w:color w:val="000000"/>
                <w:sz w:val="18"/>
                <w:szCs w:val="18"/>
              </w:rPr>
              <w:t>Broadcast communication: agentMom shall support sending and receiving broadcast messages, and a broadcast message shall reach every possible host on the same local network.</w:t>
            </w:r>
          </w:p>
        </w:tc>
        <w:tc>
          <w:tcPr>
            <w:tcW w:w="3201" w:type="dxa"/>
            <w:tcBorders>
              <w:top w:val="single" w:sz="4" w:space="0" w:color="000000"/>
              <w:left w:val="single" w:sz="4" w:space="0" w:color="000000"/>
              <w:bottom w:val="single" w:sz="4" w:space="0" w:color="000000"/>
              <w:right w:val="single" w:sz="4" w:space="0" w:color="000000"/>
            </w:tcBorders>
          </w:tcPr>
          <w:p>
            <w:pPr>
              <w:pStyle w:val="Normal"/>
              <w:rPr/>
            </w:pPr>
            <w:r>
              <w:rPr>
                <w:b w:val="false"/>
                <w:bCs w:val="false"/>
                <w:color w:val="000000"/>
                <w:sz w:val="18"/>
                <w:szCs w:val="18"/>
              </w:rPr>
              <w:t>All three sub requirements are Driving Requirements. The SRS itself flags the real risk here, which is that many networks only allow a system administrator to send broadcast traffic, so this feature may behave differently across test environments.</w:t>
            </w:r>
          </w:p>
        </w:tc>
        <w:tc>
          <w:tcPr>
            <w:tcW w:w="2900" w:type="dxa"/>
            <w:tcBorders>
              <w:top w:val="single" w:sz="4" w:space="0" w:color="000000"/>
              <w:left w:val="single" w:sz="4" w:space="0" w:color="000000"/>
              <w:bottom w:val="single" w:sz="4" w:space="0" w:color="000000"/>
              <w:right w:val="single" w:sz="4" w:space="0" w:color="000000"/>
            </w:tcBorders>
          </w:tcPr>
          <w:p>
            <w:pPr>
              <w:pStyle w:val="Normal"/>
              <w:rPr/>
            </w:pPr>
            <w:r>
              <w:rPr>
                <w:b w:val="false"/>
                <w:bCs w:val="false"/>
                <w:color w:val="000000"/>
                <w:sz w:val="18"/>
                <w:szCs w:val="18"/>
              </w:rPr>
              <w:t>The AI assumed the development and test machines allow broadcast traffic without any administrator restriction, since the implementation sends UDP broadcast packets with no permission handling.</w:t>
            </w:r>
          </w:p>
        </w:tc>
        <w:tc>
          <w:tcPr>
            <w:tcW w:w="2799" w:type="dxa"/>
            <w:tcBorders>
              <w:top w:val="single" w:sz="4" w:space="0" w:color="000000"/>
              <w:left w:val="single" w:sz="4" w:space="0" w:color="000000"/>
              <w:bottom w:val="single" w:sz="4" w:space="0" w:color="000000"/>
              <w:right w:val="single" w:sz="4" w:space="0" w:color="000000"/>
            </w:tcBorders>
          </w:tcPr>
          <w:p>
            <w:pPr>
              <w:pStyle w:val="Normal"/>
              <w:rPr/>
            </w:pPr>
            <w:r>
              <w:rPr>
                <w:b w:val="false"/>
                <w:bCs w:val="false"/>
                <w:color w:val="000000"/>
                <w:sz w:val="18"/>
                <w:szCs w:val="18"/>
              </w:rPr>
              <w:t>Unsupported. Constraint 2.4.4 in the SRS warns that broadcast permission depends on the network, so assuming it is always available is a gap on our side, not something the SRS supports.</w:t>
            </w:r>
          </w:p>
        </w:tc>
      </w:tr>
      <w:tr>
        <w:trPr/>
        <w:tc>
          <w:tcPr>
            <w:tcW w:w="1300" w:type="dxa"/>
            <w:tcBorders>
              <w:top w:val="single" w:sz="4" w:space="0" w:color="000000"/>
              <w:left w:val="single" w:sz="4" w:space="0" w:color="000000"/>
              <w:bottom w:val="single" w:sz="4" w:space="0" w:color="000000"/>
              <w:right w:val="single" w:sz="4" w:space="0" w:color="000000"/>
            </w:tcBorders>
          </w:tcPr>
          <w:p>
            <w:pPr>
              <w:pStyle w:val="Normal"/>
              <w:rPr/>
            </w:pPr>
            <w:r>
              <w:rPr>
                <w:b w:val="false"/>
                <w:bCs w:val="false"/>
                <w:color w:val="000000"/>
                <w:sz w:val="18"/>
                <w:szCs w:val="18"/>
              </w:rPr>
              <w:t>3.2.4.1, 3.2.4.2, 3.2.4.3, 3.2.4.4</w:t>
            </w:r>
          </w:p>
        </w:tc>
        <w:tc>
          <w:tcPr>
            <w:tcW w:w="900" w:type="dxa"/>
            <w:tcBorders>
              <w:top w:val="single" w:sz="4" w:space="0" w:color="000000"/>
              <w:left w:val="single" w:sz="4" w:space="0" w:color="000000"/>
              <w:bottom w:val="single" w:sz="4" w:space="0" w:color="000000"/>
              <w:right w:val="single" w:sz="4" w:space="0" w:color="000000"/>
            </w:tcBorders>
          </w:tcPr>
          <w:p>
            <w:pPr>
              <w:pStyle w:val="Normal"/>
              <w:rPr/>
            </w:pPr>
            <w:r>
              <w:rPr>
                <w:b w:val="false"/>
                <w:bCs w:val="false"/>
                <w:color w:val="000000"/>
                <w:sz w:val="18"/>
                <w:szCs w:val="18"/>
              </w:rPr>
              <w:t>FR</w:t>
            </w:r>
          </w:p>
        </w:tc>
        <w:tc>
          <w:tcPr>
            <w:tcW w:w="3299" w:type="dxa"/>
            <w:tcBorders>
              <w:top w:val="single" w:sz="4" w:space="0" w:color="000000"/>
              <w:left w:val="single" w:sz="4" w:space="0" w:color="000000"/>
              <w:bottom w:val="single" w:sz="4" w:space="0" w:color="000000"/>
              <w:right w:val="single" w:sz="4" w:space="0" w:color="000000"/>
            </w:tcBorders>
          </w:tcPr>
          <w:p>
            <w:pPr>
              <w:pStyle w:val="Normal"/>
              <w:rPr/>
            </w:pPr>
            <w:r>
              <w:rPr>
                <w:b w:val="false"/>
                <w:bCs w:val="false"/>
                <w:color w:val="000000"/>
                <w:sz w:val="18"/>
                <w:szCs w:val="18"/>
              </w:rPr>
              <w:t>Unicast encryption: agentMom shall support encrypting and decrypting unicast messages, let an agent decide whether to encrypt a message, and automatically decrypt an encrypted message on arrival.</w:t>
            </w:r>
          </w:p>
        </w:tc>
        <w:tc>
          <w:tcPr>
            <w:tcW w:w="3201" w:type="dxa"/>
            <w:tcBorders>
              <w:top w:val="single" w:sz="4" w:space="0" w:color="000000"/>
              <w:left w:val="single" w:sz="4" w:space="0" w:color="000000"/>
              <w:bottom w:val="single" w:sz="4" w:space="0" w:color="000000"/>
              <w:right w:val="single" w:sz="4" w:space="0" w:color="000000"/>
            </w:tcBorders>
          </w:tcPr>
          <w:p>
            <w:pPr>
              <w:pStyle w:val="Normal"/>
              <w:rPr/>
            </w:pPr>
            <w:r>
              <w:rPr>
                <w:b w:val="false"/>
                <w:bCs w:val="false"/>
                <w:color w:val="000000"/>
                <w:sz w:val="18"/>
                <w:szCs w:val="18"/>
              </w:rPr>
              <w:t>Encrypting and decrypting unicast messages are Driving Requirements. The risk is that letting an agent opt out of encryption means the insecure path is always available if an agent chooses it.</w:t>
            </w:r>
          </w:p>
        </w:tc>
        <w:tc>
          <w:tcPr>
            <w:tcW w:w="2900" w:type="dxa"/>
            <w:tcBorders>
              <w:top w:val="single" w:sz="4" w:space="0" w:color="000000"/>
              <w:left w:val="single" w:sz="4" w:space="0" w:color="000000"/>
              <w:bottom w:val="single" w:sz="4" w:space="0" w:color="000000"/>
              <w:right w:val="single" w:sz="4" w:space="0" w:color="000000"/>
            </w:tcBorders>
          </w:tcPr>
          <w:p>
            <w:pPr>
              <w:pStyle w:val="Normal"/>
              <w:rPr/>
            </w:pPr>
            <w:r>
              <w:rPr>
                <w:b w:val="false"/>
                <w:bCs w:val="false"/>
                <w:color w:val="000000"/>
                <w:sz w:val="18"/>
                <w:szCs w:val="18"/>
              </w:rPr>
              <w:t>The AI assumed a single shared symmetric key is used between any two agents for unicast encryption, because the SRS does not describe any key exchange process for unicast.</w:t>
            </w:r>
          </w:p>
        </w:tc>
        <w:tc>
          <w:tcPr>
            <w:tcW w:w="2799" w:type="dxa"/>
            <w:tcBorders>
              <w:top w:val="single" w:sz="4" w:space="0" w:color="000000"/>
              <w:left w:val="single" w:sz="4" w:space="0" w:color="000000"/>
              <w:bottom w:val="single" w:sz="4" w:space="0" w:color="000000"/>
              <w:right w:val="single" w:sz="4" w:space="0" w:color="000000"/>
            </w:tcBorders>
          </w:tcPr>
          <w:p>
            <w:pPr>
              <w:pStyle w:val="Normal"/>
              <w:rPr/>
            </w:pPr>
            <w:r>
              <w:rPr>
                <w:b w:val="false"/>
                <w:bCs w:val="false"/>
                <w:color w:val="000000"/>
                <w:sz w:val="18"/>
                <w:szCs w:val="18"/>
              </w:rPr>
              <w:t>Unsupported. The SRS only describes a key holder agent for the multicast case in section 2.5.3 and says nothing about how unicast keys are handled, so this was added during development.</w:t>
            </w:r>
          </w:p>
        </w:tc>
      </w:tr>
      <w:tr>
        <w:trPr/>
        <w:tc>
          <w:tcPr>
            <w:tcW w:w="1300" w:type="dxa"/>
            <w:tcBorders>
              <w:top w:val="single" w:sz="4" w:space="0" w:color="000000"/>
              <w:left w:val="single" w:sz="4" w:space="0" w:color="000000"/>
              <w:bottom w:val="single" w:sz="4" w:space="0" w:color="000000"/>
              <w:right w:val="single" w:sz="4" w:space="0" w:color="000000"/>
            </w:tcBorders>
          </w:tcPr>
          <w:p>
            <w:pPr>
              <w:pStyle w:val="Normal"/>
              <w:rPr/>
            </w:pPr>
            <w:r>
              <w:rPr>
                <w:b w:val="false"/>
                <w:bCs w:val="false"/>
                <w:color w:val="000000"/>
                <w:sz w:val="18"/>
                <w:szCs w:val="18"/>
              </w:rPr>
              <w:t>3.2.4.5, 3.2.4.6</w:t>
            </w:r>
          </w:p>
        </w:tc>
        <w:tc>
          <w:tcPr>
            <w:tcW w:w="900" w:type="dxa"/>
            <w:tcBorders>
              <w:top w:val="single" w:sz="4" w:space="0" w:color="000000"/>
              <w:left w:val="single" w:sz="4" w:space="0" w:color="000000"/>
              <w:bottom w:val="single" w:sz="4" w:space="0" w:color="000000"/>
              <w:right w:val="single" w:sz="4" w:space="0" w:color="000000"/>
            </w:tcBorders>
          </w:tcPr>
          <w:p>
            <w:pPr>
              <w:pStyle w:val="Normal"/>
              <w:rPr/>
            </w:pPr>
            <w:r>
              <w:rPr>
                <w:b w:val="false"/>
                <w:bCs w:val="false"/>
                <w:color w:val="000000"/>
                <w:sz w:val="18"/>
                <w:szCs w:val="18"/>
              </w:rPr>
              <w:t>FR</w:t>
            </w:r>
          </w:p>
        </w:tc>
        <w:tc>
          <w:tcPr>
            <w:tcW w:w="3299" w:type="dxa"/>
            <w:tcBorders>
              <w:top w:val="single" w:sz="4" w:space="0" w:color="000000"/>
              <w:left w:val="single" w:sz="4" w:space="0" w:color="000000"/>
              <w:bottom w:val="single" w:sz="4" w:space="0" w:color="000000"/>
              <w:right w:val="single" w:sz="4" w:space="0" w:color="000000"/>
            </w:tcBorders>
          </w:tcPr>
          <w:p>
            <w:pPr>
              <w:pStyle w:val="Normal"/>
              <w:rPr/>
            </w:pPr>
            <w:r>
              <w:rPr>
                <w:b w:val="false"/>
                <w:bCs w:val="false"/>
                <w:color w:val="000000"/>
                <w:sz w:val="18"/>
                <w:szCs w:val="18"/>
              </w:rPr>
              <w:t>Multicast encryption: agentMom shall support encrypting and decrypting multicast messages.</w:t>
            </w:r>
          </w:p>
        </w:tc>
        <w:tc>
          <w:tcPr>
            <w:tcW w:w="3201" w:type="dxa"/>
            <w:tcBorders>
              <w:top w:val="single" w:sz="4" w:space="0" w:color="000000"/>
              <w:left w:val="single" w:sz="4" w:space="0" w:color="000000"/>
              <w:bottom w:val="single" w:sz="4" w:space="0" w:color="000000"/>
              <w:right w:val="single" w:sz="4" w:space="0" w:color="000000"/>
            </w:tcBorders>
          </w:tcPr>
          <w:p>
            <w:pPr>
              <w:pStyle w:val="Normal"/>
              <w:rPr/>
            </w:pPr>
            <w:r>
              <w:rPr>
                <w:b w:val="false"/>
                <w:bCs w:val="false"/>
                <w:color w:val="000000"/>
                <w:sz w:val="18"/>
                <w:szCs w:val="18"/>
              </w:rPr>
              <w:t>This extends encryption to group communication, which carries more weight than unicast encryption because a compromised group key exposes every member at once. The risk is distributing and revoking the shared key as membership changes.</w:t>
            </w:r>
          </w:p>
        </w:tc>
        <w:tc>
          <w:tcPr>
            <w:tcW w:w="2900" w:type="dxa"/>
            <w:tcBorders>
              <w:top w:val="single" w:sz="4" w:space="0" w:color="000000"/>
              <w:left w:val="single" w:sz="4" w:space="0" w:color="000000"/>
              <w:bottom w:val="single" w:sz="4" w:space="0" w:color="000000"/>
              <w:right w:val="single" w:sz="4" w:space="0" w:color="000000"/>
            </w:tcBorders>
          </w:tcPr>
          <w:p>
            <w:pPr>
              <w:pStyle w:val="Normal"/>
              <w:rPr/>
            </w:pPr>
            <w:r>
              <w:rPr>
                <w:b w:val="false"/>
                <w:bCs w:val="false"/>
                <w:color w:val="000000"/>
                <w:sz w:val="18"/>
                <w:szCs w:val="18"/>
              </w:rPr>
              <w:t>The AI assumed the key holder agent described in the SRS hands the same group key to every current member and does not rotate it when a member leaves the group.</w:t>
            </w:r>
          </w:p>
        </w:tc>
        <w:tc>
          <w:tcPr>
            <w:tcW w:w="2799" w:type="dxa"/>
            <w:tcBorders>
              <w:top w:val="single" w:sz="4" w:space="0" w:color="000000"/>
              <w:left w:val="single" w:sz="4" w:space="0" w:color="000000"/>
              <w:bottom w:val="single" w:sz="4" w:space="0" w:color="000000"/>
              <w:right w:val="single" w:sz="4" w:space="0" w:color="000000"/>
            </w:tcBorders>
          </w:tcPr>
          <w:p>
            <w:pPr>
              <w:pStyle w:val="Normal"/>
              <w:rPr/>
            </w:pPr>
            <w:r>
              <w:rPr>
                <w:b w:val="false"/>
                <w:bCs w:val="false"/>
                <w:color w:val="000000"/>
                <w:sz w:val="18"/>
                <w:szCs w:val="18"/>
              </w:rPr>
              <w:t>Partly SRS supported. Section 2.5.3 confirms a key holder agent exists and keeps a list of who may receive the key, but the assumption that the key is never rotated on leave is our own addition on top of that.</w:t>
            </w:r>
          </w:p>
        </w:tc>
      </w:tr>
      <w:tr>
        <w:trPr/>
        <w:tc>
          <w:tcPr>
            <w:tcW w:w="1300" w:type="dxa"/>
            <w:tcBorders>
              <w:top w:val="single" w:sz="4" w:space="0" w:color="000000"/>
              <w:left w:val="single" w:sz="4" w:space="0" w:color="000000"/>
              <w:bottom w:val="single" w:sz="4" w:space="0" w:color="000000"/>
              <w:right w:val="single" w:sz="4" w:space="0" w:color="000000"/>
            </w:tcBorders>
          </w:tcPr>
          <w:p>
            <w:pPr>
              <w:pStyle w:val="Normal"/>
              <w:rPr/>
            </w:pPr>
            <w:r>
              <w:rPr>
                <w:b w:val="false"/>
                <w:bCs w:val="false"/>
                <w:color w:val="000000"/>
                <w:sz w:val="18"/>
                <w:szCs w:val="18"/>
              </w:rPr>
              <w:t>3.2.5.1, 3.2.5.2</w:t>
            </w:r>
          </w:p>
        </w:tc>
        <w:tc>
          <w:tcPr>
            <w:tcW w:w="900" w:type="dxa"/>
            <w:tcBorders>
              <w:top w:val="single" w:sz="4" w:space="0" w:color="000000"/>
              <w:left w:val="single" w:sz="4" w:space="0" w:color="000000"/>
              <w:bottom w:val="single" w:sz="4" w:space="0" w:color="000000"/>
              <w:right w:val="single" w:sz="4" w:space="0" w:color="000000"/>
            </w:tcBorders>
          </w:tcPr>
          <w:p>
            <w:pPr>
              <w:pStyle w:val="Normal"/>
              <w:rPr/>
            </w:pPr>
            <w:r>
              <w:rPr>
                <w:b w:val="false"/>
                <w:bCs w:val="false"/>
                <w:color w:val="000000"/>
                <w:sz w:val="18"/>
                <w:szCs w:val="18"/>
              </w:rPr>
              <w:t>FR</w:t>
            </w:r>
          </w:p>
        </w:tc>
        <w:tc>
          <w:tcPr>
            <w:tcW w:w="3299" w:type="dxa"/>
            <w:tcBorders>
              <w:top w:val="single" w:sz="4" w:space="0" w:color="000000"/>
              <w:left w:val="single" w:sz="4" w:space="0" w:color="000000"/>
              <w:bottom w:val="single" w:sz="4" w:space="0" w:color="000000"/>
              <w:right w:val="single" w:sz="4" w:space="0" w:color="000000"/>
            </w:tcBorders>
          </w:tcPr>
          <w:p>
            <w:pPr>
              <w:pStyle w:val="Normal"/>
              <w:rPr/>
            </w:pPr>
            <w:r>
              <w:rPr>
                <w:b w:val="false"/>
                <w:bCs w:val="false"/>
                <w:color w:val="000000"/>
                <w:sz w:val="18"/>
                <w:szCs w:val="18"/>
              </w:rPr>
              <w:t>Conversation control architecture: agentMom shall support an architecture where the agent itself controls conversations, and an architecture where the agent's components control conversations.</w:t>
            </w:r>
          </w:p>
        </w:tc>
        <w:tc>
          <w:tcPr>
            <w:tcW w:w="3201" w:type="dxa"/>
            <w:tcBorders>
              <w:top w:val="single" w:sz="4" w:space="0" w:color="000000"/>
              <w:left w:val="single" w:sz="4" w:space="0" w:color="000000"/>
              <w:bottom w:val="single" w:sz="4" w:space="0" w:color="000000"/>
              <w:right w:val="single" w:sz="4" w:space="0" w:color="000000"/>
            </w:tcBorders>
          </w:tcPr>
          <w:p>
            <w:pPr>
              <w:pStyle w:val="Normal"/>
              <w:rPr/>
            </w:pPr>
            <w:r>
              <w:rPr>
                <w:b w:val="false"/>
                <w:bCs w:val="false"/>
                <w:color w:val="000000"/>
                <w:sz w:val="18"/>
                <w:szCs w:val="18"/>
              </w:rPr>
              <w:t>Both variants are Driving Requirements and represent a real architectural decision rather than routine behaviour. The risk is that the two control styles may need different internal message routing logic, which doubles some of the implementation work.</w:t>
            </w:r>
          </w:p>
        </w:tc>
        <w:tc>
          <w:tcPr>
            <w:tcW w:w="2900" w:type="dxa"/>
            <w:tcBorders>
              <w:top w:val="single" w:sz="4" w:space="0" w:color="000000"/>
              <w:left w:val="single" w:sz="4" w:space="0" w:color="000000"/>
              <w:bottom w:val="single" w:sz="4" w:space="0" w:color="000000"/>
              <w:right w:val="single" w:sz="4" w:space="0" w:color="000000"/>
            </w:tcBorders>
          </w:tcPr>
          <w:p>
            <w:pPr>
              <w:pStyle w:val="Normal"/>
              <w:rPr/>
            </w:pPr>
            <w:r>
              <w:rPr>
                <w:b w:val="false"/>
                <w:bCs w:val="false"/>
                <w:color w:val="000000"/>
                <w:sz w:val="18"/>
                <w:szCs w:val="18"/>
              </w:rPr>
              <w:t>The AI assumed both architectures can share the same underlying message transport layer, and only the conversation control logic sitting on top of it differs between the two.</w:t>
            </w:r>
          </w:p>
        </w:tc>
        <w:tc>
          <w:tcPr>
            <w:tcW w:w="2799" w:type="dxa"/>
            <w:tcBorders>
              <w:top w:val="single" w:sz="4" w:space="0" w:color="000000"/>
              <w:left w:val="single" w:sz="4" w:space="0" w:color="000000"/>
              <w:bottom w:val="single" w:sz="4" w:space="0" w:color="000000"/>
              <w:right w:val="single" w:sz="4" w:space="0" w:color="000000"/>
            </w:tcBorders>
          </w:tcPr>
          <w:p>
            <w:pPr>
              <w:pStyle w:val="Normal"/>
              <w:rPr/>
            </w:pPr>
            <w:r>
              <w:rPr>
                <w:b w:val="false"/>
                <w:bCs w:val="false"/>
                <w:color w:val="000000"/>
                <w:sz w:val="18"/>
                <w:szCs w:val="18"/>
              </w:rPr>
              <w:t>Design decision. The SRS requires both architectures to be supported but does not say whether they should share a transport layer, so this was our own choice to reduce duplication.</w:t>
            </w:r>
          </w:p>
        </w:tc>
      </w:tr>
      <w:tr>
        <w:trPr/>
        <w:tc>
          <w:tcPr>
            <w:tcW w:w="1300" w:type="dxa"/>
            <w:tcBorders>
              <w:top w:val="single" w:sz="4" w:space="0" w:color="000000"/>
              <w:left w:val="single" w:sz="4" w:space="0" w:color="000000"/>
              <w:bottom w:val="single" w:sz="4" w:space="0" w:color="000000"/>
              <w:right w:val="single" w:sz="4" w:space="0" w:color="000000"/>
            </w:tcBorders>
          </w:tcPr>
          <w:p>
            <w:pPr>
              <w:pStyle w:val="Normal"/>
              <w:rPr/>
            </w:pPr>
            <w:r>
              <w:rPr>
                <w:b w:val="false"/>
                <w:bCs w:val="false"/>
                <w:color w:val="000000"/>
                <w:sz w:val="18"/>
                <w:szCs w:val="18"/>
              </w:rPr>
              <w:t>3.2.6.1</w:t>
            </w:r>
          </w:p>
        </w:tc>
        <w:tc>
          <w:tcPr>
            <w:tcW w:w="900" w:type="dxa"/>
            <w:tcBorders>
              <w:top w:val="single" w:sz="4" w:space="0" w:color="000000"/>
              <w:left w:val="single" w:sz="4" w:space="0" w:color="000000"/>
              <w:bottom w:val="single" w:sz="4" w:space="0" w:color="000000"/>
              <w:right w:val="single" w:sz="4" w:space="0" w:color="000000"/>
            </w:tcBorders>
          </w:tcPr>
          <w:p>
            <w:pPr>
              <w:pStyle w:val="Normal"/>
              <w:rPr/>
            </w:pPr>
            <w:r>
              <w:rPr>
                <w:b w:val="false"/>
                <w:bCs w:val="false"/>
                <w:color w:val="000000"/>
                <w:sz w:val="18"/>
                <w:szCs w:val="18"/>
              </w:rPr>
              <w:t>NFR (Compatibility)</w:t>
            </w:r>
          </w:p>
        </w:tc>
        <w:tc>
          <w:tcPr>
            <w:tcW w:w="3299" w:type="dxa"/>
            <w:tcBorders>
              <w:top w:val="single" w:sz="4" w:space="0" w:color="000000"/>
              <w:left w:val="single" w:sz="4" w:space="0" w:color="000000"/>
              <w:bottom w:val="single" w:sz="4" w:space="0" w:color="000000"/>
              <w:right w:val="single" w:sz="4" w:space="0" w:color="000000"/>
            </w:tcBorders>
          </w:tcPr>
          <w:p>
            <w:pPr>
              <w:pStyle w:val="Normal"/>
              <w:rPr/>
            </w:pPr>
            <w:r>
              <w:rPr>
                <w:b w:val="false"/>
                <w:bCs w:val="false"/>
                <w:color w:val="000000"/>
                <w:sz w:val="18"/>
                <w:szCs w:val="18"/>
              </w:rPr>
              <w:t>The newly built agentMom shall be compatible with agentMom 1.2.</w:t>
            </w:r>
          </w:p>
        </w:tc>
        <w:tc>
          <w:tcPr>
            <w:tcW w:w="3201" w:type="dxa"/>
            <w:tcBorders>
              <w:top w:val="single" w:sz="4" w:space="0" w:color="000000"/>
              <w:left w:val="single" w:sz="4" w:space="0" w:color="000000"/>
              <w:bottom w:val="single" w:sz="4" w:space="0" w:color="000000"/>
              <w:right w:val="single" w:sz="4" w:space="0" w:color="000000"/>
            </w:tcBorders>
          </w:tcPr>
          <w:p>
            <w:pPr>
              <w:pStyle w:val="Normal"/>
              <w:rPr/>
            </w:pPr>
            <w:r>
              <w:rPr>
                <w:b w:val="false"/>
                <w:bCs w:val="false"/>
                <w:color w:val="000000"/>
                <w:sz w:val="18"/>
                <w:szCs w:val="18"/>
              </w:rPr>
              <w:t>Compatibility is called out as its own numbered requirement in the SRS, and it matters because any existing agentMom 1.2 deployment should keep working once this project is added on top of it.</w:t>
            </w:r>
          </w:p>
        </w:tc>
        <w:tc>
          <w:tcPr>
            <w:tcW w:w="2900" w:type="dxa"/>
            <w:tcBorders>
              <w:top w:val="single" w:sz="4" w:space="0" w:color="000000"/>
              <w:left w:val="single" w:sz="4" w:space="0" w:color="000000"/>
              <w:bottom w:val="single" w:sz="4" w:space="0" w:color="000000"/>
              <w:right w:val="single" w:sz="4" w:space="0" w:color="000000"/>
            </w:tcBorders>
          </w:tcPr>
          <w:p>
            <w:pPr>
              <w:pStyle w:val="Normal"/>
              <w:rPr/>
            </w:pPr>
            <w:r>
              <w:rPr>
                <w:b w:val="false"/>
                <w:bCs w:val="false"/>
                <w:color w:val="000000"/>
                <w:sz w:val="18"/>
                <w:szCs w:val="18"/>
              </w:rPr>
              <w:t>The AI assumed compatibility means the existing agentMom 1.2 public interfaces are left unchanged, and new features are added alongside them rather than modifying existing methods.</w:t>
            </w:r>
          </w:p>
        </w:tc>
        <w:tc>
          <w:tcPr>
            <w:tcW w:w="2799" w:type="dxa"/>
            <w:tcBorders>
              <w:top w:val="single" w:sz="4" w:space="0" w:color="000000"/>
              <w:left w:val="single" w:sz="4" w:space="0" w:color="000000"/>
              <w:bottom w:val="single" w:sz="4" w:space="0" w:color="000000"/>
              <w:right w:val="single" w:sz="4" w:space="0" w:color="000000"/>
            </w:tcBorders>
          </w:tcPr>
          <w:p>
            <w:pPr>
              <w:pStyle w:val="Normal"/>
              <w:rPr/>
            </w:pPr>
            <w:r>
              <w:rPr>
                <w:b w:val="false"/>
                <w:bCs w:val="false"/>
                <w:color w:val="000000"/>
                <w:sz w:val="18"/>
                <w:szCs w:val="18"/>
              </w:rPr>
              <w:t>Design decision. The SRS requires compatibility but does not define what compatible means at the interface level, so this interpretation is ours.</w:t>
            </w:r>
          </w:p>
        </w:tc>
      </w:tr>
      <w:tr>
        <w:trPr/>
        <w:tc>
          <w:tcPr>
            <w:tcW w:w="1300" w:type="dxa"/>
            <w:tcBorders>
              <w:top w:val="single" w:sz="4" w:space="0" w:color="000000"/>
              <w:left w:val="single" w:sz="4" w:space="0" w:color="000000"/>
              <w:bottom w:val="single" w:sz="4" w:space="0" w:color="000000"/>
              <w:right w:val="single" w:sz="4" w:space="0" w:color="000000"/>
            </w:tcBorders>
          </w:tcPr>
          <w:p>
            <w:pPr>
              <w:pStyle w:val="Normal"/>
              <w:rPr/>
            </w:pPr>
            <w:r>
              <w:rPr>
                <w:b w:val="false"/>
                <w:bCs w:val="false"/>
                <w:color w:val="000000"/>
                <w:sz w:val="18"/>
                <w:szCs w:val="18"/>
              </w:rPr>
              <w:t>2.4.1</w:t>
            </w:r>
          </w:p>
        </w:tc>
        <w:tc>
          <w:tcPr>
            <w:tcW w:w="900" w:type="dxa"/>
            <w:tcBorders>
              <w:top w:val="single" w:sz="4" w:space="0" w:color="000000"/>
              <w:left w:val="single" w:sz="4" w:space="0" w:color="000000"/>
              <w:bottom w:val="single" w:sz="4" w:space="0" w:color="000000"/>
              <w:right w:val="single" w:sz="4" w:space="0" w:color="000000"/>
            </w:tcBorders>
          </w:tcPr>
          <w:p>
            <w:pPr>
              <w:pStyle w:val="Normal"/>
              <w:rPr/>
            </w:pPr>
            <w:r>
              <w:rPr>
                <w:b w:val="false"/>
                <w:bCs w:val="false"/>
                <w:color w:val="000000"/>
                <w:sz w:val="18"/>
                <w:szCs w:val="18"/>
              </w:rPr>
              <w:t>NFR (Reliability)</w:t>
            </w:r>
          </w:p>
        </w:tc>
        <w:tc>
          <w:tcPr>
            <w:tcW w:w="3299" w:type="dxa"/>
            <w:tcBorders>
              <w:top w:val="single" w:sz="4" w:space="0" w:color="000000"/>
              <w:left w:val="single" w:sz="4" w:space="0" w:color="000000"/>
              <w:bottom w:val="single" w:sz="4" w:space="0" w:color="000000"/>
              <w:right w:val="single" w:sz="4" w:space="0" w:color="000000"/>
            </w:tcBorders>
          </w:tcPr>
          <w:p>
            <w:pPr>
              <w:pStyle w:val="Normal"/>
              <w:rPr/>
            </w:pPr>
            <w:r>
              <w:rPr>
                <w:b w:val="false"/>
                <w:bCs w:val="false"/>
                <w:color w:val="000000"/>
                <w:sz w:val="18"/>
                <w:szCs w:val="18"/>
              </w:rPr>
              <w:t>Multicast and broadcast packets are delivered on a best effort basis, meaning a message may reach all, some, or none of the intended recipients.</w:t>
            </w:r>
          </w:p>
        </w:tc>
        <w:tc>
          <w:tcPr>
            <w:tcW w:w="3201" w:type="dxa"/>
            <w:tcBorders>
              <w:top w:val="single" w:sz="4" w:space="0" w:color="000000"/>
              <w:left w:val="single" w:sz="4" w:space="0" w:color="000000"/>
              <w:bottom w:val="single" w:sz="4" w:space="0" w:color="000000"/>
              <w:right w:val="single" w:sz="4" w:space="0" w:color="000000"/>
            </w:tcBorders>
          </w:tcPr>
          <w:p>
            <w:pPr>
              <w:pStyle w:val="Normal"/>
              <w:rPr/>
            </w:pPr>
            <w:r>
              <w:rPr>
                <w:b w:val="false"/>
                <w:bCs w:val="false"/>
                <w:color w:val="000000"/>
                <w:sz w:val="18"/>
                <w:szCs w:val="18"/>
              </w:rPr>
              <w:t>This sets the reliability expectation for the whole system and directly shapes how delivery should be tested. It is worth noting this comes from the constraints section of the SRS rather than a numbered specific requirement, so it is being treated as an NFR by interpretation.</w:t>
            </w:r>
          </w:p>
        </w:tc>
        <w:tc>
          <w:tcPr>
            <w:tcW w:w="2900" w:type="dxa"/>
            <w:tcBorders>
              <w:top w:val="single" w:sz="4" w:space="0" w:color="000000"/>
              <w:left w:val="single" w:sz="4" w:space="0" w:color="000000"/>
              <w:bottom w:val="single" w:sz="4" w:space="0" w:color="000000"/>
              <w:right w:val="single" w:sz="4" w:space="0" w:color="000000"/>
            </w:tcBorders>
          </w:tcPr>
          <w:p>
            <w:pPr>
              <w:pStyle w:val="Normal"/>
              <w:rPr/>
            </w:pPr>
            <w:r>
              <w:rPr>
                <w:b w:val="false"/>
                <w:bCs w:val="false"/>
                <w:color w:val="000000"/>
                <w:sz w:val="18"/>
                <w:szCs w:val="18"/>
              </w:rPr>
              <w:t>The AI assumed no retry or acknowledgement mechanism is needed for multicast or broadcast messages, since best effort delivery is explicitly allowed to fail under the SRS.</w:t>
            </w:r>
          </w:p>
        </w:tc>
        <w:tc>
          <w:tcPr>
            <w:tcW w:w="2799" w:type="dxa"/>
            <w:tcBorders>
              <w:top w:val="single" w:sz="4" w:space="0" w:color="000000"/>
              <w:left w:val="single" w:sz="4" w:space="0" w:color="000000"/>
              <w:bottom w:val="single" w:sz="4" w:space="0" w:color="000000"/>
              <w:right w:val="single" w:sz="4" w:space="0" w:color="000000"/>
            </w:tcBorders>
          </w:tcPr>
          <w:p>
            <w:pPr>
              <w:pStyle w:val="Normal"/>
              <w:rPr/>
            </w:pPr>
            <w:r>
              <w:rPr>
                <w:b w:val="false"/>
                <w:bCs w:val="false"/>
                <w:color w:val="000000"/>
                <w:sz w:val="18"/>
                <w:szCs w:val="18"/>
              </w:rPr>
              <w:t>SRS supported. Section 2.4.1 states this directly, so the reliability expectation itself comes from the SRS even though it sits in the constraints section rather than section 3.2.</w:t>
            </w:r>
          </w:p>
        </w:tc>
      </w:tr>
      <w:tr>
        <w:trPr/>
        <w:tc>
          <w:tcPr>
            <w:tcW w:w="1300" w:type="dxa"/>
            <w:tcBorders>
              <w:top w:val="single" w:sz="4" w:space="0" w:color="000000"/>
              <w:left w:val="single" w:sz="4" w:space="0" w:color="000000"/>
              <w:bottom w:val="single" w:sz="4" w:space="0" w:color="000000"/>
              <w:right w:val="single" w:sz="4" w:space="0" w:color="000000"/>
            </w:tcBorders>
          </w:tcPr>
          <w:p>
            <w:pPr>
              <w:pStyle w:val="Normal"/>
              <w:rPr/>
            </w:pPr>
            <w:r>
              <w:rPr>
                <w:b w:val="false"/>
                <w:bCs w:val="false"/>
                <w:color w:val="000000"/>
                <w:sz w:val="18"/>
                <w:szCs w:val="18"/>
              </w:rPr>
              <w:t>2.4.2</w:t>
            </w:r>
          </w:p>
        </w:tc>
        <w:tc>
          <w:tcPr>
            <w:tcW w:w="900" w:type="dxa"/>
            <w:tcBorders>
              <w:top w:val="single" w:sz="4" w:space="0" w:color="000000"/>
              <w:left w:val="single" w:sz="4" w:space="0" w:color="000000"/>
              <w:bottom w:val="single" w:sz="4" w:space="0" w:color="000000"/>
              <w:right w:val="single" w:sz="4" w:space="0" w:color="000000"/>
            </w:tcBorders>
          </w:tcPr>
          <w:p>
            <w:pPr>
              <w:pStyle w:val="Normal"/>
              <w:rPr/>
            </w:pPr>
            <w:r>
              <w:rPr>
                <w:b w:val="false"/>
                <w:bCs w:val="false"/>
                <w:color w:val="000000"/>
                <w:sz w:val="18"/>
                <w:szCs w:val="18"/>
              </w:rPr>
              <w:t>NFR (Security)</w:t>
            </w:r>
          </w:p>
        </w:tc>
        <w:tc>
          <w:tcPr>
            <w:tcW w:w="3299" w:type="dxa"/>
            <w:tcBorders>
              <w:top w:val="single" w:sz="4" w:space="0" w:color="000000"/>
              <w:left w:val="single" w:sz="4" w:space="0" w:color="000000"/>
              <w:bottom w:val="single" w:sz="4" w:space="0" w:color="000000"/>
              <w:right w:val="single" w:sz="4" w:space="0" w:color="000000"/>
            </w:tcBorders>
          </w:tcPr>
          <w:p>
            <w:pPr>
              <w:pStyle w:val="Normal"/>
              <w:rPr/>
            </w:pPr>
            <w:r>
              <w:rPr>
                <w:b w:val="false"/>
                <w:bCs w:val="false"/>
                <w:color w:val="000000"/>
                <w:sz w:val="18"/>
                <w:szCs w:val="18"/>
              </w:rPr>
              <w:t>agentMom provides basic security mechanisms such as message encryption, but there is no guarantee that other parties cannot decrypt the messages.</w:t>
            </w:r>
          </w:p>
        </w:tc>
        <w:tc>
          <w:tcPr>
            <w:tcW w:w="3201" w:type="dxa"/>
            <w:tcBorders>
              <w:top w:val="single" w:sz="4" w:space="0" w:color="000000"/>
              <w:left w:val="single" w:sz="4" w:space="0" w:color="000000"/>
              <w:bottom w:val="single" w:sz="4" w:space="0" w:color="000000"/>
              <w:right w:val="single" w:sz="4" w:space="0" w:color="000000"/>
            </w:tcBorders>
          </w:tcPr>
          <w:p>
            <w:pPr>
              <w:pStyle w:val="Normal"/>
              <w:rPr/>
            </w:pPr>
            <w:r>
              <w:rPr>
                <w:b w:val="false"/>
                <w:bCs w:val="false"/>
                <w:color w:val="000000"/>
                <w:sz w:val="18"/>
                <w:szCs w:val="18"/>
              </w:rPr>
              <w:t>This sets the real security bar for the system, which is lower than the phrase secured communication in the project title might suggest. It matters for the final judgement because it limits what can honestly be claimed about the security NFR.</w:t>
            </w:r>
          </w:p>
        </w:tc>
        <w:tc>
          <w:tcPr>
            <w:tcW w:w="2900" w:type="dxa"/>
            <w:tcBorders>
              <w:top w:val="single" w:sz="4" w:space="0" w:color="000000"/>
              <w:left w:val="single" w:sz="4" w:space="0" w:color="000000"/>
              <w:bottom w:val="single" w:sz="4" w:space="0" w:color="000000"/>
              <w:right w:val="single" w:sz="4" w:space="0" w:color="000000"/>
            </w:tcBorders>
          </w:tcPr>
          <w:p>
            <w:pPr>
              <w:pStyle w:val="Normal"/>
              <w:rPr/>
            </w:pPr>
            <w:r>
              <w:rPr>
                <w:b w:val="false"/>
                <w:bCs w:val="false"/>
                <w:color w:val="000000"/>
                <w:sz w:val="18"/>
                <w:szCs w:val="18"/>
              </w:rPr>
              <w:t>The AI assumed a standard symmetric encryption algorithm is acceptable for this project with no specific strength requirement, since the SRS does not name an algorithm or key length.</w:t>
            </w:r>
          </w:p>
        </w:tc>
        <w:tc>
          <w:tcPr>
            <w:tcW w:w="2799" w:type="dxa"/>
            <w:tcBorders>
              <w:top w:val="single" w:sz="4" w:space="0" w:color="000000"/>
              <w:left w:val="single" w:sz="4" w:space="0" w:color="000000"/>
              <w:bottom w:val="single" w:sz="4" w:space="0" w:color="000000"/>
              <w:right w:val="single" w:sz="4" w:space="0" w:color="000000"/>
            </w:tcBorders>
          </w:tcPr>
          <w:p>
            <w:pPr>
              <w:pStyle w:val="Normal"/>
              <w:rPr/>
            </w:pPr>
            <w:r>
              <w:rPr>
                <w:b w:val="false"/>
                <w:bCs w:val="false"/>
                <w:color w:val="000000"/>
                <w:sz w:val="18"/>
                <w:szCs w:val="18"/>
              </w:rPr>
              <w:t>Partly unsupported. The general limitation that decryption by others is not prevented is SRS supported by section 2.4.2, but the choice of algorithm and key length is ours and is not backed by the SRS.</w:t>
            </w:r>
          </w:p>
        </w:tc>
      </w:tr>
    </w:tbl>
    <w:p>
      <w:pPr>
        <w:pStyle w:val="Normal"/>
        <w:spacing w:before="0" w:after="150"/>
        <w:rPr/>
      </w:pPr>
      <w:r>
        <w:rPr>
          <w:i/>
          <w:iCs/>
          <w:color w:val="000000"/>
        </w:rPr>
        <w:t>Note on the NFR basis: two of the three NFRs (2.4.1 and 2.4.2) are taken from the Constraints section of the SRS rather than the numbered Specific Requirements in section 3.2. We chose to treat them as NFRs anyway because they describe reliability and security expectations rather than a function the system performs, and we have flagged this explicitly in the Defence/basis column above rather than presenting them as if they were numbered requirements.</w:t>
      </w:r>
    </w:p>
    <w:p>
      <w:pPr>
        <w:pStyle w:val="Heading1"/>
        <w:spacing w:before="300" w:after="150"/>
        <w:rPr/>
      </w:pPr>
      <w:r>
        <w:rPr>
          <w:color w:val="000000"/>
        </w:rPr>
        <w:t>Part 2: AI-Generated GUI Baseline</w:t>
      </w:r>
    </w:p>
    <w:p>
      <w:pPr>
        <w:pStyle w:val="Normal"/>
        <w:spacing w:before="0" w:after="150"/>
        <w:rPr/>
      </w:pPr>
      <w:r>
        <w:rPr>
          <w:i/>
          <w:iCs/>
          <w:color w:val="000000"/>
        </w:rPr>
        <w:t>To be added.</w:t>
      </w:r>
    </w:p>
    <w:p>
      <w:pPr>
        <w:pStyle w:val="Heading1"/>
        <w:spacing w:before="300" w:after="150"/>
        <w:rPr/>
      </w:pPr>
      <w:r>
        <w:rPr>
          <w:color w:val="000000"/>
        </w:rPr>
        <w:t>Part 3: Quality Evaluation</w:t>
      </w:r>
    </w:p>
    <w:p>
      <w:pPr>
        <w:pStyle w:val="Normal"/>
        <w:spacing w:before="0" w:after="150"/>
        <w:rPr/>
      </w:pPr>
      <w:r>
        <w:rPr>
          <w:i/>
          <w:iCs/>
          <w:color w:val="000000"/>
        </w:rPr>
        <w:t>To be added.</w:t>
      </w:r>
    </w:p>
    <w:p>
      <w:pPr>
        <w:pStyle w:val="Heading1"/>
        <w:spacing w:before="300" w:after="150"/>
        <w:rPr/>
      </w:pPr>
      <w:r>
        <w:rPr>
          <w:color w:val="000000"/>
        </w:rPr>
        <w:t>Part 4: Defect Reporting and Final Quality Judgment</w:t>
      </w:r>
    </w:p>
    <w:p>
      <w:pPr>
        <w:pStyle w:val="Normal"/>
        <w:spacing w:before="0" w:after="150"/>
        <w:rPr/>
      </w:pPr>
      <w:r>
        <w:rPr>
          <w:i/>
          <w:iCs/>
          <w:color w:val="000000"/>
        </w:rPr>
        <w:t>To be added.</w:t>
      </w:r>
    </w:p>
    <w:sectPr>
      <w:type w:val="nextPage"/>
      <w:pgSz w:orient="landscape" w:w="15840" w:h="12240"/>
      <w:pgMar w:left="720" w:right="720" w:gutter="0" w:header="0" w:top="720" w:footer="0" w:bottom="720"/>
      <w:pgNumType w:fmt="decimal"/>
      <w:formProt w:val="false"/>
      <w:textDirection w:val="lrTb"/>
      <w:docGrid w:type="default" w:linePitch="360" w:charSpace="8192"/>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Liberation Sans">
    <w:altName w:val="Arial"/>
    <w:charset w:val="01"/>
    <w:family w:val="swiss"/>
    <w:pitch w:val="variable"/>
  </w:font>
</w:fonts>
</file>

<file path=word/settings.xml><?xml version="1.0" encoding="utf-8"?>
<w:settings xmlns:w="http://schemas.openxmlformats.org/wordprocessingml/2006/main">
  <w:zoom w:percent="105"/>
  <w:defaultTabStop w:val="720"/>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Noto Serif CJK SC" w:cs="Noto Sans Devanagari"/>
        <w:lang w:val="en-US" w:eastAsia="zh-CN" w:bidi="hi-IN"/>
      </w:rPr>
    </w:rPrDefault>
    <w:pPrDefault>
      <w:pPr>
        <w:suppressAutoHyphens w:val="true"/>
      </w:pPr>
    </w:pPrDefault>
  </w:docDefaults>
  <w:style w:type="paragraph" w:styleId="Normal">
    <w:name w:val="Normal"/>
    <w:qFormat/>
    <w:pPr>
      <w:widowControl/>
      <w:bidi w:val="0"/>
      <w:spacing w:before="0" w:after="0"/>
      <w:jc w:val="left"/>
    </w:pPr>
    <w:rPr>
      <w:rFonts w:ascii="Times New Roman" w:hAnsi="Times New Roman" w:eastAsia="Noto Serif CJK SC" w:cs="Noto Sans Devanagari"/>
      <w:color w:val="auto"/>
      <w:kern w:val="0"/>
      <w:sz w:val="20"/>
      <w:szCs w:val="20"/>
      <w:lang w:val="en-US" w:eastAsia="zh-CN" w:bidi="hi-IN"/>
    </w:rPr>
  </w:style>
  <w:style w:type="paragraph" w:styleId="Heading1">
    <w:name w:val="Heading 1"/>
    <w:basedOn w:val="Heading"/>
    <w:qFormat/>
    <w:pPr/>
    <w:rPr>
      <w:color w:val="2E74B5"/>
      <w:sz w:val="32"/>
      <w:szCs w:val="32"/>
    </w:rPr>
  </w:style>
  <w:style w:type="paragraph" w:styleId="Heading2">
    <w:name w:val="Heading 2"/>
    <w:basedOn w:val="Heading"/>
    <w:qFormat/>
    <w:pPr/>
    <w:rPr>
      <w:color w:val="2E74B5"/>
      <w:sz w:val="26"/>
      <w:szCs w:val="26"/>
    </w:rPr>
  </w:style>
  <w:style w:type="paragraph" w:styleId="Heading3">
    <w:name w:val="Heading 3"/>
    <w:basedOn w:val="Heading"/>
    <w:qFormat/>
    <w:pPr/>
    <w:rPr>
      <w:color w:val="1F4D78"/>
      <w:sz w:val="24"/>
      <w:szCs w:val="24"/>
    </w:rPr>
  </w:style>
  <w:style w:type="paragraph" w:styleId="Heading4">
    <w:name w:val="Heading 4"/>
    <w:basedOn w:val="Heading"/>
    <w:qFormat/>
    <w:pPr/>
    <w:rPr>
      <w:i/>
      <w:iCs/>
      <w:color w:val="2E74B5"/>
    </w:rPr>
  </w:style>
  <w:style w:type="paragraph" w:styleId="Heading5">
    <w:name w:val="Heading 5"/>
    <w:basedOn w:val="Heading"/>
    <w:qFormat/>
    <w:pPr/>
    <w:rPr>
      <w:color w:val="2E74B5"/>
    </w:rPr>
  </w:style>
  <w:style w:type="paragraph" w:styleId="Heading6">
    <w:name w:val="Heading 6"/>
    <w:basedOn w:val="Heading"/>
    <w:qFormat/>
    <w:pPr/>
    <w:rPr>
      <w:color w:val="1F4D78"/>
    </w:rPr>
  </w:style>
  <w:style w:type="character" w:styleId="Hyperlink">
    <w:name w:val="Hyperlink"/>
    <w:uiPriority w:val="99"/>
    <w:unhideWhenUsed/>
    <w:rPr>
      <w:color w:val="0563C1"/>
      <w:u w:val="single"/>
    </w:rPr>
  </w:style>
  <w:style w:type="character" w:styleId="FootnoteCharacters">
    <w:name w:val="Footnote Characters"/>
    <w:uiPriority w:val="99"/>
    <w:semiHidden/>
    <w:unhideWhenUsed/>
    <w:qFormat/>
    <w:rPr>
      <w:vertAlign w:val="superscript"/>
    </w:rPr>
  </w:style>
  <w:style w:type="character" w:styleId="FootnoteReference">
    <w:name w:val="Footnote Reference"/>
    <w:rPr>
      <w:vertAlign w:val="superscript"/>
    </w:rPr>
  </w:style>
  <w:style w:type="character" w:styleId="FootnoteTextChar">
    <w:name w:val="Footnote Text Char"/>
    <w:link w:val="FootnoteText"/>
    <w:uiPriority w:val="99"/>
    <w:semiHidden/>
    <w:unhideWhenUsed/>
    <w:qFormat/>
    <w:rPr>
      <w:sz w:val="20"/>
      <w:szCs w:val="20"/>
    </w:rPr>
  </w:style>
  <w:style w:type="character" w:styleId="EndnoteCharacters">
    <w:name w:val="Endnote Characters"/>
    <w:uiPriority w:val="99"/>
    <w:semiHidden/>
    <w:unhideWhenUsed/>
    <w:qFormat/>
    <w:rPr>
      <w:vertAlign w:val="superscript"/>
    </w:rPr>
  </w:style>
  <w:style w:type="character" w:styleId="EndnoteReference">
    <w:name w:val="Endnote Reference"/>
    <w:rPr>
      <w:vertAlign w:val="superscript"/>
    </w:rPr>
  </w:style>
  <w:style w:type="character" w:styleId="EndnoteTextChar">
    <w:name w:val="Endnote Text Char"/>
    <w:link w:val="EndnoteText"/>
    <w:uiPriority w:val="99"/>
    <w:semiHidden/>
    <w:unhideWhenUsed/>
    <w:qFormat/>
    <w:rPr>
      <w:sz w:val="20"/>
      <w:szCs w:val="20"/>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Title">
    <w:name w:val="Title"/>
    <w:basedOn w:val="Heading"/>
    <w:qFormat/>
    <w:pPr/>
    <w:rPr>
      <w:sz w:val="56"/>
      <w:szCs w:val="56"/>
    </w:rPr>
  </w:style>
  <w:style w:type="paragraph" w:styleId="StrongEmphasis">
    <w:name w:val="Strong Emphasis"/>
    <w:qFormat/>
    <w:pPr>
      <w:widowControl/>
      <w:bidi w:val="0"/>
      <w:spacing w:before="0" w:after="0"/>
      <w:jc w:val="left"/>
    </w:pPr>
    <w:rPr>
      <w:rFonts w:ascii="Times New Roman" w:hAnsi="Times New Roman" w:eastAsia="Noto Serif CJK SC" w:cs="Noto Sans Devanagari"/>
      <w:b/>
      <w:bCs/>
      <w:color w:val="auto"/>
      <w:kern w:val="0"/>
      <w:sz w:val="20"/>
      <w:szCs w:val="20"/>
      <w:lang w:val="en-US" w:eastAsia="zh-CN" w:bidi="hi-IN"/>
    </w:rPr>
  </w:style>
  <w:style w:type="paragraph" w:styleId="ListParagraph">
    <w:name w:val="List Paragraph"/>
    <w:qFormat/>
    <w:pPr>
      <w:widowControl/>
      <w:bidi w:val="0"/>
      <w:spacing w:before="0" w:after="0"/>
      <w:jc w:val="left"/>
    </w:pPr>
    <w:rPr>
      <w:rFonts w:ascii="Times New Roman" w:hAnsi="Times New Roman" w:eastAsia="Noto Serif CJK SC" w:cs="Noto Sans Devanagari"/>
      <w:color w:val="auto"/>
      <w:kern w:val="0"/>
      <w:sz w:val="20"/>
      <w:szCs w:val="20"/>
      <w:lang w:val="en-US" w:eastAsia="zh-CN" w:bidi="hi-IN"/>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ages>3</Pages>
  <Words>1580</Words>
  <Characters>8414</Characters>
  <CharactersWithSpaces>9922</CharactersWithSpaces>
  <Paragraphs>79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2026-09-05T13:37:21Z</dcterms:created>
  <dc:creator>Un-named</dc:creator>
  <dc:description/>
  <dc:language>en-US</dc:language>
  <cp:lastModifiedBy/>
  <dcterms:modified xsi:type="dcterms:W3CDTF">2026-09-05T18:51:25Z</dcterms:modified>
  <cp:revision>2</cp:revision>
  <dc:subject/>
  <dc:title/>
</cp:coreProperties>
</file>