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We selected the agentMom SRS, "Applying Broadcasting/Multicasting/Secured Communication to agentMom in Multi-Agent Systems" (version 1.1). The ten requirements below are seven functional requirements and three non-functional requirements. Together they cover the three communication modes the project is built around (unicast, multicast, broadcast), the security layer on top of them, and the architectural choice underneath them.</w:t>
      </w:r>
    </w:p>
    <w:p>
      <w:pPr>
        <w:spacing w:after="120" w:before="0" w:line="276"/>
      </w:pPr>
      <w:r>
        <w:rPr>
          <w:b/>
          <w:bCs/>
          <w:sz w:val="20"/>
          <w:szCs w:val="20"/>
        </w:rPr>
        <w:t xml:space="preserve">Scope coverage. </w:t>
      </w:r>
      <w:r>
        <w:rPr>
          <w:sz w:val="20"/>
          <w:szCs w:val="20"/>
        </w:rPr>
        <w:t>Section 3.2 of the SRS contains twenty-five numbered sub-requirements, and all twenty-five are covered by the ten rows below, so nothing in the specific requirements section is left out of scope. Thirteen of those sub-requirements are marked with an asterisk as Driving Requirements to be demonstrated by the end of phase II. Every Driving Requirement claim made in the table has been checked against the SRS individually.</w:t>
      </w:r>
    </w:p>
    <w:p>
      <w:pPr>
        <w:spacing w:after="120" w:before="0" w:line="276"/>
      </w:pPr>
      <w:r>
        <w:rPr>
          <w:b/>
          <w:bCs/>
          <w:sz w:val="20"/>
          <w:szCs w:val="20"/>
        </w:rPr>
        <w:t xml:space="preserve">Grouping rule. </w:t>
      </w:r>
      <w:r>
        <w:rPr>
          <w:sz w:val="20"/>
          <w:szCs w:val="20"/>
        </w:rPr>
        <w:t>The assignment allows complete management of one entity to count as a single FR, and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Sub-requirements that describe the lifecycle or configurable attributes of the same entity are grouped into one row on that basis, not for convenience of arriving at seven.</w:t>
      </w:r>
    </w:p>
    <w:p>
      <w:pPr>
        <w:spacing w:after="120" w:before="0" w:line="276"/>
      </w:pPr>
      <w:r>
        <w:rPr>
          <w:b/>
          <w:bCs/>
          <w:sz w:val="20"/>
          <w:szCs w:val="20"/>
        </w:rPr>
        <w:t xml:space="preserve">CRUD compliance. </w:t>
      </w:r>
      <w:r>
        <w:rPr>
          <w:sz w:val="20"/>
          <w:szCs w:val="20"/>
        </w:rPr>
        <w:t>None of the seven FRs is a pure CRUD operation, since the underlying SRS describes a messaging framework rather than a data-management system. Even on the strictest reading (treating join/leave as create and delete of a membership record), that would make one of seven FRs a CRUD requirement, comfortably inside the limit of three. On our reading it is not CRUD at all: the requirement's substance is the delivery decision it drives, not the storage of a record.</w:t>
      </w:r>
      <w:r>
        <w:rPr>
          <w:i/>
          <w:iCs/>
          <w:sz w:val="20"/>
          <w:szCs w:val="20"/>
        </w:rPr>
      </w:r>
      <w:r>
        <w:rPr>
          <w:sz w:val="20"/>
          <w:szCs w:val="20"/>
        </w:rPr>
      </w:r>
    </w:p>
    <w:p>
      <w:pPr>
        <w:spacing w:after="200" w:before="0" w:line="276"/>
      </w:pPr>
      <w:r>
        <w:rPr>
          <w:b/>
          <w:bCs/>
          <w:sz w:val="20"/>
          <w:szCs w:val="20"/>
        </w:rPr>
        <w:t xml:space="preserve">Classification scheme. </w:t>
      </w:r>
      <w:r>
        <w:rPr>
          <w:sz w:val="20"/>
          <w:szCs w:val="20"/>
        </w:rPr>
        <w:t>Every assumption in the Defence / basis column carries exactly one of the three labels the assignment permits: supported by the SRS, justified by an explicit design decision, or unsupported. Where a single behaviour rested on more than one assumption, it was split into separately numbered sub-assumptions (A1.1, A1.2, and so on) so each carries one unambiguous label. No hybrid or partial classifications are used, and no unsupported assumption is hidden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tcMar>
              <w:top w:type="dxa" w:w="30"/>
              <w:left w:type="dxa" w:w="100"/>
              <w:bottom w:type="dxa" w:w="30"/>
              <w:right w:type="dxa" w:w="100"/>
            </w:tcMar>
          </w:tcPr>
          <w:p>
            <w:pPr>
              <w:spacing w:after="20" w:line="240"/>
            </w:pPr>
            <w:r>
              <w:rPr>
                <w:b/>
                <w:bCs/>
                <w:sz w:val="17"/>
                <w:szCs w:val="17"/>
              </w:rPr>
              <w:t xml:space="preserve">Req. ID</w:t>
            </w:r>
          </w:p>
        </w:tc>
        <w:tc>
          <w:tcPr>
            <w:tcW w:type="dxa" w:w="1200"/>
            <w:tcMar>
              <w:top w:type="dxa" w:w="30"/>
              <w:left w:type="dxa" w:w="100"/>
              <w:bottom w:type="dxa" w:w="30"/>
              <w:right w:type="dxa" w:w="100"/>
            </w:tcMar>
          </w:tcPr>
          <w:p>
            <w:pPr>
              <w:spacing w:after="20" w:line="240"/>
            </w:pPr>
            <w:r>
              <w:rPr>
                <w:b/>
                <w:bCs/>
                <w:sz w:val="17"/>
                <w:szCs w:val="17"/>
              </w:rPr>
              <w:t xml:space="preserve">Type</w:t>
            </w:r>
          </w:p>
        </w:tc>
        <w:tc>
          <w:tcPr>
            <w:tcW w:type="dxa" w:w="2900"/>
            <w:tcMar>
              <w:top w:type="dxa" w:w="30"/>
              <w:left w:type="dxa" w:w="100"/>
              <w:bottom w:type="dxa" w:w="30"/>
              <w:right w:type="dxa" w:w="100"/>
            </w:tcMar>
          </w:tcPr>
          <w:p>
            <w:pPr>
              <w:spacing w:after="20" w:line="240"/>
            </w:pPr>
            <w:r>
              <w:rPr>
                <w:b/>
                <w:bCs/>
                <w:sz w:val="17"/>
                <w:szCs w:val="17"/>
              </w:rPr>
              <w:t xml:space="preserve">Requirement (brief)</w:t>
            </w:r>
          </w:p>
        </w:tc>
        <w:tc>
          <w:tcPr>
            <w:tcW w:type="dxa" w:w="2700"/>
            <w:tcMar>
              <w:top w:type="dxa" w:w="30"/>
              <w:left w:type="dxa" w:w="100"/>
              <w:bottom w:type="dxa" w:w="30"/>
              <w:right w:type="dxa" w:w="100"/>
            </w:tcMar>
          </w:tcPr>
          <w:p>
            <w:pPr>
              <w:spacing w:after="20" w:line="240"/>
            </w:pPr>
            <w:r>
              <w:rPr>
                <w:b/>
                <w:bCs/>
                <w:sz w:val="17"/>
                <w:szCs w:val="17"/>
              </w:rPr>
              <w:t xml:space="preserve">Why selected / risk</w:t>
            </w:r>
          </w:p>
        </w:tc>
        <w:tc>
          <w:tcPr>
            <w:tcW w:type="dxa" w:w="2760"/>
            <w:tcMar>
              <w:top w:type="dxa" w:w="30"/>
              <w:left w:type="dxa" w:w="100"/>
              <w:bottom w:type="dxa" w:w="30"/>
              <w:right w:type="dxa" w:w="100"/>
            </w:tcMar>
          </w:tcPr>
          <w:p>
            <w:pPr>
              <w:spacing w:after="20" w:line="240"/>
            </w:pPr>
            <w:r>
              <w:rPr>
                <w:b/>
                <w:bCs/>
                <w:sz w:val="17"/>
                <w:szCs w:val="17"/>
              </w:rPr>
              <w:t xml:space="preserve">AI assumption</w:t>
            </w:r>
          </w:p>
        </w:tc>
        <w:tc>
          <w:tcPr>
            <w:tcW w:type="dxa" w:w="2250"/>
            <w:tcMar>
              <w:top w:type="dxa" w:w="30"/>
              <w:left w:type="dxa" w:w="100"/>
              <w:bottom w:type="dxa" w:w="30"/>
              <w:right w:type="dxa" w:w="100"/>
            </w:tcMar>
          </w:tcPr>
          <w:p>
            <w:pPr>
              <w:spacing w:after="20" w:line="240"/>
            </w:pPr>
            <w:r>
              <w:rPr>
                <w:b/>
                <w:bCs/>
                <w:sz w:val="17"/>
                <w:szCs w:val="17"/>
              </w:rPr>
              <w:t xml:space="preserve">Defence / basis</w:t>
            </w:r>
          </w:p>
        </w:tc>
      </w:tr>
      <w:tr>
        <w:tc>
          <w:tcPr>
            <w:tcW w:type="dxa" w:w="1150"/>
            <w:tcMar>
              <w:top w:type="dxa" w:w="30"/>
              <w:left w:type="dxa" w:w="100"/>
              <w:bottom w:type="dxa" w:w="30"/>
              <w:right w:type="dxa" w:w="100"/>
            </w:tcMar>
          </w:tcPr>
          <w:p>
            <w:pPr>
              <w:spacing w:after="20" w:line="240"/>
            </w:pPr>
            <w:r>
              <w:rPr>
                <w:b/>
                <w:bCs/>
                <w:sz w:val="16"/>
                <w:szCs w:val="16"/>
              </w:rPr>
              <w:t xml:space="preserve">3.2.1.1 –</w:t>
            </w:r>
          </w:p>
          <w:p>
            <w:pPr>
              <w:spacing w:after="20" w:line="240"/>
            </w:pPr>
            <w:r>
              <w:rPr>
                <w:b/>
                <w:bCs/>
                <w:sz w:val="16"/>
                <w:szCs w:val="16"/>
              </w:rPr>
              <w:t xml:space="preserve">3.2.1.4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20" w:line="240"/>
            </w:pPr>
            <w:r>
              <w:rPr>
                <w:sz w:val="16"/>
                <w:szCs w:val="16"/>
              </w:rPr>
              <w:t xml:space="preserve">3.2.1.1 and 3.2.1.2 are Driving Requirements.</w:t>
            </w:r>
          </w:p>
          <w:p>
            <w:pPr>
              <w:spacing w:after="2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30"/>
              <w:left w:type="dxa" w:w="100"/>
              <w:bottom w:type="dxa" w:w="30"/>
              <w:right w:type="dxa" w:w="100"/>
            </w:tcMar>
          </w:tcPr>
          <w:p>
            <w:pPr>
              <w:spacing w:after="20" w:line="240"/>
            </w:pPr>
            <w:r>
              <w:rPr>
                <w:b/>
                <w:bCs/>
                <w:sz w:val="16"/>
                <w:szCs w:val="16"/>
              </w:rPr>
              <w:t xml:space="preserve">A1.1 </w:t>
            </w:r>
            <w:r>
              <w:rPr>
                <w:sz w:val="16"/>
                <w:szCs w:val="16"/>
              </w:rPr>
              <w:t xml:space="preserve">TCP is the unicast transport.</w:t>
            </w:r>
          </w:p>
          <w:p>
            <w:pPr>
              <w:spacing w:after="2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30"/>
              <w:left w:type="dxa" w:w="100"/>
              <w:bottom w:type="dxa" w:w="30"/>
              <w:right w:type="dxa" w:w="100"/>
            </w:tcMar>
          </w:tcPr>
          <w:p>
            <w:pPr>
              <w:spacing w:after="20" w:line="240"/>
            </w:pPr>
            <w:r>
              <w:rPr>
                <w:sz w:val="16"/>
                <w:szCs w:val="16"/>
              </w:rPr>
              <w:t xml:space="preserve">A1.1 — </w:t>
            </w:r>
            <w:r>
              <w:rPr>
                <w:b/>
                <w:bCs/>
                <w:sz w:val="16"/>
                <w:szCs w:val="16"/>
              </w:rPr>
              <w:t xml:space="preserve">Supported by SRS</w:t>
            </w:r>
            <w:r>
              <w:rPr>
                <w:sz w:val="16"/>
                <w:szCs w:val="16"/>
              </w:rPr>
              <w:t xml:space="preserve"> (2.1.2 states TCP/IP is used for unicast).</w:t>
            </w:r>
          </w:p>
          <w:p>
            <w:pPr>
              <w:spacing w:after="20" w:line="240"/>
            </w:pPr>
            <w:r>
              <w:rPr>
                <w:sz w:val="16"/>
                <w:szCs w:val="16"/>
              </w:rPr>
              <w:t xml:space="preserve">A1.2 — </w:t>
            </w:r>
            <w:r>
              <w:rPr>
                <w:b/>
                <w:bCs/>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30"/>
              <w:left w:type="dxa" w:w="100"/>
              <w:bottom w:type="dxa" w:w="30"/>
              <w:right w:type="dxa" w:w="100"/>
            </w:tcMar>
          </w:tcPr>
          <w:p>
            <w:pPr>
              <w:spacing w:after="20" w:line="240"/>
            </w:pPr>
            <w:r>
              <w:rPr>
                <w:b/>
                <w:bCs/>
                <w:sz w:val="16"/>
                <w:szCs w:val="16"/>
              </w:rPr>
              <w:t xml:space="preserve">3.2.2.3 –</w:t>
            </w:r>
          </w:p>
          <w:p>
            <w:pPr>
              <w:spacing w:after="20" w:line="240"/>
            </w:pPr>
            <w:r>
              <w:rPr>
                <w:b/>
                <w:bCs/>
                <w:sz w:val="16"/>
                <w:szCs w:val="16"/>
              </w:rPr>
              <w:t xml:space="preserve">3.2.2.6,</w:t>
            </w:r>
          </w:p>
          <w:p>
            <w:pPr>
              <w:spacing w:after="20" w:line="240"/>
            </w:pPr>
            <w:r>
              <w:rPr>
                <w:b/>
                <w:bCs/>
                <w:sz w:val="16"/>
                <w:szCs w:val="16"/>
              </w:rPr>
              <w:t xml:space="preserve">3.2.2.9</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agent’s membership state in a group. 3.2.2.3 and 3.2.2.4 are Driving Requirements.</w:t>
            </w:r>
          </w:p>
          <w:p>
            <w:pPr>
              <w:spacing w:after="2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20" w:line="240"/>
            </w:pPr>
            <w:r>
              <w:rPr>
                <w:sz w:val="16"/>
                <w:szCs w:val="16"/>
              </w:rPr>
              <w:t xml:space="preserve">3.2.2.9 is grouped here rather than with messaging because simultaneous multi-group receive is a property of membership; it cannot be tested in isolation from join.</w:t>
            </w:r>
          </w:p>
          <w:p>
            <w:pPr>
              <w:spacing w:after="2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30"/>
              <w:left w:type="dxa" w:w="100"/>
              <w:bottom w:type="dxa" w:w="30"/>
              <w:right w:type="dxa" w:w="100"/>
            </w:tcMar>
          </w:tcPr>
          <w:p>
            <w:pPr>
              <w:spacing w:after="2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2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30"/>
              <w:left w:type="dxa" w:w="100"/>
              <w:bottom w:type="dxa" w:w="30"/>
              <w:right w:type="dxa" w:w="100"/>
            </w:tcMar>
          </w:tcPr>
          <w:p>
            <w:pPr>
              <w:spacing w:after="20" w:line="240"/>
            </w:pPr>
            <w:r>
              <w:rPr>
                <w:sz w:val="16"/>
                <w:szCs w:val="16"/>
              </w:rPr>
              <w:t xml:space="preserve">A2.1 — </w:t>
            </w:r>
            <w:r>
              <w:rPr>
                <w:b/>
                <w:bCs/>
                <w:sz w:val="16"/>
                <w:szCs w:val="16"/>
              </w:rPr>
              <w:t xml:space="preserve">Design decision</w:t>
            </w:r>
            <w:r>
              <w:rPr>
                <w:sz w:val="16"/>
                <w:szCs w:val="16"/>
              </w:rPr>
              <w:t xml:space="preserve">. The SRS does not describe what happens to messages already in transit during a leave; this behaviour was decided by us.</w:t>
            </w:r>
          </w:p>
          <w:p>
            <w:pPr>
              <w:spacing w:after="20" w:line="240"/>
            </w:pPr>
            <w:r>
              <w:rPr>
                <w:sz w:val="16"/>
                <w:szCs w:val="16"/>
              </w:rPr>
              <w:t xml:space="preserve">A2.2 — </w:t>
            </w:r>
            <w:r>
              <w:rPr>
                <w:b/>
                <w:bCs/>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30"/>
              <w:left w:type="dxa" w:w="100"/>
              <w:bottom w:type="dxa" w:w="30"/>
              <w:right w:type="dxa" w:w="100"/>
            </w:tcMar>
          </w:tcPr>
          <w:p>
            <w:pPr>
              <w:spacing w:after="20" w:line="240"/>
            </w:pPr>
            <w:r>
              <w:rPr>
                <w:b/>
                <w:bCs/>
                <w:sz w:val="16"/>
                <w:szCs w:val="16"/>
              </w:rPr>
              <w:t xml:space="preserve">3.2.2.1,</w:t>
            </w:r>
          </w:p>
          <w:p>
            <w:pPr>
              <w:spacing w:after="20" w:line="240"/>
            </w:pPr>
            <w:r>
              <w:rPr>
                <w:b/>
                <w:bCs/>
                <w:sz w:val="16"/>
                <w:szCs w:val="16"/>
              </w:rPr>
              <w:t xml:space="preserve">3.2.2.2,</w:t>
            </w:r>
          </w:p>
          <w:p>
            <w:pPr>
              <w:spacing w:after="20" w:line="240"/>
            </w:pPr>
            <w:r>
              <w:rPr>
                <w:b/>
                <w:bCs/>
                <w:sz w:val="16"/>
                <w:szCs w:val="16"/>
              </w:rPr>
              <w:t xml:space="preserve">3.2.2.7,</w:t>
            </w:r>
          </w:p>
          <w:p>
            <w:pPr>
              <w:spacing w:after="20" w:line="240"/>
            </w:pPr>
            <w:r>
              <w:rPr>
                <w:b/>
                <w:bCs/>
                <w:sz w:val="16"/>
                <w:szCs w:val="16"/>
              </w:rPr>
              <w:t xml:space="preserve">3.2.2.8</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20" w:line="240"/>
            </w:pPr>
            <w:r>
              <w:rPr>
                <w:sz w:val="16"/>
                <w:szCs w:val="16"/>
              </w:rPr>
              <w:t xml:space="preserve">3.2.2.1 and 3.2.2.2 are Driving Requirements.</w:t>
            </w:r>
          </w:p>
          <w:p>
            <w:pPr>
              <w:spacing w:after="2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30"/>
              <w:left w:type="dxa" w:w="100"/>
              <w:bottom w:type="dxa" w:w="30"/>
              <w:right w:type="dxa" w:w="100"/>
            </w:tcMar>
          </w:tcPr>
          <w:p>
            <w:pPr>
              <w:spacing w:after="20" w:line="240"/>
            </w:pPr>
            <w:r>
              <w:rPr>
                <w:b/>
                <w:bCs/>
                <w:sz w:val="16"/>
                <w:szCs w:val="16"/>
              </w:rPr>
              <w:t xml:space="preserve">A3.1 </w:t>
            </w:r>
            <w:r>
              <w:rPr>
                <w:sz w:val="16"/>
                <w:szCs w:val="16"/>
              </w:rPr>
              <w:t xml:space="preserve">A default TTL applies when the sender does not set one.</w:t>
            </w:r>
          </w:p>
          <w:p>
            <w:pPr>
              <w:spacing w:after="2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2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30"/>
              <w:left w:type="dxa" w:w="100"/>
              <w:bottom w:type="dxa" w:w="30"/>
              <w:right w:type="dxa" w:w="100"/>
            </w:tcMar>
          </w:tcPr>
          <w:p>
            <w:pPr>
              <w:spacing w:after="20" w:line="240"/>
            </w:pPr>
            <w:r>
              <w:rPr>
                <w:sz w:val="16"/>
                <w:szCs w:val="16"/>
              </w:rPr>
              <w:t xml:space="preserve">A3.1 — </w:t>
            </w:r>
            <w:r>
              <w:rPr>
                <w:b/>
                <w:bCs/>
                <w:sz w:val="16"/>
                <w:szCs w:val="16"/>
              </w:rPr>
              <w:t xml:space="preserve">Unsupported</w:t>
            </w:r>
            <w:r>
              <w:rPr>
                <w:sz w:val="16"/>
                <w:szCs w:val="16"/>
              </w:rPr>
              <w:t xml:space="preserve">. The SRS requires the ability to set a TTL but is silent on a default, so this value was introduced during development.</w:t>
            </w:r>
          </w:p>
          <w:p>
            <w:pPr>
              <w:spacing w:after="20" w:line="240"/>
            </w:pPr>
            <w:r>
              <w:rPr>
                <w:sz w:val="16"/>
                <w:szCs w:val="16"/>
              </w:rPr>
              <w:t xml:space="preserve">A3.2 — </w:t>
            </w:r>
            <w:r>
              <w:rPr>
                <w:b/>
                <w:bCs/>
                <w:sz w:val="16"/>
                <w:szCs w:val="16"/>
              </w:rPr>
              <w:t xml:space="preserve">Design decision</w:t>
            </w:r>
            <w:r>
              <w:rPr>
                <w:sz w:val="16"/>
                <w:szCs w:val="16"/>
              </w:rPr>
              <w:t xml:space="preserve">, explicitly noted as diverging from §1.3. It exists only because the SRS mechanism is unobservable on one host.</w:t>
            </w:r>
          </w:p>
          <w:p>
            <w:pPr>
              <w:spacing w:after="20" w:line="240"/>
            </w:pPr>
            <w:r>
              <w:rPr>
                <w:sz w:val="16"/>
                <w:szCs w:val="16"/>
              </w:rPr>
              <w:t xml:space="preserve">A3.3 — </w:t>
            </w:r>
            <w:r>
              <w:rPr>
                <w:b/>
                <w:bCs/>
                <w:sz w:val="16"/>
                <w:szCs w:val="16"/>
              </w:rPr>
              <w:t xml:space="preserve">Design decision</w:t>
            </w:r>
            <w:r>
              <w:rPr>
                <w:sz w:val="16"/>
                <w:szCs w:val="16"/>
              </w:rPr>
              <w:t xml:space="preserve">. An implementation safety rail, not SRS-derived.</w:t>
            </w:r>
          </w:p>
        </w:tc>
      </w:tr>
      <w:tr>
        <w:tc>
          <w:tcPr>
            <w:tcW w:type="dxa" w:w="1150"/>
            <w:tcMar>
              <w:top w:type="dxa" w:w="30"/>
              <w:left w:type="dxa" w:w="100"/>
              <w:bottom w:type="dxa" w:w="30"/>
              <w:right w:type="dxa" w:w="100"/>
            </w:tcMar>
          </w:tcPr>
          <w:p>
            <w:pPr>
              <w:spacing w:after="20" w:line="240"/>
            </w:pPr>
            <w:r>
              <w:rPr>
                <w:b/>
                <w:bCs/>
                <w:sz w:val="16"/>
                <w:szCs w:val="16"/>
              </w:rPr>
              <w:t xml:space="preserve">3.2.3.1,</w:t>
            </w:r>
          </w:p>
          <w:p>
            <w:pPr>
              <w:spacing w:after="20" w:line="240"/>
            </w:pPr>
            <w:r>
              <w:rPr>
                <w:b/>
                <w:bCs/>
                <w:sz w:val="16"/>
                <w:szCs w:val="16"/>
              </w:rPr>
              <w:t xml:space="preserve">3.2.3.2,</w:t>
            </w:r>
          </w:p>
          <w:p>
            <w:pPr>
              <w:spacing w:after="20" w:line="240"/>
            </w:pPr>
            <w:r>
              <w:rPr>
                <w:b/>
                <w:bCs/>
                <w:sz w:val="16"/>
                <w:szCs w:val="16"/>
              </w:rPr>
              <w:t xml:space="preserve">3.2.3.3 †</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30"/>
              <w:left w:type="dxa" w:w="100"/>
              <w:bottom w:type="dxa" w:w="30"/>
              <w:right w:type="dxa" w:w="100"/>
            </w:tcMar>
          </w:tcPr>
          <w:p>
            <w:pPr>
              <w:spacing w:after="20" w:line="240"/>
            </w:pPr>
            <w:r>
              <w:rPr>
                <w:sz w:val="16"/>
                <w:szCs w:val="16"/>
              </w:rPr>
              <w:t xml:space="preserve">All three sub-requirements are Driving Requirements.</w:t>
            </w:r>
          </w:p>
          <w:p>
            <w:pPr>
              <w:spacing w:after="2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2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30"/>
              <w:left w:type="dxa" w:w="100"/>
              <w:bottom w:type="dxa" w:w="30"/>
              <w:right w:type="dxa" w:w="100"/>
            </w:tcMar>
          </w:tcPr>
          <w:p>
            <w:pPr>
              <w:spacing w:after="2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2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30"/>
              <w:left w:type="dxa" w:w="100"/>
              <w:bottom w:type="dxa" w:w="30"/>
              <w:right w:type="dxa" w:w="100"/>
            </w:tcMar>
          </w:tcPr>
          <w:p>
            <w:pPr>
              <w:spacing w:after="20" w:line="240"/>
            </w:pPr>
            <w:r>
              <w:rPr>
                <w:sz w:val="16"/>
                <w:szCs w:val="16"/>
              </w:rPr>
              <w:t xml:space="preserve">A4.1 — </w:t>
            </w:r>
            <w:r>
              <w:rPr>
                <w:b/>
                <w:bCs/>
                <w:sz w:val="16"/>
                <w:szCs w:val="16"/>
              </w:rPr>
              <w:t xml:space="preserve">Design decision</w:t>
            </w:r>
            <w:r>
              <w:rPr>
                <w:sz w:val="16"/>
                <w:szCs w:val="16"/>
              </w:rPr>
              <w:t xml:space="preserve">. The SRS names no broadcast address.</w:t>
            </w:r>
          </w:p>
          <w:p>
            <w:pPr>
              <w:spacing w:after="20" w:line="240"/>
            </w:pPr>
            <w:r>
              <w:rPr>
                <w:sz w:val="16"/>
                <w:szCs w:val="16"/>
              </w:rPr>
              <w:t xml:space="preserve">A4.2 — </w:t>
            </w:r>
            <w:r>
              <w:rPr>
                <w:b/>
                <w:bCs/>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30"/>
              <w:left w:type="dxa" w:w="100"/>
              <w:bottom w:type="dxa" w:w="30"/>
              <w:right w:type="dxa" w:w="100"/>
            </w:tcMar>
          </w:tcPr>
          <w:p>
            <w:pPr>
              <w:spacing w:after="20" w:line="240"/>
            </w:pPr>
            <w:r>
              <w:rPr>
                <w:b/>
                <w:bCs/>
                <w:sz w:val="16"/>
                <w:szCs w:val="16"/>
              </w:rPr>
              <w:t xml:space="preserve">3.2.4.1 –</w:t>
            </w:r>
          </w:p>
          <w:p>
            <w:pPr>
              <w:spacing w:after="20" w:line="240"/>
            </w:pPr>
            <w:r>
              <w:rPr>
                <w:b/>
                <w:bCs/>
                <w:sz w:val="16"/>
                <w:szCs w:val="16"/>
              </w:rPr>
              <w:t xml:space="preserve">3.2.4.4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 xml:space="preserve">the security state of a unicast message — applying it, removing it, and who decides.</w:t>
            </w:r>
          </w:p>
          <w:p>
            <w:pPr>
              <w:spacing w:after="20" w:line="240"/>
            </w:pPr>
            <w:r>
              <w:rPr>
                <w:sz w:val="16"/>
                <w:szCs w:val="16"/>
              </w:rPr>
              <w:t xml:space="preserve">3.2.4.1 and 3.2.4.2 are Driving Requirements.</w:t>
            </w:r>
          </w:p>
          <w:p>
            <w:pPr>
              <w:spacing w:after="2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30"/>
              <w:left w:type="dxa" w:w="100"/>
              <w:bottom w:type="dxa" w:w="30"/>
              <w:right w:type="dxa" w:w="100"/>
            </w:tcMar>
          </w:tcPr>
          <w:p>
            <w:pPr>
              <w:spacing w:after="20" w:line="240"/>
            </w:pPr>
            <w:r>
              <w:rPr>
                <w:b/>
                <w:bCs/>
                <w:sz w:val="16"/>
                <w:szCs w:val="16"/>
              </w:rPr>
              <w:t xml:space="preserve">A5.1 </w:t>
            </w:r>
            <w:r>
              <w:rPr>
                <w:sz w:val="16"/>
                <w:szCs w:val="16"/>
              </w:rPr>
              <w:t xml:space="preserve">AES-256-GCM is used.</w:t>
            </w:r>
          </w:p>
          <w:p>
            <w:pPr>
              <w:spacing w:after="2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2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30"/>
              <w:left w:type="dxa" w:w="100"/>
              <w:bottom w:type="dxa" w:w="30"/>
              <w:right w:type="dxa" w:w="100"/>
            </w:tcMar>
          </w:tcPr>
          <w:p>
            <w:pPr>
              <w:spacing w:after="20" w:line="240"/>
            </w:pPr>
            <w:r>
              <w:rPr>
                <w:sz w:val="16"/>
                <w:szCs w:val="16"/>
              </w:rPr>
              <w:t xml:space="preserve">A5.1 — </w:t>
            </w:r>
            <w:r>
              <w:rPr>
                <w:b/>
                <w:bCs/>
                <w:sz w:val="16"/>
                <w:szCs w:val="16"/>
              </w:rPr>
              <w:t xml:space="preserve">Design decision</w:t>
            </w:r>
            <w:r>
              <w:rPr>
                <w:sz w:val="16"/>
                <w:szCs w:val="16"/>
              </w:rPr>
              <w:t xml:space="preserve">. The SRS names no algorithm (see NFR10).</w:t>
            </w:r>
          </w:p>
          <w:p>
            <w:pPr>
              <w:spacing w:after="20" w:line="240"/>
            </w:pPr>
            <w:r>
              <w:rPr>
                <w:sz w:val="16"/>
                <w:szCs w:val="16"/>
              </w:rPr>
              <w:t xml:space="preserve">A5.2 — </w:t>
            </w:r>
            <w:r>
              <w:rPr>
                <w:b/>
                <w:bCs/>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20" w:line="240"/>
            </w:pPr>
            <w:r>
              <w:rPr>
                <w:sz w:val="16"/>
                <w:szCs w:val="16"/>
              </w:rPr>
              <w:t xml:space="preserve">A5.3 — </w:t>
            </w:r>
            <w:r>
              <w:rPr>
                <w:b/>
                <w:bCs/>
                <w:sz w:val="16"/>
                <w:szCs w:val="16"/>
              </w:rPr>
              <w:t xml:space="preserve">Design decision</w:t>
            </w:r>
            <w:r>
              <w:rPr>
                <w:sz w:val="16"/>
                <w:szCs w:val="16"/>
              </w:rPr>
              <w:t xml:space="preserve">. The SRS does not define malformed-message handling.</w:t>
            </w:r>
          </w:p>
        </w:tc>
      </w:tr>
      <w:tr>
        <w:tc>
          <w:tcPr>
            <w:tcW w:type="dxa" w:w="1150"/>
            <w:tcMar>
              <w:top w:type="dxa" w:w="30"/>
              <w:left w:type="dxa" w:w="100"/>
              <w:bottom w:type="dxa" w:w="30"/>
              <w:right w:type="dxa" w:w="100"/>
            </w:tcMar>
          </w:tcPr>
          <w:p>
            <w:pPr>
              <w:spacing w:after="20" w:line="240"/>
            </w:pPr>
            <w:r>
              <w:rPr>
                <w:b/>
                <w:bCs/>
                <w:sz w:val="16"/>
                <w:szCs w:val="16"/>
              </w:rPr>
              <w:t xml:space="preserve">3.2.4.5,</w:t>
            </w:r>
          </w:p>
          <w:p>
            <w:pPr>
              <w:spacing w:after="20" w:line="240"/>
            </w:pPr>
            <w:r>
              <w:rPr>
                <w:b/>
                <w:bCs/>
                <w:sz w:val="16"/>
                <w:szCs w:val="16"/>
              </w:rPr>
              <w:t xml:space="preserve">3.2.4.6</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30"/>
              <w:left w:type="dxa" w:w="100"/>
              <w:bottom w:type="dxa" w:w="30"/>
              <w:right w:type="dxa" w:w="100"/>
            </w:tcMar>
          </w:tcPr>
          <w:p>
            <w:pPr>
              <w:spacing w:after="20" w:line="240"/>
            </w:pPr>
            <w:r>
              <w:rPr>
                <w:sz w:val="16"/>
                <w:szCs w:val="16"/>
              </w:rPr>
              <w:t xml:space="preserve">Extends encryption to group communication, which carries more weight than the unicast case because one compromised group key exposes every member at once.</w:t>
            </w:r>
          </w:p>
          <w:p>
            <w:pPr>
              <w:spacing w:after="2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30"/>
              <w:left w:type="dxa" w:w="100"/>
              <w:bottom w:type="dxa" w:w="30"/>
              <w:right w:type="dxa" w:w="100"/>
            </w:tcMar>
          </w:tcPr>
          <w:p>
            <w:pPr>
              <w:spacing w:after="20" w:line="240"/>
            </w:pPr>
            <w:r>
              <w:rPr>
                <w:b/>
                <w:bCs/>
                <w:sz w:val="16"/>
                <w:szCs w:val="16"/>
              </w:rPr>
              <w:t xml:space="preserve">A6.1 </w:t>
            </w:r>
            <w:r>
              <w:rPr>
                <w:sz w:val="16"/>
                <w:szCs w:val="16"/>
              </w:rPr>
              <w:t xml:space="preserve">A key-holder agent exists and issues the group key only to agents on its allow-list.</w:t>
            </w:r>
          </w:p>
          <w:p>
            <w:pPr>
              <w:spacing w:after="2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2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30"/>
              <w:left w:type="dxa" w:w="100"/>
              <w:bottom w:type="dxa" w:w="30"/>
              <w:right w:type="dxa" w:w="100"/>
            </w:tcMar>
          </w:tcPr>
          <w:p>
            <w:pPr>
              <w:spacing w:after="20" w:line="240"/>
            </w:pPr>
            <w:r>
              <w:rPr>
                <w:sz w:val="16"/>
                <w:szCs w:val="16"/>
              </w:rPr>
              <w:t xml:space="preserve">A6.1 — </w:t>
            </w:r>
            <w:r>
              <w:rPr>
                <w:b/>
                <w:bCs/>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20" w:line="240"/>
            </w:pPr>
            <w:r>
              <w:rPr>
                <w:sz w:val="16"/>
                <w:szCs w:val="16"/>
              </w:rPr>
              <w:t xml:space="preserve">A6.2 — </w:t>
            </w:r>
            <w:r>
              <w:rPr>
                <w:b/>
                <w:bCs/>
                <w:sz w:val="16"/>
                <w:szCs w:val="16"/>
              </w:rPr>
              <w:t xml:space="preserve">Unsupported</w:t>
            </w:r>
            <w:r>
              <w:rPr>
                <w:sz w:val="16"/>
                <w:szCs w:val="16"/>
              </w:rPr>
              <w:t xml:space="preserve">. The SRS is silent on rotation and revocation; this simplification is ours.</w:t>
            </w:r>
          </w:p>
          <w:p>
            <w:pPr>
              <w:spacing w:after="20" w:line="240"/>
            </w:pPr>
            <w:r>
              <w:rPr>
                <w:sz w:val="16"/>
                <w:szCs w:val="16"/>
              </w:rPr>
              <w:t xml:space="preserve">A6.3 — </w:t>
            </w:r>
            <w:r>
              <w:rPr>
                <w:b/>
                <w:bCs/>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30"/>
              <w:left w:type="dxa" w:w="100"/>
              <w:bottom w:type="dxa" w:w="30"/>
              <w:right w:type="dxa" w:w="100"/>
            </w:tcMar>
          </w:tcPr>
          <w:p>
            <w:pPr>
              <w:spacing w:after="20" w:line="240"/>
            </w:pPr>
            <w:r>
              <w:rPr>
                <w:b/>
                <w:bCs/>
                <w:sz w:val="16"/>
                <w:szCs w:val="16"/>
              </w:rPr>
              <w:t xml:space="preserve">3.2.5.1,</w:t>
            </w:r>
          </w:p>
          <w:p>
            <w:pPr>
              <w:spacing w:after="20" w:line="240"/>
            </w:pPr>
            <w:r>
              <w:rPr>
                <w:b/>
                <w:bCs/>
                <w:sz w:val="16"/>
                <w:szCs w:val="16"/>
              </w:rPr>
              <w:t xml:space="preserve">3.2.5.2</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30"/>
              <w:left w:type="dxa" w:w="100"/>
              <w:bottom w:type="dxa" w:w="30"/>
              <w:right w:type="dxa" w:w="100"/>
            </w:tcMar>
          </w:tcPr>
          <w:p>
            <w:pPr>
              <w:spacing w:after="20" w:line="240"/>
            </w:pPr>
            <w:r>
              <w:rPr>
                <w:sz w:val="16"/>
                <w:szCs w:val="16"/>
              </w:rPr>
              <w:t xml:space="preserve">Both variants are Driving Requirements and represent a genuine architectural decision rather than routine behaviour.</w:t>
            </w:r>
          </w:p>
          <w:p>
            <w:pPr>
              <w:spacing w:after="2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30"/>
              <w:left w:type="dxa" w:w="100"/>
              <w:bottom w:type="dxa" w:w="30"/>
              <w:right w:type="dxa" w:w="100"/>
            </w:tcMar>
          </w:tcPr>
          <w:p>
            <w:pPr>
              <w:spacing w:after="2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2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30"/>
              <w:left w:type="dxa" w:w="100"/>
              <w:bottom w:type="dxa" w:w="30"/>
              <w:right w:type="dxa" w:w="100"/>
            </w:tcMar>
          </w:tcPr>
          <w:p>
            <w:pPr>
              <w:spacing w:after="20" w:line="240"/>
            </w:pPr>
            <w:r>
              <w:rPr>
                <w:sz w:val="16"/>
                <w:szCs w:val="16"/>
              </w:rPr>
              <w:t xml:space="preserve">A7.1 — </w:t>
            </w:r>
            <w:r>
              <w:rPr>
                <w:b/>
                <w:bCs/>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20" w:line="240"/>
            </w:pPr>
            <w:r>
              <w:rPr>
                <w:sz w:val="16"/>
                <w:szCs w:val="16"/>
              </w:rPr>
              <w:t xml:space="preserve">A7.2 — </w:t>
            </w:r>
            <w:r>
              <w:rPr>
                <w:b/>
                <w:bCs/>
                <w:sz w:val="16"/>
                <w:szCs w:val="16"/>
              </w:rPr>
              <w:t xml:space="preserve">Design decision</w:t>
            </w:r>
            <w:r>
              <w:rPr>
                <w:sz w:val="16"/>
                <w:szCs w:val="16"/>
              </w:rPr>
              <w:t xml:space="preserve">. Added for demonstrability; the SRS does not require runtime switching.</w:t>
            </w:r>
          </w:p>
        </w:tc>
      </w:tr>
      <w:tr>
        <w:tc>
          <w:tcPr>
            <w:tcW w:type="dxa" w:w="1150"/>
            <w:tcMar>
              <w:top w:type="dxa" w:w="30"/>
              <w:left w:type="dxa" w:w="100"/>
              <w:bottom w:type="dxa" w:w="30"/>
              <w:right w:type="dxa" w:w="100"/>
            </w:tcMar>
          </w:tcPr>
          <w:p>
            <w:pPr>
              <w:spacing w:after="20" w:line="240"/>
            </w:pPr>
            <w:r>
              <w:rPr>
                <w:b/>
                <w:bCs/>
                <w:sz w:val="16"/>
                <w:szCs w:val="16"/>
              </w:rPr>
              <w:t xml:space="preserve">3.2.6.1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Compatibility</w:t>
            </w:r>
          </w:p>
          <w:p>
            <w:pPr>
              <w:spacing w:after="20" w:line="240"/>
            </w:pPr>
            <w:r>
              <w:rPr>
                <w:i/>
                <w:iCs/>
                <w:sz w:val="14"/>
                <w:szCs w:val="14"/>
              </w:rPr>
              <w:t xml:space="preserve">(ISO/IEC 25010: Compatibility / Co-existence)</w:t>
            </w:r>
          </w:p>
        </w:tc>
        <w:tc>
          <w:tcPr>
            <w:tcW w:type="dxa" w:w="2900"/>
            <w:tcMar>
              <w:top w:type="dxa" w:w="30"/>
              <w:left w:type="dxa" w:w="100"/>
              <w:bottom w:type="dxa" w:w="30"/>
              <w:right w:type="dxa" w:w="100"/>
            </w:tcMar>
          </w:tcPr>
          <w:p>
            <w:pPr>
              <w:spacing w:after="2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30"/>
              <w:left w:type="dxa" w:w="100"/>
              <w:bottom w:type="dxa" w:w="30"/>
              <w:right w:type="dxa" w:w="100"/>
            </w:tcMar>
          </w:tcPr>
          <w:p>
            <w:pPr>
              <w:spacing w:after="20" w:line="240"/>
            </w:pPr>
            <w:r>
              <w:rPr>
                <w:sz w:val="16"/>
                <w:szCs w:val="16"/>
              </w:rPr>
              <w:t xml:space="preserve">Classified as an NFR because it constrains a quality property of the product rather than specifying a function it performs, despite appearing inside §3.2.</w:t>
            </w:r>
          </w:p>
          <w:p>
            <w:pPr>
              <w:spacing w:after="20" w:line="240"/>
            </w:pPr>
            <w:r>
              <w:rPr>
                <w:sz w:val="16"/>
                <w:szCs w:val="16"/>
              </w:rPr>
              <w:t xml:space="preserve">It matters because any existing agentMom 1.2 deployment should keep working once this project is added on top of it.</w:t>
            </w:r>
          </w:p>
          <w:p>
            <w:pPr>
              <w:spacing w:after="2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30"/>
              <w:left w:type="dxa" w:w="100"/>
              <w:bottom w:type="dxa" w:w="30"/>
              <w:right w:type="dxa" w:w="100"/>
            </w:tcMar>
          </w:tcPr>
          <w:p>
            <w:pPr>
              <w:spacing w:after="2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2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30"/>
              <w:left w:type="dxa" w:w="100"/>
              <w:bottom w:type="dxa" w:w="30"/>
              <w:right w:type="dxa" w:w="100"/>
            </w:tcMar>
          </w:tcPr>
          <w:p>
            <w:pPr>
              <w:spacing w:after="20" w:line="240"/>
            </w:pPr>
            <w:r>
              <w:rPr>
                <w:sz w:val="16"/>
                <w:szCs w:val="16"/>
              </w:rPr>
              <w:t xml:space="preserve">A8.1 — </w:t>
            </w:r>
            <w:r>
              <w:rPr>
                <w:b/>
                <w:bCs/>
                <w:sz w:val="16"/>
                <w:szCs w:val="16"/>
              </w:rPr>
              <w:t xml:space="preserve">Design decision</w:t>
            </w:r>
            <w:r>
              <w:rPr>
                <w:sz w:val="16"/>
                <w:szCs w:val="16"/>
              </w:rPr>
              <w:t xml:space="preserve">. The SRS requires compatibility but never defines it at the interface level, so this interpretation is ours.</w:t>
            </w:r>
          </w:p>
          <w:p>
            <w:pPr>
              <w:spacing w:after="20" w:line="240"/>
            </w:pPr>
            <w:r>
              <w:rPr>
                <w:sz w:val="16"/>
                <w:szCs w:val="16"/>
              </w:rPr>
              <w:t xml:space="preserve">A8.2 — </w:t>
            </w:r>
            <w:r>
              <w:rPr>
                <w:b/>
                <w:bCs/>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30"/>
              <w:left w:type="dxa" w:w="100"/>
              <w:bottom w:type="dxa" w:w="30"/>
              <w:right w:type="dxa" w:w="100"/>
            </w:tcMar>
          </w:tcPr>
          <w:p>
            <w:pPr>
              <w:spacing w:after="20" w:line="240"/>
            </w:pPr>
            <w:r>
              <w:rPr>
                <w:b/>
                <w:bCs/>
                <w:sz w:val="16"/>
                <w:szCs w:val="16"/>
              </w:rPr>
              <w:t xml:space="preserve">2.4.1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Reliability</w:t>
            </w:r>
          </w:p>
          <w:p>
            <w:pPr>
              <w:spacing w:after="20" w:line="240"/>
            </w:pPr>
            <w:r>
              <w:rPr>
                <w:i/>
                <w:iCs/>
                <w:sz w:val="14"/>
                <w:szCs w:val="14"/>
              </w:rPr>
              <w:t xml:space="preserve">(ISO/IEC 25010: Reliability / Fault tolerance)</w:t>
            </w:r>
          </w:p>
        </w:tc>
        <w:tc>
          <w:tcPr>
            <w:tcW w:type="dxa" w:w="2900"/>
            <w:tcMar>
              <w:top w:type="dxa" w:w="30"/>
              <w:left w:type="dxa" w:w="100"/>
              <w:bottom w:type="dxa" w:w="30"/>
              <w:right w:type="dxa" w:w="100"/>
            </w:tcMar>
          </w:tcPr>
          <w:p>
            <w:pPr>
              <w:spacing w:after="2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30"/>
              <w:left w:type="dxa" w:w="100"/>
              <w:bottom w:type="dxa" w:w="30"/>
              <w:right w:type="dxa" w:w="100"/>
            </w:tcMar>
          </w:tcPr>
          <w:p>
            <w:pPr>
              <w:spacing w:after="20" w:line="240"/>
            </w:pPr>
            <w:r>
              <w:rPr>
                <w:sz w:val="16"/>
                <w:szCs w:val="16"/>
              </w:rPr>
              <w:t xml:space="preserve">Sets the delivery expectation for two of the three transports and directly shapes how delivery may be tested.</w:t>
            </w:r>
          </w:p>
          <w:p>
            <w:pPr>
              <w:spacing w:after="20" w:line="240"/>
            </w:pPr>
            <w:r>
              <w:rPr>
                <w:sz w:val="16"/>
                <w:szCs w:val="16"/>
              </w:rPr>
              <w:t xml:space="preserve">Taken from §2.4 Constraints rather than the numbered requirements in §3.2; treated as an NFR because it constrains a quality property rather than describing a function.</w:t>
            </w:r>
          </w:p>
          <w:p>
            <w:pPr>
              <w:spacing w:after="2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30"/>
              <w:left w:type="dxa" w:w="100"/>
              <w:bottom w:type="dxa" w:w="30"/>
              <w:right w:type="dxa" w:w="100"/>
            </w:tcMar>
          </w:tcPr>
          <w:p>
            <w:pPr>
              <w:spacing w:after="20" w:line="240"/>
            </w:pPr>
            <w:r>
              <w:rPr>
                <w:b/>
                <w:bCs/>
                <w:sz w:val="16"/>
                <w:szCs w:val="16"/>
              </w:rPr>
              <w:t xml:space="preserve">A9.1 </w:t>
            </w:r>
            <w:r>
              <w:rPr>
                <w:sz w:val="16"/>
                <w:szCs w:val="16"/>
              </w:rPr>
              <w:t xml:space="preserve">Best-effort delivery permits loss.</w:t>
            </w:r>
          </w:p>
          <w:p>
            <w:pPr>
              <w:spacing w:after="2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30"/>
              <w:left w:type="dxa" w:w="100"/>
              <w:bottom w:type="dxa" w:w="30"/>
              <w:right w:type="dxa" w:w="100"/>
            </w:tcMar>
          </w:tcPr>
          <w:p>
            <w:pPr>
              <w:spacing w:after="20" w:line="240"/>
            </w:pPr>
            <w:r>
              <w:rPr>
                <w:sz w:val="16"/>
                <w:szCs w:val="16"/>
              </w:rPr>
              <w:t xml:space="preserve">A9.1 — </w:t>
            </w:r>
            <w:r>
              <w:rPr>
                <w:b/>
                <w:bCs/>
                <w:sz w:val="16"/>
                <w:szCs w:val="16"/>
              </w:rPr>
              <w:t xml:space="preserve">Supported by SRS</w:t>
            </w:r>
            <w:r>
              <w:rPr>
                <w:sz w:val="16"/>
                <w:szCs w:val="16"/>
              </w:rPr>
              <w:t xml:space="preserve"> (2.4.1 states this directly).</w:t>
            </w:r>
          </w:p>
          <w:p>
            <w:pPr>
              <w:spacing w:after="20" w:line="240"/>
            </w:pPr>
            <w:r>
              <w:rPr>
                <w:sz w:val="16"/>
                <w:szCs w:val="16"/>
              </w:rPr>
              <w:t xml:space="preserve">A9.2 — </w:t>
            </w:r>
            <w:r>
              <w:rPr>
                <w:b/>
                <w:bCs/>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30"/>
              <w:left w:type="dxa" w:w="100"/>
              <w:bottom w:type="dxa" w:w="30"/>
              <w:right w:type="dxa" w:w="100"/>
            </w:tcMar>
          </w:tcPr>
          <w:p>
            <w:pPr>
              <w:spacing w:after="20" w:line="240"/>
            </w:pPr>
            <w:r>
              <w:rPr>
                <w:b/>
                <w:bCs/>
                <w:sz w:val="16"/>
                <w:szCs w:val="16"/>
              </w:rPr>
              <w:t xml:space="preserve">2.4.2</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Security</w:t>
            </w:r>
          </w:p>
          <w:p>
            <w:pPr>
              <w:spacing w:after="20" w:line="240"/>
            </w:pPr>
            <w:r>
              <w:rPr>
                <w:i/>
                <w:iCs/>
                <w:sz w:val="14"/>
                <w:szCs w:val="14"/>
              </w:rPr>
              <w:t xml:space="preserve">(ISO/IEC 25010: Security / Confidentiality)</w:t>
            </w:r>
          </w:p>
        </w:tc>
        <w:tc>
          <w:tcPr>
            <w:tcW w:type="dxa" w:w="2900"/>
            <w:tcMar>
              <w:top w:type="dxa" w:w="30"/>
              <w:left w:type="dxa" w:w="100"/>
              <w:bottom w:type="dxa" w:w="30"/>
              <w:right w:type="dxa" w:w="100"/>
            </w:tcMar>
          </w:tcPr>
          <w:p>
            <w:pPr>
              <w:spacing w:after="2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30"/>
              <w:left w:type="dxa" w:w="100"/>
              <w:bottom w:type="dxa" w:w="30"/>
              <w:right w:type="dxa" w:w="100"/>
            </w:tcMar>
          </w:tcPr>
          <w:p>
            <w:pPr>
              <w:spacing w:after="2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20" w:line="240"/>
            </w:pPr>
            <w:r>
              <w:rPr>
                <w:sz w:val="16"/>
                <w:szCs w:val="16"/>
              </w:rPr>
              <w:t xml:space="preserve">Also taken from §2.4 Constraints, for the same reason as 2.4.1.</w:t>
            </w:r>
          </w:p>
          <w:p>
            <w:pPr>
              <w:spacing w:after="2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30"/>
              <w:left w:type="dxa" w:w="100"/>
              <w:bottom w:type="dxa" w:w="30"/>
              <w:right w:type="dxa" w:w="100"/>
            </w:tcMar>
          </w:tcPr>
          <w:p>
            <w:pPr>
              <w:spacing w:after="20" w:line="240"/>
            </w:pPr>
            <w:r>
              <w:rPr>
                <w:b/>
                <w:bCs/>
                <w:sz w:val="16"/>
                <w:szCs w:val="16"/>
              </w:rPr>
              <w:t xml:space="preserve">A10.1 </w:t>
            </w:r>
            <w:r>
              <w:rPr>
                <w:sz w:val="16"/>
                <w:szCs w:val="16"/>
              </w:rPr>
              <w:t xml:space="preserve">A standard symmetric algorithm is acceptable for this project; AES-256-GCM was chosen.</w:t>
            </w:r>
          </w:p>
          <w:p>
            <w:pPr>
              <w:spacing w:after="2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30"/>
              <w:left w:type="dxa" w:w="100"/>
              <w:bottom w:type="dxa" w:w="30"/>
              <w:right w:type="dxa" w:w="100"/>
            </w:tcMar>
          </w:tcPr>
          <w:p>
            <w:pPr>
              <w:spacing w:after="20" w:line="240"/>
            </w:pPr>
            <w:r>
              <w:rPr>
                <w:sz w:val="16"/>
                <w:szCs w:val="16"/>
              </w:rPr>
              <w:t xml:space="preserve">A10.1 — </w:t>
            </w:r>
            <w:r>
              <w:rPr>
                <w:b/>
                <w:bCs/>
                <w:sz w:val="16"/>
                <w:szCs w:val="16"/>
              </w:rPr>
              <w:t xml:space="preserve">Design decision</w:t>
            </w:r>
            <w:r>
              <w:rPr>
                <w:sz w:val="16"/>
                <w:szCs w:val="16"/>
              </w:rPr>
              <w:t xml:space="preserve">. The SRS names no algorithm or key length, so the choice is ours and is not SRS-backed.</w:t>
            </w:r>
          </w:p>
          <w:p>
            <w:pPr>
              <w:spacing w:after="20" w:line="240"/>
            </w:pPr>
            <w:r>
              <w:rPr>
                <w:sz w:val="16"/>
                <w:szCs w:val="16"/>
              </w:rPr>
              <w:t xml:space="preserve">A10.2 — </w:t>
            </w:r>
            <w:r>
              <w:rPr>
                <w:b/>
                <w:bCs/>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Two of the three NFRs (2.4.1, 2.4.2) come from the SRS's Constraints section rather than §3.2; the third (3.2.6.1) sits inside §3.2 but is reclassified here as non-functional. All three constrain a quality property rather than specify a function, and each is anchored to an ISO/IEC 25010 characteristic in the Type column so the classification rests on a recognised model, not our own assertion.</w:t>
      </w:r>
    </w:p>
    <w:p>
      <w:pPr>
        <w:spacing w:after="120" w:before="0" w:line="276"/>
      </w:pPr>
      <w:r>
        <w:rPr>
          <w:b/>
          <w:bCs/>
          <w:sz w:val="20"/>
          <w:szCs w:val="20"/>
        </w:rPr>
        <w:t xml:space="preserve">Note 2 — SRS coverage outside §3.2. </w:t>
      </w:r>
      <w:r>
        <w:rPr>
          <w:sz w:val="20"/>
          <w:szCs w:val="20"/>
        </w:rPr>
        <w:t>Two clauses outside §3.2 bear on this scope. Product function 2.2.4 ("allow agents to choose among unicast, multicast and broadcast communication") is satisfied compositionally by FR1, FR3, and FR4 plus the harness's mode selection; it has no independent numbered requirement. Constraint 2.4.3 (router/NIC/OS multicast support) isn't a selected requirement, but is a hard precondition for every multicast test; where unmet, cases are blocked rather than failed, not counted as failures.</w:t>
      </w:r>
    </w:p>
    <w:p>
      <w:pPr>
        <w:spacing w:after="120" w:before="0" w:line="276"/>
      </w:pPr>
      <w:r>
        <w:rPr>
          <w:b/>
          <w:bCs/>
          <w:sz w:val="20"/>
          <w:szCs w:val="20"/>
        </w:rPr>
        <w:t xml:space="preserve">Note 3 — The interface is a test harness, not an SRS requirement. </w:t>
      </w:r>
      <w:r>
        <w:rPr>
          <w:sz w:val="20"/>
          <w:szCs w:val="20"/>
        </w:rPr>
        <w:t>The SRS describes a developer framework (§2.1) for users who know Java, OOP, and the MaSE methodology (§2.3); it contains no interface requirements. The GUI built for this assignment exists only to satisfy the observability requirement, not any SRS clause: it is a test harness over the framework. No expected result in Part 3 is asserted about the harness itself; every expected result is about framework behaviour observed through it.</w:t>
      </w:r>
      <w:r>
        <w:rPr>
          <w:i/>
          <w:iCs/>
          <w:sz w:val="20"/>
          <w:szCs w:val="20"/>
        </w:rPr>
      </w:r>
      <w:r>
        <w:rPr>
          <w:sz w:val="20"/>
          <w:szCs w:val="20"/>
        </w:rPr>
      </w:r>
    </w:p>
    <w:p>
      <w:pPr>
        <w:spacing w:after="120" w:before="0" w:line="276"/>
      </w:pPr>
      <w:r>
        <w:rPr>
          <w:b/>
          <w:bCs/>
          <w:sz w:val="20"/>
          <w:szCs w:val="20"/>
        </w:rPr>
        <w:t xml:space="preserve">Note 4 — Transcription of SRS identifiers and wording. </w:t>
      </w:r>
      <w:r>
        <w:rPr>
          <w:sz w:val="20"/>
          <w:szCs w:val="20"/>
        </w:rPr>
        <w:t>† Requirement 3.2.3.3 is printed as "3.3.3.3" in SRS v1.1 (a numbering typo); we cite it as 3.2.3.3 and record the discrepancy rather than silently correcting it. Two further transcription quirks are preserved as written: 3.2.3.1 reads "ability to sent broadcast message," and 3.2.5.1 reads "agentMom with shall support." Requirement wording is quoted verbatim wherever exact phrasing carries weight, notably 3.2.3.3 ("sent to," not "reach") and 2.4.1 ("all specified agents or none," a binary statement), since paraphrasing either would make the corresponding tests indefensible.</w:t>
      </w:r>
      <w:r>
        <w:rPr>
          <w:i/>
          <w:iCs/>
          <w:sz w:val="20"/>
          <w:szCs w:val="20"/>
        </w:rPr>
      </w:r>
      <w:r>
        <w:rPr>
          <w:sz w:val="20"/>
          <w:szCs w:val="20"/>
        </w:rPr>
      </w:r>
      <w:r>
        <w:rPr>
          <w:i/>
          <w:iCs/>
          <w:sz w:val="20"/>
          <w:szCs w:val="20"/>
        </w:rPr>
      </w:r>
      <w:r>
        <w:rPr>
          <w:sz w:val="20"/>
          <w:szCs w:val="20"/>
        </w:rPr>
      </w:r>
    </w:p>
    <w:p>
      <w:pPr>
        <w:spacing w:after="120" w:before="0" w:line="276"/>
      </w:pPr>
      <w:r>
        <w:rPr>
          <w:b/>
          <w:bCs/>
          <w:sz w:val="20"/>
          <w:szCs w:val="20"/>
        </w:rPr>
        <w:t xml:space="preserve">Note 5 — Intended test basis for the system-level tests. </w:t>
      </w:r>
      <w:r>
        <w:rPr>
          <w:sz w:val="20"/>
          <w:szCs w:val="20"/>
        </w:rPr>
        <w:t>Section 3.1 of the SRS supplies four use cases with figures (join/leave a multicast group; send/receive unicast; send/receive multicast; send/receive broadcast). These are the intended basis for Part 3's manual system-level tests, since their expected results come directly from the SRS rather than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tcMar>
              <w:top w:type="dxa" w:w="30"/>
              <w:left w:type="dxa" w:w="100"/>
              <w:bottom w:type="dxa" w:w="30"/>
              <w:right w:type="dxa" w:w="100"/>
            </w:tcMar>
          </w:tcPr>
          <w:p>
            <w:pPr>
              <w:spacing w:after="20" w:line="240"/>
            </w:pPr>
            <w:r>
              <w:rPr>
                <w:b/>
                <w:bCs/>
                <w:sz w:val="17"/>
                <w:szCs w:val="17"/>
              </w:rPr>
              <w:t xml:space="preserve">NFR</w:t>
            </w:r>
          </w:p>
        </w:tc>
        <w:tc>
          <w:tcPr>
            <w:tcW w:type="dxa" w:w="2600"/>
            <w:tcMar>
              <w:top w:type="dxa" w:w="30"/>
              <w:left w:type="dxa" w:w="100"/>
              <w:bottom w:type="dxa" w:w="30"/>
              <w:right w:type="dxa" w:w="100"/>
            </w:tcMar>
          </w:tcPr>
          <w:p>
            <w:pPr>
              <w:spacing w:after="20" w:line="240"/>
            </w:pPr>
            <w:r>
              <w:rPr>
                <w:b/>
                <w:bCs/>
                <w:sz w:val="17"/>
                <w:szCs w:val="17"/>
              </w:rPr>
              <w:t xml:space="preserve">Why it is not falsifiable as written</w:t>
            </w:r>
          </w:p>
        </w:tc>
        <w:tc>
          <w:tcPr>
            <w:tcW w:type="dxa" w:w="2800"/>
            <w:tcMar>
              <w:top w:type="dxa" w:w="30"/>
              <w:left w:type="dxa" w:w="100"/>
              <w:bottom w:type="dxa" w:w="30"/>
              <w:right w:type="dxa" w:w="100"/>
            </w:tcMar>
          </w:tcPr>
          <w:p>
            <w:pPr>
              <w:spacing w:after="20" w:line="240"/>
            </w:pPr>
            <w:r>
              <w:rPr>
                <w:b/>
                <w:bCs/>
                <w:sz w:val="17"/>
                <w:szCs w:val="17"/>
              </w:rPr>
              <w:t xml:space="preserve">Falsifiable surrogate we will evaluate</w:t>
            </w:r>
          </w:p>
        </w:tc>
        <w:tc>
          <w:tcPr>
            <w:tcW w:type="dxa" w:w="3206"/>
            <w:tcMar>
              <w:top w:type="dxa" w:w="30"/>
              <w:left w:type="dxa" w:w="100"/>
              <w:bottom w:type="dxa" w:w="30"/>
              <w:right w:type="dxa" w:w="100"/>
            </w:tcMar>
          </w:tcPr>
          <w:p>
            <w:pPr>
              <w:spacing w:after="20" w:line="240"/>
            </w:pPr>
            <w:r>
              <w:rPr>
                <w:b/>
                <w:bCs/>
                <w:sz w:val="17"/>
                <w:szCs w:val="17"/>
              </w:rPr>
              <w:t xml:space="preserve">Limitation to be declared in Part 3</w:t>
            </w:r>
          </w:p>
        </w:tc>
      </w:tr>
      <w:tr>
        <w:tc>
          <w:tcPr>
            <w:tcW w:type="dxa" w:w="1300"/>
            <w:tcMar>
              <w:top w:type="dxa" w:w="30"/>
              <w:left w:type="dxa" w:w="100"/>
              <w:bottom w:type="dxa" w:w="30"/>
              <w:right w:type="dxa" w:w="100"/>
            </w:tcMar>
          </w:tcPr>
          <w:p>
            <w:pPr>
              <w:spacing w:after="20" w:line="240"/>
            </w:pPr>
            <w:r>
              <w:rPr>
                <w:b/>
                <w:bCs/>
                <w:sz w:val="16"/>
                <w:szCs w:val="16"/>
              </w:rPr>
              <w:t xml:space="preserve">NFR 3.2.6.1</w:t>
            </w:r>
          </w:p>
          <w:p>
            <w:pPr>
              <w:spacing w:after="20" w:line="240"/>
            </w:pPr>
            <w:r>
              <w:rPr>
                <w:sz w:val="16"/>
                <w:szCs w:val="16"/>
              </w:rPr>
              <w:t xml:space="preserve">Compatibility</w:t>
            </w:r>
          </w:p>
        </w:tc>
        <w:tc>
          <w:tcPr>
            <w:tcW w:type="dxa" w:w="2600"/>
            <w:tcMar>
              <w:top w:type="dxa" w:w="30"/>
              <w:left w:type="dxa" w:w="100"/>
              <w:bottom w:type="dxa" w:w="30"/>
              <w:right w:type="dxa" w:w="100"/>
            </w:tcMar>
          </w:tcPr>
          <w:p>
            <w:pPr>
              <w:spacing w:after="20" w:line="240"/>
            </w:pPr>
            <w:r>
              <w:rPr>
                <w:sz w:val="16"/>
                <w:szCs w:val="16"/>
              </w:rPr>
              <w:t xml:space="preserve">Requires compatibility with an artifact we do not possess, in a language we are not using (2.1, 2.1.1).</w:t>
            </w:r>
          </w:p>
        </w:tc>
        <w:tc>
          <w:tcPr>
            <w:tcW w:type="dxa" w:w="2800"/>
            <w:tcMar>
              <w:top w:type="dxa" w:w="30"/>
              <w:left w:type="dxa" w:w="100"/>
              <w:bottom w:type="dxa" w:w="30"/>
              <w:right w:type="dxa" w:w="100"/>
            </w:tcMar>
          </w:tcPr>
          <w:p>
            <w:pPr>
              <w:spacing w:after="2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30"/>
              <w:left w:type="dxa" w:w="100"/>
              <w:bottom w:type="dxa" w:w="30"/>
              <w:right w:type="dxa" w:w="100"/>
            </w:tcMar>
          </w:tcPr>
          <w:p>
            <w:pPr>
              <w:spacing w:after="2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30"/>
              <w:left w:type="dxa" w:w="100"/>
              <w:bottom w:type="dxa" w:w="30"/>
              <w:right w:type="dxa" w:w="100"/>
            </w:tcMar>
          </w:tcPr>
          <w:p>
            <w:pPr>
              <w:spacing w:after="20" w:line="240"/>
            </w:pPr>
            <w:r>
              <w:rPr>
                <w:b/>
                <w:bCs/>
                <w:sz w:val="16"/>
                <w:szCs w:val="16"/>
              </w:rPr>
              <w:t xml:space="preserve">NFR 2.4.1</w:t>
            </w:r>
          </w:p>
          <w:p>
            <w:pPr>
              <w:spacing w:after="20" w:line="240"/>
            </w:pPr>
            <w:r>
              <w:rPr>
                <w:sz w:val="16"/>
                <w:szCs w:val="16"/>
              </w:rPr>
              <w:t xml:space="preserve">Reliability</w:t>
            </w:r>
          </w:p>
        </w:tc>
        <w:tc>
          <w:tcPr>
            <w:tcW w:type="dxa" w:w="2600"/>
            <w:tcMar>
              <w:top w:type="dxa" w:w="30"/>
              <w:left w:type="dxa" w:w="100"/>
              <w:bottom w:type="dxa" w:w="30"/>
              <w:right w:type="dxa" w:w="100"/>
            </w:tcMar>
          </w:tcPr>
          <w:p>
            <w:pPr>
              <w:spacing w:after="20" w:line="240"/>
            </w:pPr>
            <w:r>
              <w:rPr>
                <w:sz w:val="16"/>
                <w:szCs w:val="16"/>
              </w:rPr>
              <w:t xml:space="preserve">Delivery to "all specified agents or none" is satisfied by every possible observation, so no test can fail.</w:t>
            </w:r>
          </w:p>
        </w:tc>
        <w:tc>
          <w:tcPr>
            <w:tcW w:type="dxa" w:w="2800"/>
            <w:tcMar>
              <w:top w:type="dxa" w:w="30"/>
              <w:left w:type="dxa" w:w="100"/>
              <w:bottom w:type="dxa" w:w="30"/>
              <w:right w:type="dxa" w:w="100"/>
            </w:tcMar>
          </w:tcPr>
          <w:p>
            <w:pPr>
              <w:spacing w:after="20" w:line="240"/>
            </w:pPr>
            <w:r>
              <w:rPr>
                <w:sz w:val="16"/>
                <w:szCs w:val="16"/>
              </w:rPr>
              <w:t xml:space="preserve">No acknowledgement, retry or resend path exists anywhere on the multicast or broadcast paths, and a dropped datagram is never retransmitted.</w:t>
            </w:r>
          </w:p>
        </w:tc>
        <w:tc>
          <w:tcPr>
            <w:tcW w:type="dxa" w:w="3206"/>
            <w:tcMar>
              <w:top w:type="dxa" w:w="30"/>
              <w:left w:type="dxa" w:w="100"/>
              <w:bottom w:type="dxa" w:w="30"/>
              <w:right w:type="dxa" w:w="100"/>
            </w:tcMar>
          </w:tcPr>
          <w:p>
            <w:pPr>
              <w:spacing w:after="2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30"/>
              <w:left w:type="dxa" w:w="100"/>
              <w:bottom w:type="dxa" w:w="30"/>
              <w:right w:type="dxa" w:w="100"/>
            </w:tcMar>
          </w:tcPr>
          <w:p>
            <w:pPr>
              <w:spacing w:after="20" w:line="240"/>
            </w:pPr>
            <w:r>
              <w:rPr>
                <w:b/>
                <w:bCs/>
                <w:sz w:val="16"/>
                <w:szCs w:val="16"/>
              </w:rPr>
              <w:t xml:space="preserve">NFR 2.4.2</w:t>
            </w:r>
          </w:p>
          <w:p>
            <w:pPr>
              <w:spacing w:after="20" w:line="240"/>
            </w:pPr>
            <w:r>
              <w:rPr>
                <w:sz w:val="16"/>
                <w:szCs w:val="16"/>
              </w:rPr>
              <w:t xml:space="preserve">Security</w:t>
            </w:r>
          </w:p>
        </w:tc>
        <w:tc>
          <w:tcPr>
            <w:tcW w:type="dxa" w:w="2600"/>
            <w:tcMar>
              <w:top w:type="dxa" w:w="30"/>
              <w:left w:type="dxa" w:w="100"/>
              <w:bottom w:type="dxa" w:w="30"/>
              <w:right w:type="dxa" w:w="100"/>
            </w:tcMar>
          </w:tcPr>
          <w:p>
            <w:pPr>
              <w:spacing w:after="20" w:line="240"/>
            </w:pPr>
            <w:r>
              <w:rPr>
                <w:sz w:val="16"/>
                <w:szCs w:val="16"/>
              </w:rPr>
              <w:t xml:space="preserve">The clause explicitly disclaims any guarantee, so nothing is promised and nothing can be checked against it.</w:t>
            </w:r>
          </w:p>
        </w:tc>
        <w:tc>
          <w:tcPr>
            <w:tcW w:type="dxa" w:w="2800"/>
            <w:tcMar>
              <w:top w:type="dxa" w:w="30"/>
              <w:left w:type="dxa" w:w="100"/>
              <w:bottom w:type="dxa" w:w="30"/>
              <w:right w:type="dxa" w:w="100"/>
            </w:tcMar>
          </w:tcPr>
          <w:p>
            <w:pPr>
              <w:spacing w:after="2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30"/>
              <w:left w:type="dxa" w:w="100"/>
              <w:bottom w:type="dxa" w:w="30"/>
              <w:right w:type="dxa" w:w="100"/>
            </w:tcMar>
          </w:tcPr>
          <w:p>
            <w:pPr>
              <w:spacing w:after="2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the SRS specifies a developer framework with no interface requirements of its own, so the harness exists solely to satisfy this assignment's observability requirement.) It ships one page per functional area: Unicast.tsx, Multicast.tsx, Broadcast.tsx, Security.tsx (unicast and multicast encryption), Compatibility.tsx (NFR8), Architecture.tsx (FR7 conversation-control switch), Admin.tsx (agent/group management across the four-agent demo topology), and Dashboard.tsx (live event log / topology view). Each page issues real actions against a live four-agent OS-process topology (agent-A…D, mirroring SRS Figures 1–4) through a control-plane REST + WebSocket API, and renders the actual result returned: a delivered or dropped message, a PROTOCOL_VIOLATION, a MESSAGE_DROPPED_TTL_EXPIRED, a BROADCAST_PERMISSION_DENIED, whatever actually happened, not a simulated or mocked outcome.</w:t>
      </w:r>
    </w:p>
    <w:p>
      <w:r>
        <w:rPr>
          <w:b w:val="0"/>
          <w:i w:val="0"/>
        </w:rPr>
        <w:t>Every one of the ten requirements is reachable through the harness: FR1-FR4 on their respective pages, FR5-FR6 on the Security page, FR7 via the Architecture page's runtime switch, NFR8 on the Compatibility page, NFR9 as the absence of retry/acknowledgement behaviour on dropped datagrams, and NFR10 as a documentation discipline not asserted on-screen. The complete requirement-to-module-to-test mapping is in FEATURE-MAP.md.</w:t>
      </w:r>
    </w:p>
    <w:p>
      <w:r>
        <w:rPr>
          <w:b w:val="0"/>
          <w:i w:val="0"/>
        </w:rPr>
        <w:t>The baseline was frozen before any SonarQube or test evidence was collected. The frozen application code sits at commit e79b197 (recorded in evidence/BASELINE_TAG_HASH.txt, per the project's own freeze convention in scripts/freeze-baseline.sh); the SonarQube scan in Part 3.A was run one commit later, at tag baseline-v1-sonar (72aedfb), which only updates the recorded evidence pointer and adds no application code. No source file under packages/ was altered between these two commits.</w:t>
      </w:r>
    </w:p>
    <w:p>
      <w:r>
        <w:rPr>
          <w:b w:val="0"/>
          <w:i w:val="0"/>
        </w:rPr>
        <w:t>Setup and run instructions are documented in full in README.md and oneliner how to run.txt, and are not repeated here. In summary: npm install (Node.js ≥ 20), npm run build (builds packages/core, packages/agent, packages/control-plane), then bash runsystem.sh, a single script that frees the required ports (4000, 5173, 7001–7004, 5007/5008, 9001). It builds, starts the control plane on :4000 with the four-agent demo topology (agent-A…D), and starts the harness at http://localhost:5173. Ctrl-C stops the control plane, all forked agents, and the harness.</w:t>
      </w:r>
    </w:p>
    <w:p>
      <w:r>
        <w:rPr>
          <w:b w:val="0"/>
          <w:i w:val="0"/>
        </w:rPr>
        <w:t>The implementation was produced through AI-assisted development against a locked, human-authored plan (docs/agentmom-implementation-plan-v2.md) derived from the SRS. Two material deviations from that plan were introduced during development and are declared in full in DEVIATIONS.md: the runtime is Node.js/TypeScript rather than the SRS-specified Java 1.4.0 (D-1, tied to assumption A8.2 and the Compatibility NFR's declared limitation), and the harness is Vite + React rather than the plan's original Next.js choice, adopted specifically to keep unrelated framework scaffolding out of the SonarQube scan so Part 3.A's finding selection would stay meaningful (D-2). The complete register of AI-introduced assumptions (24 entries, each labelled supported-by-SRS, design-decision, or unsupported, with a comment anchor in the corresponding source file) is maintained in ASSUMPTIONS.md, and is the single source of truth Part 1's table is derived from. It does not drift independently of the code: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The scan used sonar-scanner CLI 6.2.1.4610, run from the repository root. sonar-project.properties scopes the analysis to all four workspace packages' src and tests in full (packages/core, packages/agent, packages/control-plane, packages/web); no file or package was hand-picked or omitted, and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t>Reported metrics: Lines of Code 3,289; Quality Gate Passed; Security rating B (19 open issues, all Low severity);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also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 Non-deterministic sort in the crypto module</w:t>
              <w:br/>
              <w:t>(Reliability — Bug, Critical, rule S2871)</w:t>
            </w:r>
          </w:p>
        </w:tc>
        <w:tc>
          <w:tcPr>
            <w:tcW w:type="dxa" w:w="2476"/>
          </w:tcPr>
          <w:p>
            <w:r/>
            <w:r>
              <w:rPr>
                <w:b w:val="0"/>
              </w:rPr>
              <w:t>packages/core/src/crypto/symmetric.ts:59 —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 this affects correctness, not just style.</w:t>
            </w:r>
          </w:p>
        </w:tc>
      </w:tr>
      <w:tr>
        <w:tc>
          <w:tcPr>
            <w:tcW w:type="dxa" w:w="2476"/>
          </w:tcPr>
          <w:p>
            <w:r/>
            <w:r>
              <w:rPr>
                <w:b w:val="0"/>
              </w:rPr>
              <w:t>F2 — Missing table header semantics on the Admin page</w:t>
              <w:br/>
              <w:t>(Reliability — Bug, Major, rule S5256 (accessibility, wcag2.1-a))</w:t>
            </w:r>
          </w:p>
        </w:tc>
        <w:tc>
          <w:tcPr>
            <w:tcW w:type="dxa" w:w="2476"/>
          </w:tcPr>
          <w:p>
            <w:r/>
            <w:r>
              <w:rPr>
                <w:b w:val="0"/>
              </w:rPr>
              <w:t>packages/web/src/pages/Admin.tsx:47 —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 Multicast group address duplicated as a literal across four files</w:t>
              <w:br/>
              <w:t>(Security —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 Ambiguous JSX spacing repeated across every harness page</w:t>
              <w:br/>
              <w:t>(Reliability / Maintainability —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 a Sonar flag alone is not a confirmed defect (Part 4).</w:t>
            </w:r>
          </w:p>
        </w:tc>
      </w:tr>
      <w:tr>
        <w:tc>
          <w:tcPr>
            <w:tcW w:type="dxa" w:w="2476"/>
          </w:tcPr>
          <w:p>
            <w:r/>
            <w:r>
              <w:rPr>
                <w:b w:val="0"/>
              </w:rPr>
              <w:t>F5 — Component props not marked readonly, systemic across the web package</w:t>
              <w:br/>
              <w:t>(Maintainability —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 no legacy signature was changed —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t>Relevant, but narrow —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 the tool's silence here is a limitation of the tool, not evidence of security.</w:t>
            </w:r>
          </w:p>
        </w:tc>
      </w:tr>
    </w:tbl>
    <w:p/>
    <w:p>
      <w:r>
        <w:t>Evidence retained: full JSON export of all 71 issues (api/issues/search), the empty hotspots result (api/hotspots/search), and the summary measures export (api/measures/component)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no file under packages/ was changed to produce this evidence. Full raw evidence is in evidence/test-execution/.</w:t>
      </w:r>
    </w:p>
    <w:p>
      <w:r>
        <w:rPr>
          <w:b/>
          <w:i w:val="0"/>
          <w:sz w:val="24"/>
        </w:rPr>
        <w:t>Table A — Test Condition Record</w:t>
      </w:r>
    </w:p>
    <w:p>
      <w:r>
        <w:rPr>
          <w:b w:val="0"/>
          <w:i w:val="0"/>
        </w:rPr>
        <w:t>Conditions derived from all 7 FRs are recorded in full in TEST-CONDITIONS.md (54 total); the 24 rows below back the 15 executed test cases.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 Test Case Record</w:t>
      </w:r>
    </w:p>
    <w:p>
      <w:r>
        <w:rPr>
          <w:b w:val="0"/>
          <w:i w:val="0"/>
        </w:rPr>
        <w:t>Executed 2026-09-07 against the frozen baseline (e79b197), single-host test bed. Automated cases: npm test, log in evidence/test-execution/npm-test-output-verbose.txt (217/217 green). Manual cases: driven live through the harness (bash runsystem.sh), screenshots in evidence/test-execution/. Category minimums met: boundary (TC-03, TC-05, TC-07 - 3 of 2 required), invalid/error (TC-09, TC-12, TC-14 - 3 of 2), manual system-level (TC-01, TC-04, TC-10, TC-11, TC-15 - 5 of 3), genuine FAILED/BLOCKED (TC-08, TC-11 - 2 of 2).</w:t>
      </w:r>
    </w:p>
    <w:p>
      <w:r>
        <w:rPr>
          <w:b/>
          <w:i w:val="0"/>
          <w:sz w:val="21"/>
        </w:rPr>
        <w:t>TC-01 —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 Unicast delivery, SRS Use Case 2</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COND-10 (SRS UC2) + COND-04 (3.2.1.1/.2) —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 Unicast addressing isolation</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COND-06 (3.2.1.3) + COND-05 (BR-01) —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 npm-test-output-verbose.txt</w:t>
            </w:r>
          </w:p>
        </w:tc>
      </w:tr>
    </w:tbl>
    <w:p/>
    <w:p>
      <w:r>
        <w:rPr>
          <w:b/>
          <w:i w:val="0"/>
          <w:sz w:val="21"/>
        </w:rPr>
        <w:t>TC-03 —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 Ordered delivery of a 50-message burst</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COND-07 (3.2.1.4) + COND-08 (BR-03) —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 npm-test-output-verbose.txt</w:t>
            </w:r>
          </w:p>
        </w:tc>
      </w:tr>
    </w:tbl>
    <w:p/>
    <w:p>
      <w:r>
        <w:rPr>
          <w:b/>
          <w:i w:val="0"/>
          <w:sz w:val="21"/>
        </w:rPr>
        <w:t>TC-04 —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 Multicast join/leave, SRS Use Case 1</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COND-17 (SRS UC1) + COND-11 (3.2.2.3) —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 envelope 4c3289fb… received by A, B, C, D. After leave —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 Leave/inject race (BR-06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COND-18 (BR-06) + COND-13 —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 npm-test-output-verbose.txt</w:t>
            </w:r>
          </w:p>
        </w:tc>
      </w:tr>
    </w:tbl>
    <w:p/>
    <w:p>
      <w:r>
        <w:rPr>
          <w:b/>
          <w:i w:val="0"/>
          <w:sz w:val="21"/>
        </w:rPr>
        <w:t>TC-06 —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 Multi-group attribution</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COND-16 (3.2.2.9 / BR-07) —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 npm-test-output-verbose.txt</w:t>
            </w:r>
          </w:p>
        </w:tc>
      </w:tr>
    </w:tbl>
    <w:p/>
    <w:p>
      <w:r>
        <w:rPr>
          <w:b/>
          <w:i w:val="0"/>
          <w:sz w:val="21"/>
        </w:rPr>
        <w:t>TC-07 —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 TTL expiry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COND-19 (BR-09, exact boundary ttl=1 vs ttl=0) + COND-21 —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 npm-test-output-verbose.txt</w:t>
            </w:r>
          </w:p>
        </w:tc>
      </w:tr>
    </w:tbl>
    <w:p/>
    <w:p>
      <w:r>
        <w:rPr>
          <w:b/>
          <w:i w:val="0"/>
          <w:sz w:val="21"/>
        </w:rPr>
        <w:t>TC-08 — OS-level TTL confinement (SRS §1.3) —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 OS-level TTL confinement (SRS §1.3) — deliberately expected FAILED</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COND-22 —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 npm-test-output-verbose.txt</w:t>
            </w:r>
          </w:p>
        </w:tc>
      </w:tr>
    </w:tbl>
    <w:p/>
    <w:p>
      <w:r>
        <w:rPr>
          <w:b/>
          <w:i w:val="0"/>
          <w:sz w:val="21"/>
        </w:rPr>
        <w:t>TC-09 —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 Multicast address range validation</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COND-24 (BR-10) —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 npm-test-output-verbose.txt</w:t>
            </w:r>
          </w:p>
        </w:tc>
      </w:tr>
    </w:tbl>
    <w:p/>
    <w:p>
      <w:r>
        <w:rPr>
          <w:b/>
          <w:i w:val="0"/>
          <w:sz w:val="21"/>
        </w:rPr>
        <w:t>TC-10 —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 Broadcast delivery, SRS Use Case 4 (host-local)</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COND-29 (3.2.3.1/.2) + COND-33 (SRS UC4) —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 LAN-wide broadcast reach, SRS 3.2.3.3 —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 LAN-wide broadcast reach, SRS 3.2.3.3 — BLOCKED</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COND-30 —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 Malformed encrypted envelope</w:t>
            </w:r>
          </w:p>
        </w:tc>
      </w:tr>
      <w:tr>
        <w:tc>
          <w:tcPr>
            <w:tcW w:type="dxa" w:w="4953"/>
          </w:tcPr>
          <w:p>
            <w:r/>
            <w:r>
              <w:rPr>
                <w:b/>
                <w:sz w:val="18"/>
              </w:rPr>
              <w:t>Level / category</w:t>
            </w:r>
          </w:p>
        </w:tc>
        <w:tc>
          <w:tcPr>
            <w:tcW w:type="dxa" w:w="4953"/>
          </w:tcPr>
          <w:p>
            <w:r/>
            <w:r>
              <w:rPr>
                <w:sz w:val="18"/>
              </w:rPr>
              <w:t>Unit — automated, Invalid/error</w:t>
            </w:r>
          </w:p>
        </w:tc>
      </w:tr>
      <w:tr>
        <w:tc>
          <w:tcPr>
            <w:tcW w:type="dxa" w:w="4953"/>
          </w:tcPr>
          <w:p>
            <w:r/>
            <w:r>
              <w:rPr>
                <w:b/>
                <w:sz w:val="18"/>
              </w:rPr>
              <w:t>Test basis / objective</w:t>
            </w:r>
          </w:p>
        </w:tc>
        <w:tc>
          <w:tcPr>
            <w:tcW w:type="dxa" w:w="4953"/>
          </w:tcPr>
          <w:p>
            <w:r/>
            <w:r>
              <w:rPr>
                <w:sz w:val="18"/>
              </w:rPr>
              <w:t>COND-37 (BR-16) —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 BR-16 malformed crypto fields (TC-12 target) — npm-test-output-verbose.txt</w:t>
            </w:r>
          </w:p>
        </w:tc>
      </w:tr>
    </w:tbl>
    <w:p/>
    <w:p>
      <w:r>
        <w:rPr>
          <w:b/>
          <w:i w:val="0"/>
          <w:sz w:val="21"/>
        </w:rPr>
        <w:t>TC-13 —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 Per-message encryption opt-in + auto-decrypt</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COND-38 (BR-14) + COND-39 (3.2.4.4) —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 npm-test-output-verbose.txt; also shown live in TC-01-unicast-burst-success.png</w:t>
            </w:r>
          </w:p>
        </w:tc>
      </w:tr>
    </w:tbl>
    <w:p/>
    <w:p>
      <w:r>
        <w:rPr>
          <w:b/>
          <w:i w:val="0"/>
          <w:sz w:val="21"/>
        </w:rPr>
        <w:t>TC-14 —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 Key-request denial for a non-allow-listed agent</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COND-42 (BR-18) —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 npm-test-output-verbose.txt</w:t>
            </w:r>
          </w:p>
        </w:tc>
      </w:tr>
    </w:tbl>
    <w:p/>
    <w:p>
      <w:r>
        <w:rPr>
          <w:b/>
          <w:i w:val="0"/>
          <w:sz w:val="21"/>
        </w:rPr>
        <w:t>TC-15 —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 Live conversation-architecture switch</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 npm-test-output-verbose.txt</w:t>
            </w:r>
          </w:p>
        </w:tc>
      </w:tr>
    </w:tbl>
    <w:p/>
    <w:p>
      <w:r>
        <w:rPr>
          <w:b/>
          <w:i w:val="0"/>
          <w:sz w:val="24"/>
        </w:rPr>
        <w:t>Table C — Traceability Record</w:t>
      </w:r>
    </w:p>
    <w:p>
      <w:r>
        <w:rPr>
          <w:b w:val="0"/>
          <w:i w:val="0"/>
        </w:rPr>
        <w:t>Full 54-condition matrix. TC-nn = one of the 15 Table B cases above; other carriers are automated tests (all green,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 environment limitation)</w:t>
            </w:r>
          </w:p>
        </w:tc>
        <w:tc>
          <w:tcPr>
            <w:tcW w:type="dxa" w:w="1981"/>
          </w:tcPr>
          <w:p>
            <w:r/>
            <w:r>
              <w:rPr>
                <w:sz w:val="18"/>
              </w:rPr>
              <w:t>N/A —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produced a confirmed implementation defect;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That's because the test's assertion is about the observation itself (recording which agents received the confinement-violating datagram), not about confinement actually occurring. The SRS-level verdict is separate: judged against SRS §1.3's own definition of TTL (router hops before discard), confinement did not occur, so TC-08 is FAILED against the SRS's expected result, regardless of what the test runner's exit code says.</w:t>
      </w:r>
    </w:p>
    <w:p>
      <w:r>
        <w:rPr>
          <w:b/>
          <w:i w:val="0"/>
        </w:rPr>
        <w:t>5.2 Investigation of every FAILED/BLOCKED case</w:t>
      </w:r>
    </w:p>
    <w:p>
      <w:r>
        <w:rPr>
          <w:b/>
        </w:rPr>
        <w:t>TC-08 — FAILED.</w:t>
      </w:r>
      <w:r>
        <w:t xml:space="preserve"> Test setup, data, and environment checked: single physical machine, no router in the network path. Reproduced: yes, deterministically, every run (3 of 3 in this session, consistent with prior CI history). Root cause: SRS §1.3 defines TTL as a router-hop counter, and on same-host delivery no router is traversed, so the mechanism the SRS describes has nothing to act on. socket.setMulticastTTL() is called correctly (verified by code inspection). Verdict: not a defect, already declared in advance in DEVIATIONS.md D-5. The implementation matches the SRS; the test bed simply cannot exercise its router-hop scope.</w:t>
      </w:r>
    </w:p>
    <w:p>
      <w:r>
        <w:rPr>
          <w:b/>
        </w:rPr>
        <w:t>TC-11 — BLOCKED.</w:t>
      </w:r>
      <w:r>
        <w:t xml:space="preserve"> Precondition checked: verify-preconditions.sh confirms exactly one host, no peer reachable. Reproduced: not applicable, since a BLOCKED case cannot execute and there is nothing to reproduce. Root cause: the required precondition ('all possible hosts under the same local network' as an enumerable, testable set) does not exist on a single development machine. Verdict: not a defect, already declared in advance in ASSUMPTIONS.md A4.1/A4.2. TC-10 already confirms the send/receive logic is correct at the scale this test bed can exercise.</w:t>
      </w:r>
    </w:p>
    <w:p>
      <w:r>
        <w:rPr>
          <w:b/>
        </w:rPr>
        <w:t>F1 (SonarQube, Part 3.A) — symmetric.ts:59 implicit Array.sort().</w:t>
      </w:r>
      <w:r>
        <w:t xml:space="preserve"> Checked whether the sort feeds a hash: yes, derivePairwiseKey() sorts [agentA, agentB], joins them, and hashes the result. Investigated what 'implicit sort' means for ASCII agent-ID strings: JavaScript's default comparator sorts by UTF-16 code-unit order, which is deterministic and locale-independent (confirmed by crypto.test.ts COND-36, order-independence, passing every run). SonarQube's suggested fix (localeCompare) would actually make ordering locale-dependent, the opposite of what a hash canonicalization step needs. Verdict: not a defect. It's a true-positive static pattern that is functionally correct for this specific usage.</w:t>
      </w:r>
    </w:p>
    <w:p>
      <w:r>
        <w:rPr>
          <w:b/>
        </w:rPr>
        <w:t>F4 (SonarQube, Part 3.A) —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It's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(see §5.2). Per the assignment's own wording ('not every failure or blocker should become a Jira bug'), none of the four investigated candidates was logged as an open Bug, because none satisfies all four defect criteria: executed test, actual result different from expected, reproduced at least twice, and not already explained by a declared assumption or limitation. Each was instead logged in Jira as a closed, fully-documented investigation record (Task type; this project defines no Bug issue type), so the audit trail is verifiable in the tool the assignment requires, not only in this report.</w:t>
      </w:r>
    </w:p>
    <w:p>
      <w:r>
        <w:rPr>
          <w:b w:val="0"/>
          <w:i w:val="0"/>
        </w:rPr>
        <w:t>Jira project: Vexa Testing (KAN), https://muhammadbilaltahir.atlassian.net/jira/software/projects/KAN. Epic KAN-9 'SE3002 Assignment 01 — Defect Triage (Part 4)' groups four investigation records, each Done / Low priority, each carrying environment/build, preconditions, numbered reproduction steps, expected vs. actual result, reproducibility, severity/priority, the full investigation writeup, verdict, related test-case ID, and a comment linking to the exact source evidence in the repository: KAN-5 (TC-08), KAN-6 (TC-11), KAN-7 (SonarQube F1), KAN-8 (SonarQube F4). The same investigation content is mirrored in evidence/jira/DEFECT-TRIAGE.md for reviewers without Jira access.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 not a defect</w:t>
            </w:r>
          </w:p>
        </w:tc>
      </w:tr>
    </w:tbl>
    <w:p/>
    <w:p>
      <w:r>
        <w:rPr>
          <w:b w:val="0"/>
          <w:i/>
        </w:rPr>
        <w:t>0 of 4 investigated candidates met all four defect criteria: 0 open Bugs, 4 closed and fully-evidenced investigation records logged in Jira (KAN-5 through KAN-8) under Epic KAN-9.</w:t>
      </w:r>
    </w:p>
    <w:p>
      <w:r>
        <w:rPr>
          <w:b/>
          <w:i w:val="0"/>
        </w:rPr>
        <w:t>5.4 Final Quality Judgment</w:t>
      </w:r>
    </w:p>
    <w:p>
      <w:r>
        <w:rPr>
          <w:b w:val="0"/>
          <w:i w:val="0"/>
        </w:rPr>
        <w:t>The combined evidence supports a working implementation of the ten selected requirements. All 217 automated tests pass (unit, component, and integration, ~99.7% line coverage). SonarQube's Quality Gate passed against the complete frozen codebase, with the Reliability D rating driven almost entirely by one justified finding and a JSX-spacing pattern confirmed cosmetic, and Security effectively clean once the single repeated multicast-address pattern is discounted. All 15 designed test cases were executed with every required category met,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since none exists to compare against, and the implementation runs on Node rather than the SRS-specified Java 1.4. So the compatibility check is necessarily against a self-authored reconstruction (A8.2), not a limitation testing can close. NFR9's 'all or none' delivery wording admits no falsifiable pass/fail rate. NFR10 explicitly disclaims any decryption-resistance guarantee, so nothing was promised to test against there either. Three further assumptions are declared design-time stand-ins, not SRS-derived guarantees: deterministic pairwise unicast keys with no handshake (A5.2), no group-key rotation on leave (A6.2), and the limited-broadcast address choice (A4.1).</w:t>
      </w:r>
    </w:p>
    <w:p>
      <w:r>
        <w:rPr>
          <w:b w:val="0"/>
          <w:i w:val="0"/>
        </w:rPr>
        <w:t>AI-introduced assumptions materially shaped where confidence can and cannot be placed. A5.2 in particular is a real security-relevant design gap: a deterministic, handshake-free key. Neither SonarQube (which flagged the sort, not the absence of a handshake) nor functional testing (which only confirms the derivation is consistent, not that it is secure) can detect this,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over. This is not a claim about production readiness, real agentMom-1.2 interoperability, or LAN-scale broadcast;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rPr>
  </w:style>
  <w:style w:type="paragraph" w:styleId="Heading2">
    <w:name w:val="Heading 2"/>
    <w:basedOn w:val="Normal"/>
    <w:next w:val="Normal"/>
    <w:qFormat/>
    <w:rPr>
      <w:sz w:val="26"/>
      <w:szCs w:val="26"/>
    </w:rPr>
  </w:style>
  <w:style w:type="paragraph" w:styleId="Heading3">
    <w:name w:val="Heading 3"/>
    <w:basedOn w:val="Normal"/>
    <w:next w:val="Normal"/>
    <w:qFormat/>
    <w:rPr>
      <w:sz w:val="24"/>
      <w:szCs w:val="24"/>
    </w:rPr>
  </w:style>
  <w:style w:type="paragraph" w:styleId="Heading4">
    <w:name w:val="Heading 4"/>
    <w:basedOn w:val="Normal"/>
    <w:next w:val="Normal"/>
    <w:qFormat/>
    <w:rPr>
      <w:i/>
      <w:iCs/>
    </w:rPr>
  </w:style>
  <w:style w:type="paragraph" w:styleId="Heading5">
    <w:name w:val="Heading 5"/>
    <w:basedOn w:val="Normal"/>
    <w:next w:val="Normal"/>
    <w:qFormat/>
    <w:rPr/>
  </w:style>
  <w:style w:type="paragraph" w:styleId="Heading6">
    <w:name w:val="Heading 6"/>
    <w:basedOn w:val="Normal"/>
    <w:next w:val="Normal"/>
    <w:qFormat/>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uto" w:sz="6" w:space="4"/>
      </w:pBdr>
      <w:spacing w:after="160" w:before="320"/>
    </w:pPr>
    <w:rPr>
      <w:b/>
      <w:bCs/>
      <w:sz w:val="28"/>
      <w:szCs w:val="28"/>
    </w:rPr>
  </w:style>
  <w:style w:type="paragraph" w:styleId="Heading2">
    <w:name w:val="Heading 2"/>
    <w:basedOn w:val="Normal"/>
    <w:next w:val="Normal"/>
    <w:qFormat/>
    <w:pPr>
      <w:spacing w:after="120" w:before="260"/>
    </w:pPr>
    <w:rPr>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