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76"/>
        <w:jc w:val="center"/>
      </w:pPr>
      <w:r>
        <w:rPr>
          <w:b/>
          <w:bCs/>
          <w:sz w:val="30"/>
          <w:szCs w:val="30"/>
        </w:rPr>
        <w:t xml:space="preserve">SE3002 Assignment 01: Quality Evaluation of AI-Generated Software</w:t>
      </w:r>
    </w:p>
    <w:p>
      <w:pPr>
        <w:spacing w:after="100" w:before="0" w:line="276"/>
        <w:jc w:val="center"/>
      </w:pPr>
      <w:r>
        <w:rPr>
          <w:sz w:val="22"/>
          <w:szCs w:val="22"/>
        </w:rPr>
        <w:t xml:space="preserve">Project: agentMom — Broadcasting / Multicasting / Secured Communication in Multi-Agent Systems</w:t>
      </w:r>
    </w:p>
    <w:p>
      <w:pPr>
        <w:spacing w:after="300" w:before="0" w:line="276"/>
        <w:jc w:val="center"/>
      </w:pPr>
      <w:r>
        <w:rPr>
          <w:b/>
          <w:bCs/>
          <w:sz w:val="20"/>
          <w:szCs w:val="20"/>
        </w:rPr>
        <w:t xml:space="preserve">Team members: </w:t>
      </w:r>
      <w:r>
        <w:rPr>
          <w:sz w:val="20"/>
          <w:szCs w:val="20"/>
        </w:rPr>
        <w:t xml:space="preserve">M. Bilal Tahir (24i-3166) and Taimoor Shaukat (24i-3015)</w:t>
      </w:r>
      <w:r>
        <w:rPr>
          <w:b/>
          <w:bCs/>
          <w:sz w:val="20"/>
          <w:szCs w:val="20"/>
        </w:rPr>
        <w:t xml:space="preserve">     Section: </w:t>
      </w:r>
      <w:r>
        <w:rPr>
          <w:sz w:val="20"/>
          <w:szCs w:val="20"/>
        </w:rPr>
        <w:t xml:space="preserve">SE-B</w:t>
      </w:r>
    </w:p>
    <w:p>
      <w:pPr>
        <w:pStyle w:val="Heading1"/>
        <w:spacing w:after="160" w:before="280"/>
      </w:pPr>
      <w:r>
        <w:t xml:space="preserve">Part 1: Requirement Scope and AI Assumptions</w:t>
      </w:r>
    </w:p>
    <w:p>
      <w:pPr>
        <w:spacing w:after="120" w:before="0" w:line="276"/>
      </w:pPr>
      <w:r>
        <w:rPr>
          <w:sz w:val="20"/>
          <w:szCs w:val="20"/>
        </w:rPr>
        <w:t>We selected the agentMom SRS, "Applying Broadcasting/Multicasting/Secured Communication to agentMom in Multi-Agent Systems" (version 1.1). The ten requirements below are seven functional requirements and three non-functional requirements. Together they cover the three communication modes the project is built around (unicast, multicast, broadcast), the security layer on top of them, and the architectural choice underneath them.</w:t>
      </w:r>
    </w:p>
    <w:p>
      <w:pPr>
        <w:spacing w:after="120" w:before="0" w:line="276"/>
      </w:pPr>
      <w:r>
        <w:rPr>
          <w:b/>
          <w:bCs/>
          <w:sz w:val="20"/>
          <w:szCs w:val="20"/>
        </w:rPr>
        <w:t xml:space="preserve">Scope coverage. </w:t>
      </w:r>
      <w:r>
        <w:rPr>
          <w:sz w:val="20"/>
          <w:szCs w:val="20"/>
        </w:rPr>
        <w:t>Section 3.2 of the SRS contains twenty-five numbered sub-requirements, and all twenty-five are covered by the ten rows below, so nothing in the specific requirements section is left out of scope. Thirteen of those sub-requirements are marked with an asterisk as Driving Requirements to be demonstrated by the end of phase II. Every Driving Requirement claim made in the table has been checked against the SRS individually.</w:t>
      </w:r>
    </w:p>
    <w:p>
      <w:pPr>
        <w:spacing w:after="120" w:before="0" w:line="276"/>
      </w:pPr>
      <w:r>
        <w:rPr>
          <w:b/>
          <w:bCs/>
          <w:sz w:val="20"/>
          <w:szCs w:val="20"/>
        </w:rPr>
        <w:t xml:space="preserve">Grouping rule. </w:t>
      </w:r>
      <w:r>
        <w:rPr>
          <w:sz w:val="20"/>
          <w:szCs w:val="20"/>
        </w:rPr>
        <w:t>The assignment allows complete management of one entity to count as a single FR, and each FR row below is built around one entity: the unicast message (FR1), the agent's membership in a group (FR2), the multicast message (FR3), the broadcast message (FR4), the security state of a unicast message (FR5), the security state of a multicast message (FR6), and the conversation control architecture (FR7). Sub-requirements that describe the lifecycle or configurable attributes of the same entity are grouped into one row on that basis, not for convenience of arriving at seven.</w:t>
      </w:r>
    </w:p>
    <w:p>
      <w:pPr>
        <w:spacing w:after="120" w:before="0" w:line="276"/>
      </w:pPr>
      <w:r>
        <w:rPr>
          <w:b/>
          <w:bCs/>
          <w:sz w:val="20"/>
          <w:szCs w:val="20"/>
        </w:rPr>
        <w:t xml:space="preserve">CRUD compliance. </w:t>
      </w:r>
      <w:r>
        <w:rPr>
          <w:sz w:val="20"/>
          <w:szCs w:val="20"/>
        </w:rPr>
        <w:t>None of the seven FRs is a pure CRUD operation, since the underlying SRS describes a messaging framework rather than a data-management system. Even on the strictest reading (treating join/leave as create and delete of a membership record), that would make one of seven FRs a CRUD requirement, comfortably inside the limit of three. On our reading it is not CRUD at all: the requirement's substance is the delivery decision it drives, not the storage of a record.</w:t>
      </w:r>
      <w:r>
        <w:rPr>
          <w:i/>
          <w:iCs/>
          <w:sz w:val="20"/>
          <w:szCs w:val="20"/>
        </w:rPr>
      </w:r>
      <w:r>
        <w:rPr>
          <w:sz w:val="20"/>
          <w:szCs w:val="20"/>
        </w:rPr>
      </w:r>
    </w:p>
    <w:p>
      <w:pPr>
        <w:spacing w:after="200" w:before="0" w:line="276"/>
      </w:pPr>
      <w:r>
        <w:rPr>
          <w:b/>
          <w:bCs/>
          <w:sz w:val="20"/>
          <w:szCs w:val="20"/>
        </w:rPr>
        <w:t xml:space="preserve">Classification scheme. </w:t>
      </w:r>
      <w:r>
        <w:rPr>
          <w:sz w:val="20"/>
          <w:szCs w:val="20"/>
        </w:rPr>
        <w:t>Every assumption in the Defence / basis column carries exactly one of the three labels the assignment permits: supported by the SRS, justified by an explicit design decision, or unsupported. Where a single behaviour rested on more than one assumption, it was split into separately numbered sub-assumptions (A1.1, A1.2, and so on) so each carries one unambiguous label. No hybrid or partial classifications are used, and no unsupported assumption is hidden inside a supported one.</w:t>
      </w:r>
    </w:p>
    <w:p>
      <w:pPr>
        <w:sectPr>
          <w:pgSz w:w="11906" w:h="16838" w:orient="portrait"/>
          <w:pgMar w:top="1000" w:right="1000" w:bottom="1000" w:left="1000" w:header="708" w:footer="708" w:gutter="0"/>
          <w:pgNumType/>
          <w:docGrid w:linePitch="360"/>
        </w:sectPr>
      </w:pPr>
    </w:p>
    <w:p>
      <w:pPr>
        <w:spacing w:after="160" w:before="0" w:line="276"/>
      </w:pPr>
      <w:r>
        <w:rPr>
          <w:b/>
          <w:bCs/>
          <w:sz w:val="22"/>
          <w:szCs w:val="22"/>
        </w:rPr>
        <w:t xml:space="preserve">Part 1 requirement table — 7 functional and 3 non-functional requirements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150"/>
        <w:gridCol w:w="1200"/>
        <w:gridCol w:w="2900"/>
        <w:gridCol w:w="2700"/>
        <w:gridCol w:w="2760"/>
        <w:gridCol w:w="2250"/>
      </w:tblGrid>
      <w:tr>
        <w:trPr>
          <w:tblHeader/>
        </w:trPr>
        <w:tc>
          <w:tcPr>
            <w:tcW w:type="dxa" w:w="1150"/>
            <w:tcMar>
              <w:top w:type="dxa" w:w="30"/>
              <w:left w:type="dxa" w:w="100"/>
              <w:bottom w:type="dxa" w:w="30"/>
              <w:right w:type="dxa" w:w="100"/>
            </w:tcMar>
          </w:tcPr>
          <w:p>
            <w:pPr>
              <w:spacing w:after="20" w:line="240"/>
            </w:pPr>
            <w:r>
              <w:rPr>
                <w:b/>
                <w:bCs/>
                <w:sz w:val="17"/>
                <w:szCs w:val="17"/>
              </w:rPr>
              <w:t xml:space="preserve">Req. ID</w:t>
            </w:r>
          </w:p>
        </w:tc>
        <w:tc>
          <w:tcPr>
            <w:tcW w:type="dxa" w:w="1200"/>
            <w:tcMar>
              <w:top w:type="dxa" w:w="30"/>
              <w:left w:type="dxa" w:w="100"/>
              <w:bottom w:type="dxa" w:w="30"/>
              <w:right w:type="dxa" w:w="100"/>
            </w:tcMar>
          </w:tcPr>
          <w:p>
            <w:pPr>
              <w:spacing w:after="20" w:line="240"/>
            </w:pPr>
            <w:r>
              <w:rPr>
                <w:b/>
                <w:bCs/>
                <w:sz w:val="17"/>
                <w:szCs w:val="17"/>
              </w:rPr>
              <w:t xml:space="preserve">Type</w:t>
            </w:r>
          </w:p>
        </w:tc>
        <w:tc>
          <w:tcPr>
            <w:tcW w:type="dxa" w:w="2900"/>
            <w:tcMar>
              <w:top w:type="dxa" w:w="30"/>
              <w:left w:type="dxa" w:w="100"/>
              <w:bottom w:type="dxa" w:w="30"/>
              <w:right w:type="dxa" w:w="100"/>
            </w:tcMar>
          </w:tcPr>
          <w:p>
            <w:pPr>
              <w:spacing w:after="20" w:line="240"/>
            </w:pPr>
            <w:r>
              <w:rPr>
                <w:b/>
                <w:bCs/>
                <w:sz w:val="17"/>
                <w:szCs w:val="17"/>
              </w:rPr>
              <w:t xml:space="preserve">Requirement (brief)</w:t>
            </w:r>
          </w:p>
        </w:tc>
        <w:tc>
          <w:tcPr>
            <w:tcW w:type="dxa" w:w="2700"/>
            <w:tcMar>
              <w:top w:type="dxa" w:w="30"/>
              <w:left w:type="dxa" w:w="100"/>
              <w:bottom w:type="dxa" w:w="30"/>
              <w:right w:type="dxa" w:w="100"/>
            </w:tcMar>
          </w:tcPr>
          <w:p>
            <w:pPr>
              <w:spacing w:after="20" w:line="240"/>
            </w:pPr>
            <w:r>
              <w:rPr>
                <w:b/>
                <w:bCs/>
                <w:sz w:val="17"/>
                <w:szCs w:val="17"/>
              </w:rPr>
              <w:t xml:space="preserve">Why selected / risk</w:t>
            </w:r>
          </w:p>
        </w:tc>
        <w:tc>
          <w:tcPr>
            <w:tcW w:type="dxa" w:w="2760"/>
            <w:tcMar>
              <w:top w:type="dxa" w:w="30"/>
              <w:left w:type="dxa" w:w="100"/>
              <w:bottom w:type="dxa" w:w="30"/>
              <w:right w:type="dxa" w:w="100"/>
            </w:tcMar>
          </w:tcPr>
          <w:p>
            <w:pPr>
              <w:spacing w:after="20" w:line="240"/>
            </w:pPr>
            <w:r>
              <w:rPr>
                <w:b/>
                <w:bCs/>
                <w:sz w:val="17"/>
                <w:szCs w:val="17"/>
              </w:rPr>
              <w:t xml:space="preserve">AI assumption</w:t>
            </w:r>
          </w:p>
        </w:tc>
        <w:tc>
          <w:tcPr>
            <w:tcW w:type="dxa" w:w="2250"/>
            <w:tcMar>
              <w:top w:type="dxa" w:w="30"/>
              <w:left w:type="dxa" w:w="100"/>
              <w:bottom w:type="dxa" w:w="30"/>
              <w:right w:type="dxa" w:w="100"/>
            </w:tcMar>
          </w:tcPr>
          <w:p>
            <w:pPr>
              <w:spacing w:after="20" w:line="240"/>
            </w:pPr>
            <w:r>
              <w:rPr>
                <w:b/>
                <w:bCs/>
                <w:sz w:val="17"/>
                <w:szCs w:val="17"/>
              </w:rPr>
              <w:t xml:space="preserve">Defence / basis</w:t>
            </w:r>
          </w:p>
        </w:tc>
      </w:tr>
      <w:tr>
        <w:tc>
          <w:tcPr>
            <w:tcW w:type="dxa" w:w="1150"/>
            <w:tcMar>
              <w:top w:type="dxa" w:w="30"/>
              <w:left w:type="dxa" w:w="100"/>
              <w:bottom w:type="dxa" w:w="30"/>
              <w:right w:type="dxa" w:w="100"/>
            </w:tcMar>
          </w:tcPr>
          <w:p>
            <w:pPr>
              <w:spacing w:after="20" w:line="240"/>
            </w:pPr>
            <w:r>
              <w:rPr>
                <w:b/>
                <w:bCs/>
                <w:sz w:val="16"/>
                <w:szCs w:val="16"/>
              </w:rPr>
              <w:t xml:space="preserve">3.2.1.1 –</w:t>
            </w:r>
          </w:p>
          <w:p>
            <w:pPr>
              <w:spacing w:after="20" w:line="240"/>
            </w:pPr>
            <w:r>
              <w:rPr>
                <w:b/>
                <w:bCs/>
                <w:sz w:val="16"/>
                <w:szCs w:val="16"/>
              </w:rPr>
              <w:t xml:space="preserve">3.2.1.4</w:t>
            </w:r>
          </w:p>
        </w:tc>
        <w:tc>
          <w:tcPr>
            <w:tcW w:type="dxa" w:w="1200"/>
            <w:tcMar>
              <w:top w:type="dxa" w:w="30"/>
              <w:left w:type="dxa" w:w="100"/>
              <w:bottom w:type="dxa" w:w="30"/>
              <w:right w:type="dxa" w:w="100"/>
            </w:tcMar>
          </w:tcPr>
          <w:p>
            <w:pPr>
              <w:spacing w:after="20" w:line="240"/>
            </w:pPr>
            <w:r>
              <w:rPr>
                <w:sz w:val="16"/>
                <w:szCs w:val="16"/>
              </w:rPr>
              <w:t xml:space="preserve">FR</w:t>
            </w:r>
          </w:p>
        </w:tc>
        <w:tc>
          <w:tcPr>
            <w:tcW w:type="dxa" w:w="2900"/>
            <w:tcMar>
              <w:top w:type="dxa" w:w="30"/>
              <w:left w:type="dxa" w:w="100"/>
              <w:bottom w:type="dxa" w:w="30"/>
              <w:right w:type="dxa" w:w="100"/>
            </w:tcMar>
          </w:tcPr>
          <w:p>
            <w:pPr>
              <w:spacing w:after="20" w:line="240"/>
            </w:pPr>
            <w:r>
              <w:rPr>
                <w:b/>
                <w:bCs/>
                <w:sz w:val="16"/>
                <w:szCs w:val="16"/>
              </w:rPr>
              <w:t xml:space="preserve">Unicast Communication. </w:t>
            </w:r>
            <w:r>
              <w:rPr>
                <w:sz w:val="16"/>
                <w:szCs w:val="16"/>
              </w:rPr>
              <w:t xml:space="preserve">“agentMom shall support the ability to send unicast message” (3.2.1.1) and “to receive unicast message” (3.2.1.2). “Unicast message shall only be received by the specified address” (3.2.1.3) and “shall arrive at the specified address and in order” (3.2.1.4).</w:t>
            </w:r>
          </w:p>
        </w:tc>
        <w:tc>
          <w:tcPr>
            <w:tcW w:type="dxa" w:w="2700"/>
            <w:tcMar>
              <w:top w:type="dxa" w:w="30"/>
              <w:left w:type="dxa" w:w="100"/>
              <w:bottom w:type="dxa" w:w="30"/>
              <w:right w:type="dxa" w:w="100"/>
            </w:tcMar>
          </w:tcPr>
          <w:p>
            <w:pPr>
              <w:spacing w:after="20" w:line="240"/>
            </w:pPr>
            <w:r>
              <w:rPr>
                <w:b/>
                <w:bCs/>
                <w:sz w:val="16"/>
                <w:szCs w:val="16"/>
              </w:rPr>
              <w:t xml:space="preserve">Entity: </w:t>
            </w:r>
            <w:r>
              <w:rPr>
                <w:sz w:val="16"/>
                <w:szCs w:val="16"/>
              </w:rPr>
              <w:t xml:space="preserve">the unicast message. Send and receive are its lifecycle; addressing and ordering are the rules governing it — one FR under the assignment’s grouping rule.</w:t>
            </w:r>
          </w:p>
          <w:p>
            <w:pPr>
              <w:spacing w:after="20" w:line="240"/>
            </w:pPr>
            <w:r>
              <w:rPr>
                <w:sz w:val="16"/>
                <w:szCs w:val="16"/>
              </w:rPr>
              <w:t xml:space="preserve">3.2.1.1 and 3.2.1.2 are Driving Requirements.</w:t>
            </w:r>
          </w:p>
          <w:p>
            <w:pPr>
              <w:spacing w:after="20" w:line="240"/>
            </w:pPr>
            <w:r>
              <w:rPr>
                <w:b/>
                <w:bCs/>
                <w:sz w:val="16"/>
                <w:szCs w:val="16"/>
              </w:rPr>
              <w:t xml:space="preserve">Risk: </w:t>
            </w:r>
            <w:r>
              <w:rPr>
                <w:sz w:val="16"/>
                <w:szCs w:val="16"/>
              </w:rPr>
              <w:t xml:space="preserve">TCP guarantees ordering </w:t>
            </w:r>
            <w:r>
              <w:rPr>
                <w:i/>
                <w:iCs/>
                <w:sz w:val="16"/>
                <w:szCs w:val="16"/>
              </w:rPr>
              <w:t xml:space="preserve">per connection</w:t>
            </w:r>
            <w:r>
              <w:rPr>
                <w:sz w:val="16"/>
                <w:szCs w:val="16"/>
              </w:rPr>
              <w:t xml:space="preserve"> only. The SRS never specifies connection lifecycle, so ordering across a reconnection is undefined.</w:t>
            </w:r>
          </w:p>
        </w:tc>
        <w:tc>
          <w:tcPr>
            <w:tcW w:type="dxa" w:w="2760"/>
            <w:tcMar>
              <w:top w:type="dxa" w:w="30"/>
              <w:left w:type="dxa" w:w="100"/>
              <w:bottom w:type="dxa" w:w="30"/>
              <w:right w:type="dxa" w:w="100"/>
            </w:tcMar>
          </w:tcPr>
          <w:p>
            <w:pPr>
              <w:spacing w:after="20" w:line="240"/>
            </w:pPr>
            <w:r>
              <w:rPr>
                <w:b/>
                <w:bCs/>
                <w:sz w:val="16"/>
                <w:szCs w:val="16"/>
              </w:rPr>
              <w:t xml:space="preserve">A1.1 </w:t>
            </w:r>
            <w:r>
              <w:rPr>
                <w:sz w:val="16"/>
                <w:szCs w:val="16"/>
              </w:rPr>
              <w:t xml:space="preserve">TCP is the unicast transport.</w:t>
            </w:r>
          </w:p>
          <w:p>
            <w:pPr>
              <w:spacing w:after="20" w:line="240"/>
            </w:pPr>
            <w:r>
              <w:rPr>
                <w:b/>
                <w:bCs/>
                <w:sz w:val="16"/>
                <w:szCs w:val="16"/>
              </w:rPr>
              <w:t xml:space="preserve">A1.2 </w:t>
            </w:r>
            <w:r>
              <w:rPr>
                <w:sz w:val="16"/>
                <w:szCs w:val="16"/>
              </w:rPr>
              <w:t xml:space="preserve">Exactly one persistent TCP connection is maintained per ordered agent pair, so TCP’s per-connection ordering is sufficient and no application-level resequencing is built. The sequence number is a verification-only field.</w:t>
            </w:r>
          </w:p>
        </w:tc>
        <w:tc>
          <w:tcPr>
            <w:tcW w:type="dxa" w:w="2250"/>
            <w:tcMar>
              <w:top w:type="dxa" w:w="30"/>
              <w:left w:type="dxa" w:w="100"/>
              <w:bottom w:type="dxa" w:w="30"/>
              <w:right w:type="dxa" w:w="100"/>
            </w:tcMar>
          </w:tcPr>
          <w:p>
            <w:pPr>
              <w:spacing w:after="20" w:line="240"/>
            </w:pPr>
            <w:r>
              <w:rPr>
                <w:sz w:val="16"/>
                <w:szCs w:val="16"/>
              </w:rPr>
              <w:t xml:space="preserve">A1.1 — </w:t>
            </w:r>
            <w:r>
              <w:rPr>
                <w:b/>
                <w:bCs/>
                <w:sz w:val="16"/>
                <w:szCs w:val="16"/>
              </w:rPr>
              <w:t xml:space="preserve">Supported by SRS</w:t>
            </w:r>
            <w:r>
              <w:rPr>
                <w:sz w:val="16"/>
                <w:szCs w:val="16"/>
              </w:rPr>
              <w:t xml:space="preserve"> (2.1.2 states TCP/IP is used for unicast).</w:t>
            </w:r>
          </w:p>
          <w:p>
            <w:pPr>
              <w:spacing w:after="20" w:line="240"/>
            </w:pPr>
            <w:r>
              <w:rPr>
                <w:sz w:val="16"/>
                <w:szCs w:val="16"/>
              </w:rPr>
              <w:t xml:space="preserve">A1.2 — </w:t>
            </w:r>
            <w:r>
              <w:rPr>
                <w:b/>
                <w:bCs/>
                <w:sz w:val="16"/>
                <w:szCs w:val="16"/>
              </w:rPr>
              <w:t xml:space="preserve">Design decision</w:t>
            </w:r>
            <w:r>
              <w:rPr>
                <w:sz w:val="16"/>
                <w:szCs w:val="16"/>
              </w:rPr>
              <w:t xml:space="preserve">. The SRS does not specify connection lifecycle; a reconnect would break ordering, so the persistence choice is ours, not the SRS’s.</w:t>
            </w:r>
          </w:p>
        </w:tc>
      </w:tr>
      <w:tr>
        <w:tc>
          <w:tcPr>
            <w:tcW w:type="dxa" w:w="1150"/>
            <w:tcMar>
              <w:top w:type="dxa" w:w="30"/>
              <w:left w:type="dxa" w:w="100"/>
              <w:bottom w:type="dxa" w:w="30"/>
              <w:right w:type="dxa" w:w="100"/>
            </w:tcMar>
          </w:tcPr>
          <w:p>
            <w:pPr>
              <w:spacing w:after="20" w:line="240"/>
            </w:pPr>
            <w:r>
              <w:rPr>
                <w:b/>
                <w:bCs/>
                <w:sz w:val="16"/>
                <w:szCs w:val="16"/>
              </w:rPr>
              <w:t xml:space="preserve">3.2.2.3 –</w:t>
            </w:r>
          </w:p>
          <w:p>
            <w:pPr>
              <w:spacing w:after="20" w:line="240"/>
            </w:pPr>
            <w:r>
              <w:rPr>
                <w:b/>
                <w:bCs/>
                <w:sz w:val="16"/>
                <w:szCs w:val="16"/>
              </w:rPr>
              <w:t xml:space="preserve">3.2.2.6,</w:t>
            </w:r>
          </w:p>
          <w:p>
            <w:pPr>
              <w:spacing w:after="20" w:line="240"/>
            </w:pPr>
            <w:r>
              <w:rPr>
                <w:b/>
                <w:bCs/>
                <w:sz w:val="16"/>
                <w:szCs w:val="16"/>
              </w:rPr>
              <w:t xml:space="preserve">3.2.2.9</w:t>
            </w:r>
          </w:p>
        </w:tc>
        <w:tc>
          <w:tcPr>
            <w:tcW w:type="dxa" w:w="1200"/>
            <w:tcMar>
              <w:top w:type="dxa" w:w="30"/>
              <w:left w:type="dxa" w:w="100"/>
              <w:bottom w:type="dxa" w:w="30"/>
              <w:right w:type="dxa" w:w="100"/>
            </w:tcMar>
          </w:tcPr>
          <w:p>
            <w:pPr>
              <w:spacing w:after="20" w:line="240"/>
            </w:pPr>
            <w:r>
              <w:rPr>
                <w:sz w:val="16"/>
                <w:szCs w:val="16"/>
              </w:rPr>
              <w:t xml:space="preserve">FR</w:t>
            </w:r>
          </w:p>
        </w:tc>
        <w:tc>
          <w:tcPr>
            <w:tcW w:type="dxa" w:w="2900"/>
            <w:tcMar>
              <w:top w:type="dxa" w:w="30"/>
              <w:left w:type="dxa" w:w="100"/>
              <w:bottom w:type="dxa" w:w="30"/>
              <w:right w:type="dxa" w:w="100"/>
            </w:tcMar>
          </w:tcPr>
          <w:p>
            <w:pPr>
              <w:spacing w:after="20" w:line="240"/>
            </w:pPr>
            <w:r>
              <w:rPr>
                <w:b/>
                <w:bCs/>
                <w:sz w:val="16"/>
                <w:szCs w:val="16"/>
              </w:rPr>
              <w:t xml:space="preserve">Multicast group membership. </w:t>
            </w:r>
            <w:r>
              <w:rPr>
                <w:sz w:val="16"/>
                <w:szCs w:val="16"/>
              </w:rPr>
              <w:t xml:space="preserve">“agentMom shall support the ability to send request to join multicast group” (3.2.2.3) and “to leave multicast group” (3.2.2.4). “agentMom shall not allow receiving multicast message from a group before joining” (3.2.2.5) “or after leaving that multicast group” (3.2.2.6). “agentMom shall support the ability to receive multicast message from multiple groups” (3.2.2.9).</w:t>
            </w:r>
          </w:p>
        </w:tc>
        <w:tc>
          <w:tcPr>
            <w:tcW w:type="dxa" w:w="2700"/>
            <w:tcMar>
              <w:top w:type="dxa" w:w="30"/>
              <w:left w:type="dxa" w:w="100"/>
              <w:bottom w:type="dxa" w:w="30"/>
              <w:right w:type="dxa" w:w="100"/>
            </w:tcMar>
          </w:tcPr>
          <w:p>
            <w:pPr>
              <w:spacing w:after="20" w:line="240"/>
            </w:pPr>
            <w:r>
              <w:rPr>
                <w:b/>
                <w:bCs/>
                <w:sz w:val="16"/>
                <w:szCs w:val="16"/>
              </w:rPr>
              <w:t xml:space="preserve">Entity: </w:t>
            </w:r>
            <w:r>
              <w:rPr>
                <w:sz w:val="16"/>
                <w:szCs w:val="16"/>
              </w:rPr>
              <w:t xml:space="preserve">the agent’s membership state in a group. 3.2.2.3 and 3.2.2.4 are Driving Requirements.</w:t>
            </w:r>
          </w:p>
          <w:p>
            <w:pPr>
              <w:spacing w:after="20" w:line="240"/>
            </w:pPr>
            <w:r>
              <w:rPr>
                <w:sz w:val="16"/>
                <w:szCs w:val="16"/>
              </w:rPr>
              <w:t xml:space="preserve">Not CRUD: the substance is the delivery </w:t>
            </w:r>
            <w:r>
              <w:rPr>
                <w:i/>
                <w:iCs/>
                <w:sz w:val="16"/>
                <w:szCs w:val="16"/>
              </w:rPr>
              <w:t xml:space="preserve">decision</w:t>
            </w:r>
            <w:r>
              <w:rPr>
                <w:sz w:val="16"/>
                <w:szCs w:val="16"/>
              </w:rPr>
              <w:t xml:space="preserve"> driven by membership (3.2.2.5/3.2.2.6), not the storage of a membership record.</w:t>
            </w:r>
          </w:p>
          <w:p>
            <w:pPr>
              <w:spacing w:after="20" w:line="240"/>
            </w:pPr>
            <w:r>
              <w:rPr>
                <w:sz w:val="16"/>
                <w:szCs w:val="16"/>
              </w:rPr>
              <w:t xml:space="preserve">3.2.2.9 is grouped here rather than with messaging because simultaneous multi-group receive is a property of membership; it cannot be tested in isolation from join.</w:t>
            </w:r>
          </w:p>
          <w:p>
            <w:pPr>
              <w:spacing w:after="20" w:line="240"/>
            </w:pPr>
            <w:r>
              <w:rPr>
                <w:b/>
                <w:bCs/>
                <w:sz w:val="16"/>
                <w:szCs w:val="16"/>
              </w:rPr>
              <w:t xml:space="preserve">Risk: </w:t>
            </w:r>
            <w:r>
              <w:rPr>
                <w:sz w:val="16"/>
                <w:szCs w:val="16"/>
              </w:rPr>
              <w:t xml:space="preserve">a leave request and an inbound datagram arriving in the same event-loop tick.</w:t>
            </w:r>
          </w:p>
        </w:tc>
        <w:tc>
          <w:tcPr>
            <w:tcW w:type="dxa" w:w="2760"/>
            <w:tcMar>
              <w:top w:type="dxa" w:w="30"/>
              <w:left w:type="dxa" w:w="100"/>
              <w:bottom w:type="dxa" w:w="30"/>
              <w:right w:type="dxa" w:w="100"/>
            </w:tcMar>
          </w:tcPr>
          <w:p>
            <w:pPr>
              <w:spacing w:after="20" w:line="240"/>
            </w:pPr>
            <w:r>
              <w:rPr>
                <w:b/>
                <w:bCs/>
                <w:sz w:val="16"/>
                <w:szCs w:val="16"/>
              </w:rPr>
              <w:t xml:space="preserve">A2.1 </w:t>
            </w:r>
            <w:r>
              <w:rPr>
                <w:sz w:val="16"/>
                <w:szCs w:val="16"/>
              </w:rPr>
              <w:t xml:space="preserve">Leave takes effect immediately — the application-level membership set is updated synchronously </w:t>
            </w:r>
            <w:r>
              <w:rPr>
                <w:i/>
                <w:iCs/>
                <w:sz w:val="16"/>
                <w:szCs w:val="16"/>
              </w:rPr>
              <w:t xml:space="preserve">before</w:t>
            </w:r>
            <w:r>
              <w:rPr>
                <w:sz w:val="16"/>
                <w:szCs w:val="16"/>
              </w:rPr>
              <w:t xml:space="preserve"> the OS drop call, so a datagram already in flight is dropped rather than delivered.</w:t>
            </w:r>
          </w:p>
          <w:p>
            <w:pPr>
              <w:spacing w:after="20" w:line="240"/>
            </w:pPr>
            <w:r>
              <w:rPr>
                <w:b/>
                <w:bCs/>
                <w:sz w:val="16"/>
                <w:szCs w:val="16"/>
              </w:rPr>
              <w:t xml:space="preserve">A2.2 </w:t>
            </w:r>
            <w:r>
              <w:rPr>
                <w:sz w:val="16"/>
                <w:szCs w:val="16"/>
              </w:rPr>
              <w:t xml:space="preserve">Destination-group attribution under simultaneous membership is achieved by binding one socket per joined group.</w:t>
            </w:r>
          </w:p>
        </w:tc>
        <w:tc>
          <w:tcPr>
            <w:tcW w:type="dxa" w:w="2250"/>
            <w:tcMar>
              <w:top w:type="dxa" w:w="30"/>
              <w:left w:type="dxa" w:w="100"/>
              <w:bottom w:type="dxa" w:w="30"/>
              <w:right w:type="dxa" w:w="100"/>
            </w:tcMar>
          </w:tcPr>
          <w:p>
            <w:pPr>
              <w:spacing w:after="20" w:line="240"/>
            </w:pPr>
            <w:r>
              <w:rPr>
                <w:sz w:val="16"/>
                <w:szCs w:val="16"/>
              </w:rPr>
              <w:t xml:space="preserve">A2.1 — </w:t>
            </w:r>
            <w:r>
              <w:rPr>
                <w:b/>
                <w:bCs/>
                <w:sz w:val="16"/>
                <w:szCs w:val="16"/>
              </w:rPr>
              <w:t xml:space="preserve">Design decision</w:t>
            </w:r>
            <w:r>
              <w:rPr>
                <w:sz w:val="16"/>
                <w:szCs w:val="16"/>
              </w:rPr>
              <w:t xml:space="preserve">. The SRS does not describe what happens to messages already in transit during a leave; this behaviour was decided by us.</w:t>
            </w:r>
          </w:p>
          <w:p>
            <w:pPr>
              <w:spacing w:after="20" w:line="240"/>
            </w:pPr>
            <w:r>
              <w:rPr>
                <w:sz w:val="16"/>
                <w:szCs w:val="16"/>
              </w:rPr>
              <w:t xml:space="preserve">A2.2 — </w:t>
            </w:r>
            <w:r>
              <w:rPr>
                <w:b/>
                <w:bCs/>
                <w:sz w:val="16"/>
                <w:szCs w:val="16"/>
              </w:rPr>
              <w:t xml:space="preserve">Design decision</w:t>
            </w:r>
            <w:r>
              <w:rPr>
                <w:sz w:val="16"/>
                <w:szCs w:val="16"/>
              </w:rPr>
              <w:t xml:space="preserve">. The SRS specifies neither socket strategy nor how a datagram is attributed to a group.</w:t>
            </w:r>
          </w:p>
        </w:tc>
      </w:tr>
      <w:tr>
        <w:tc>
          <w:tcPr>
            <w:tcW w:type="dxa" w:w="1150"/>
            <w:tcMar>
              <w:top w:type="dxa" w:w="30"/>
              <w:left w:type="dxa" w:w="100"/>
              <w:bottom w:type="dxa" w:w="30"/>
              <w:right w:type="dxa" w:w="100"/>
            </w:tcMar>
          </w:tcPr>
          <w:p>
            <w:pPr>
              <w:spacing w:after="20" w:line="240"/>
            </w:pPr>
            <w:r>
              <w:rPr>
                <w:b/>
                <w:bCs/>
                <w:sz w:val="16"/>
                <w:szCs w:val="16"/>
              </w:rPr>
              <w:t xml:space="preserve">3.2.2.1,</w:t>
            </w:r>
          </w:p>
          <w:p>
            <w:pPr>
              <w:spacing w:after="20" w:line="240"/>
            </w:pPr>
            <w:r>
              <w:rPr>
                <w:b/>
                <w:bCs/>
                <w:sz w:val="16"/>
                <w:szCs w:val="16"/>
              </w:rPr>
              <w:t xml:space="preserve">3.2.2.2,</w:t>
            </w:r>
          </w:p>
          <w:p>
            <w:pPr>
              <w:spacing w:after="20" w:line="240"/>
            </w:pPr>
            <w:r>
              <w:rPr>
                <w:b/>
                <w:bCs/>
                <w:sz w:val="16"/>
                <w:szCs w:val="16"/>
              </w:rPr>
              <w:t xml:space="preserve">3.2.2.7,</w:t>
            </w:r>
          </w:p>
          <w:p>
            <w:pPr>
              <w:spacing w:after="20" w:line="240"/>
            </w:pPr>
            <w:r>
              <w:rPr>
                <w:b/>
                <w:bCs/>
                <w:sz w:val="16"/>
                <w:szCs w:val="16"/>
              </w:rPr>
              <w:t xml:space="preserve">3.2.2.8</w:t>
            </w:r>
          </w:p>
        </w:tc>
        <w:tc>
          <w:tcPr>
            <w:tcW w:type="dxa" w:w="1200"/>
            <w:tcMar>
              <w:top w:type="dxa" w:w="30"/>
              <w:left w:type="dxa" w:w="100"/>
              <w:bottom w:type="dxa" w:w="30"/>
              <w:right w:type="dxa" w:w="100"/>
            </w:tcMar>
          </w:tcPr>
          <w:p>
            <w:pPr>
              <w:spacing w:after="20" w:line="240"/>
            </w:pPr>
            <w:r>
              <w:rPr>
                <w:sz w:val="16"/>
                <w:szCs w:val="16"/>
              </w:rPr>
              <w:t xml:space="preserve">FR</w:t>
            </w:r>
          </w:p>
        </w:tc>
        <w:tc>
          <w:tcPr>
            <w:tcW w:type="dxa" w:w="2900"/>
            <w:tcMar>
              <w:top w:type="dxa" w:w="30"/>
              <w:left w:type="dxa" w:w="100"/>
              <w:bottom w:type="dxa" w:w="30"/>
              <w:right w:type="dxa" w:w="100"/>
            </w:tcMar>
          </w:tcPr>
          <w:p>
            <w:pPr>
              <w:spacing w:after="20" w:line="240"/>
            </w:pPr>
            <w:r>
              <w:rPr>
                <w:b/>
                <w:bCs/>
                <w:sz w:val="16"/>
                <w:szCs w:val="16"/>
              </w:rPr>
              <w:t xml:space="preserve">Multicast messaging. </w:t>
            </w:r>
            <w:r>
              <w:rPr>
                <w:sz w:val="16"/>
                <w:szCs w:val="16"/>
              </w:rPr>
              <w:t xml:space="preserve">“agentMom shall support the ability to send multicast message” (3.2.2.1), “to receive multicast message” (3.2.2.2), “to set time-to-live for multicast message” (3.2.2.7), and “to set multicast address and port for sending and receiving multicast message” (3.2.2.8).</w:t>
            </w:r>
          </w:p>
        </w:tc>
        <w:tc>
          <w:tcPr>
            <w:tcW w:type="dxa" w:w="2700"/>
            <w:tcMar>
              <w:top w:type="dxa" w:w="30"/>
              <w:left w:type="dxa" w:w="100"/>
              <w:bottom w:type="dxa" w:w="30"/>
              <w:right w:type="dxa" w:w="100"/>
            </w:tcMar>
          </w:tcPr>
          <w:p>
            <w:pPr>
              <w:spacing w:after="20" w:line="240"/>
            </w:pPr>
            <w:r>
              <w:rPr>
                <w:b/>
                <w:bCs/>
                <w:sz w:val="16"/>
                <w:szCs w:val="16"/>
              </w:rPr>
              <w:t xml:space="preserve">Entity: </w:t>
            </w:r>
            <w:r>
              <w:rPr>
                <w:sz w:val="16"/>
                <w:szCs w:val="16"/>
              </w:rPr>
              <w:t xml:space="preserve">the multicast message. Send and receive are its lifecycle; TTL and destination address/port are its attributes, configured at send time — the same structure that makes create/view/edit/delete of one record a single FR.</w:t>
            </w:r>
          </w:p>
          <w:p>
            <w:pPr>
              <w:spacing w:after="20" w:line="240"/>
            </w:pPr>
            <w:r>
              <w:rPr>
                <w:sz w:val="16"/>
                <w:szCs w:val="16"/>
              </w:rPr>
              <w:t xml:space="preserve">3.2.2.1 and 3.2.2.2 are Driving Requirements.</w:t>
            </w:r>
          </w:p>
          <w:p>
            <w:pPr>
              <w:spacing w:after="20" w:line="240"/>
            </w:pPr>
            <w:r>
              <w:rPr>
                <w:b/>
                <w:bCs/>
                <w:sz w:val="16"/>
                <w:szCs w:val="16"/>
              </w:rPr>
              <w:t xml:space="preserve">Risk: </w:t>
            </w:r>
            <w:r>
              <w:rPr>
                <w:sz w:val="16"/>
                <w:szCs w:val="16"/>
              </w:rPr>
              <w:t xml:space="preserve">SRS §1.3 defines TTL as router hop count. On a single-host test bed no router is traversed, so TTL has no observable network-level effect and cannot be demonstrated as the SRS defines it.</w:t>
            </w:r>
          </w:p>
        </w:tc>
        <w:tc>
          <w:tcPr>
            <w:tcW w:type="dxa" w:w="2760"/>
            <w:tcMar>
              <w:top w:type="dxa" w:w="30"/>
              <w:left w:type="dxa" w:w="100"/>
              <w:bottom w:type="dxa" w:w="30"/>
              <w:right w:type="dxa" w:w="100"/>
            </w:tcMar>
          </w:tcPr>
          <w:p>
            <w:pPr>
              <w:spacing w:after="20" w:line="240"/>
            </w:pPr>
            <w:r>
              <w:rPr>
                <w:b/>
                <w:bCs/>
                <w:sz w:val="16"/>
                <w:szCs w:val="16"/>
              </w:rPr>
              <w:t xml:space="preserve">A3.1 </w:t>
            </w:r>
            <w:r>
              <w:rPr>
                <w:sz w:val="16"/>
                <w:szCs w:val="16"/>
              </w:rPr>
              <w:t xml:space="preserve">A default TTL applies when the sender does not set one.</w:t>
            </w:r>
          </w:p>
          <w:p>
            <w:pPr>
              <w:spacing w:after="20" w:line="240"/>
            </w:pPr>
            <w:r>
              <w:rPr>
                <w:b/>
                <w:bCs/>
                <w:sz w:val="16"/>
                <w:szCs w:val="16"/>
              </w:rPr>
              <w:t xml:space="preserve">A3.2 </w:t>
            </w:r>
            <w:r>
              <w:rPr>
                <w:sz w:val="16"/>
                <w:szCs w:val="16"/>
              </w:rPr>
              <w:t xml:space="preserve">TTL is </w:t>
            </w:r>
            <w:r>
              <w:rPr>
                <w:i/>
                <w:iCs/>
                <w:sz w:val="16"/>
                <w:szCs w:val="16"/>
              </w:rPr>
              <w:t xml:space="preserve">additionally</w:t>
            </w:r>
            <w:r>
              <w:rPr>
                <w:sz w:val="16"/>
                <w:szCs w:val="16"/>
              </w:rPr>
              <w:t xml:space="preserve"> enforced at the receiving application layer (ttl ≤ 0 → not delivered). This is a different mechanism from the router-hop definition in §1.3.</w:t>
            </w:r>
          </w:p>
          <w:p>
            <w:pPr>
              <w:spacing w:after="20" w:line="240"/>
            </w:pPr>
            <w:r>
              <w:rPr>
                <w:b/>
                <w:bCs/>
                <w:sz w:val="16"/>
                <w:szCs w:val="16"/>
              </w:rPr>
              <w:t xml:space="preserve">A3.3 </w:t>
            </w:r>
            <w:r>
              <w:rPr>
                <w:sz w:val="16"/>
                <w:szCs w:val="16"/>
              </w:rPr>
              <w:t xml:space="preserve">Payloads above a fixed size cap are rejected at send time rather than fragmented.</w:t>
            </w:r>
          </w:p>
        </w:tc>
        <w:tc>
          <w:tcPr>
            <w:tcW w:type="dxa" w:w="2250"/>
            <w:tcMar>
              <w:top w:type="dxa" w:w="30"/>
              <w:left w:type="dxa" w:w="100"/>
              <w:bottom w:type="dxa" w:w="30"/>
              <w:right w:type="dxa" w:w="100"/>
            </w:tcMar>
          </w:tcPr>
          <w:p>
            <w:pPr>
              <w:spacing w:after="20" w:line="240"/>
            </w:pPr>
            <w:r>
              <w:rPr>
                <w:sz w:val="16"/>
                <w:szCs w:val="16"/>
              </w:rPr>
              <w:t xml:space="preserve">A3.1 — </w:t>
            </w:r>
            <w:r>
              <w:rPr>
                <w:b/>
                <w:bCs/>
                <w:sz w:val="16"/>
                <w:szCs w:val="16"/>
              </w:rPr>
              <w:t xml:space="preserve">Unsupported</w:t>
            </w:r>
            <w:r>
              <w:rPr>
                <w:sz w:val="16"/>
                <w:szCs w:val="16"/>
              </w:rPr>
              <w:t xml:space="preserve">. The SRS requires the ability to set a TTL but is silent on a default, so this value was introduced during development.</w:t>
            </w:r>
          </w:p>
          <w:p>
            <w:pPr>
              <w:spacing w:after="20" w:line="240"/>
            </w:pPr>
            <w:r>
              <w:rPr>
                <w:sz w:val="16"/>
                <w:szCs w:val="16"/>
              </w:rPr>
              <w:t xml:space="preserve">A3.2 — </w:t>
            </w:r>
            <w:r>
              <w:rPr>
                <w:b/>
                <w:bCs/>
                <w:sz w:val="16"/>
                <w:szCs w:val="16"/>
              </w:rPr>
              <w:t xml:space="preserve">Design decision</w:t>
            </w:r>
            <w:r>
              <w:rPr>
                <w:sz w:val="16"/>
                <w:szCs w:val="16"/>
              </w:rPr>
              <w:t xml:space="preserve">, explicitly noted as diverging from §1.3. It exists only because the SRS mechanism is unobservable on one host.</w:t>
            </w:r>
          </w:p>
          <w:p>
            <w:pPr>
              <w:spacing w:after="20" w:line="240"/>
            </w:pPr>
            <w:r>
              <w:rPr>
                <w:sz w:val="16"/>
                <w:szCs w:val="16"/>
              </w:rPr>
              <w:t xml:space="preserve">A3.3 — </w:t>
            </w:r>
            <w:r>
              <w:rPr>
                <w:b/>
                <w:bCs/>
                <w:sz w:val="16"/>
                <w:szCs w:val="16"/>
              </w:rPr>
              <w:t xml:space="preserve">Design decision</w:t>
            </w:r>
            <w:r>
              <w:rPr>
                <w:sz w:val="16"/>
                <w:szCs w:val="16"/>
              </w:rPr>
              <w:t xml:space="preserve">. An implementation safety rail, not SRS-derived.</w:t>
            </w:r>
          </w:p>
        </w:tc>
      </w:tr>
      <w:tr>
        <w:tc>
          <w:tcPr>
            <w:tcW w:type="dxa" w:w="1150"/>
            <w:tcMar>
              <w:top w:type="dxa" w:w="30"/>
              <w:left w:type="dxa" w:w="100"/>
              <w:bottom w:type="dxa" w:w="30"/>
              <w:right w:type="dxa" w:w="100"/>
            </w:tcMar>
          </w:tcPr>
          <w:p>
            <w:pPr>
              <w:spacing w:after="20" w:line="240"/>
            </w:pPr>
            <w:r>
              <w:rPr>
                <w:b/>
                <w:bCs/>
                <w:sz w:val="16"/>
                <w:szCs w:val="16"/>
              </w:rPr>
              <w:t xml:space="preserve">3.2.3.1,</w:t>
            </w:r>
          </w:p>
          <w:p>
            <w:pPr>
              <w:spacing w:after="20" w:line="240"/>
            </w:pPr>
            <w:r>
              <w:rPr>
                <w:b/>
                <w:bCs/>
                <w:sz w:val="16"/>
                <w:szCs w:val="16"/>
              </w:rPr>
              <w:t xml:space="preserve">3.2.3.2,</w:t>
            </w:r>
          </w:p>
          <w:p>
            <w:pPr>
              <w:spacing w:after="20" w:line="240"/>
            </w:pPr>
            <w:r>
              <w:rPr>
                <w:b/>
                <w:bCs/>
                <w:sz w:val="16"/>
                <w:szCs w:val="16"/>
              </w:rPr>
              <w:t xml:space="preserve">3.2.3.3 †</w:t>
            </w:r>
          </w:p>
        </w:tc>
        <w:tc>
          <w:tcPr>
            <w:tcW w:type="dxa" w:w="1200"/>
            <w:tcMar>
              <w:top w:type="dxa" w:w="30"/>
              <w:left w:type="dxa" w:w="100"/>
              <w:bottom w:type="dxa" w:w="30"/>
              <w:right w:type="dxa" w:w="100"/>
            </w:tcMar>
          </w:tcPr>
          <w:p>
            <w:pPr>
              <w:spacing w:after="20" w:line="240"/>
            </w:pPr>
            <w:r>
              <w:rPr>
                <w:sz w:val="16"/>
                <w:szCs w:val="16"/>
              </w:rPr>
              <w:t xml:space="preserve">FR</w:t>
            </w:r>
          </w:p>
        </w:tc>
        <w:tc>
          <w:tcPr>
            <w:tcW w:type="dxa" w:w="2900"/>
            <w:tcMar>
              <w:top w:type="dxa" w:w="30"/>
              <w:left w:type="dxa" w:w="100"/>
              <w:bottom w:type="dxa" w:w="30"/>
              <w:right w:type="dxa" w:w="100"/>
            </w:tcMar>
          </w:tcPr>
          <w:p>
            <w:pPr>
              <w:spacing w:after="20" w:line="240"/>
            </w:pPr>
            <w:r>
              <w:rPr>
                <w:b/>
                <w:bCs/>
                <w:sz w:val="16"/>
                <w:szCs w:val="16"/>
              </w:rPr>
              <w:t xml:space="preserve">Broadcast communication. </w:t>
            </w:r>
            <w:r>
              <w:rPr>
                <w:sz w:val="16"/>
                <w:szCs w:val="16"/>
              </w:rPr>
              <w:t xml:space="preserve">“agentMom shall support the ability to sent [sic] broadcast message” (3.2.3.1) and “to receive broadcast message” (3.2.3.2). “Broadcast message shall be </w:t>
            </w:r>
            <w:r>
              <w:rPr>
                <w:b/>
                <w:bCs/>
                <w:sz w:val="16"/>
                <w:szCs w:val="16"/>
              </w:rPr>
              <w:t xml:space="preserve">sent to</w:t>
            </w:r>
            <w:r>
              <w:rPr>
                <w:sz w:val="16"/>
                <w:szCs w:val="16"/>
              </w:rPr>
              <w:t xml:space="preserve"> all possible hosts under the same local network” (3.2.3.3).</w:t>
            </w:r>
          </w:p>
        </w:tc>
        <w:tc>
          <w:tcPr>
            <w:tcW w:type="dxa" w:w="2700"/>
            <w:tcMar>
              <w:top w:type="dxa" w:w="30"/>
              <w:left w:type="dxa" w:w="100"/>
              <w:bottom w:type="dxa" w:w="30"/>
              <w:right w:type="dxa" w:w="100"/>
            </w:tcMar>
          </w:tcPr>
          <w:p>
            <w:pPr>
              <w:spacing w:after="20" w:line="240"/>
            </w:pPr>
            <w:r>
              <w:rPr>
                <w:sz w:val="16"/>
                <w:szCs w:val="16"/>
              </w:rPr>
              <w:t xml:space="preserve">All three sub-requirements are Driving Requirements.</w:t>
            </w:r>
          </w:p>
          <w:p>
            <w:pPr>
              <w:spacing w:after="20" w:line="240"/>
            </w:pPr>
            <w:r>
              <w:rPr>
                <w:b/>
                <w:bCs/>
                <w:sz w:val="16"/>
                <w:szCs w:val="16"/>
              </w:rPr>
              <w:t xml:space="preserve">Wording: </w:t>
            </w:r>
            <w:r>
              <w:rPr>
                <w:sz w:val="16"/>
                <w:szCs w:val="16"/>
              </w:rPr>
              <w:t xml:space="preserve">the SRS says a message shall be </w:t>
            </w:r>
            <w:r>
              <w:rPr>
                <w:i/>
                <w:iCs/>
                <w:sz w:val="16"/>
                <w:szCs w:val="16"/>
              </w:rPr>
              <w:t xml:space="preserve">sent to</w:t>
            </w:r>
            <w:r>
              <w:rPr>
                <w:sz w:val="16"/>
                <w:szCs w:val="16"/>
              </w:rPr>
              <w:t xml:space="preserve"> all hosts, not that it shall </w:t>
            </w:r>
            <w:r>
              <w:rPr>
                <w:i/>
                <w:iCs/>
                <w:sz w:val="16"/>
                <w:szCs w:val="16"/>
              </w:rPr>
              <w:t xml:space="preserve">reach</w:t>
            </w:r>
            <w:r>
              <w:rPr>
                <w:sz w:val="16"/>
                <w:szCs w:val="16"/>
              </w:rPr>
              <w:t xml:space="preserve"> them. This is consistent with 2.4.1, which permits delivery to none. We assert the send, not the delivery.</w:t>
            </w:r>
          </w:p>
          <w:p>
            <w:pPr>
              <w:spacing w:after="20" w:line="240"/>
            </w:pPr>
            <w:r>
              <w:rPr>
                <w:b/>
                <w:bCs/>
                <w:sz w:val="16"/>
                <w:szCs w:val="16"/>
              </w:rPr>
              <w:t xml:space="preserve">Risk: </w:t>
            </w:r>
            <w:r>
              <w:rPr>
                <w:sz w:val="16"/>
                <w:szCs w:val="16"/>
              </w:rPr>
              <w:t xml:space="preserve">constraint 2.4.4 warns broadcast may be administrator-only. On a single-machine test bed “all possible hosts” cannot be enumerated, so 3.2.3.3 is not verifiable at network scale.</w:t>
            </w:r>
          </w:p>
        </w:tc>
        <w:tc>
          <w:tcPr>
            <w:tcW w:type="dxa" w:w="2760"/>
            <w:tcMar>
              <w:top w:type="dxa" w:w="30"/>
              <w:left w:type="dxa" w:w="100"/>
              <w:bottom w:type="dxa" w:w="30"/>
              <w:right w:type="dxa" w:w="100"/>
            </w:tcMar>
          </w:tcPr>
          <w:p>
            <w:pPr>
              <w:spacing w:after="20" w:line="240"/>
            </w:pPr>
            <w:r>
              <w:rPr>
                <w:b/>
                <w:bCs/>
                <w:sz w:val="16"/>
                <w:szCs w:val="16"/>
              </w:rPr>
              <w:t xml:space="preserve">A4.1 </w:t>
            </w:r>
            <w:r>
              <w:rPr>
                <w:sz w:val="16"/>
                <w:szCs w:val="16"/>
              </w:rPr>
              <w:t xml:space="preserve">The limited broadcast address 255.255.255.255 satisfies “all possible hosts under the same local network”, with a subnet-directed fallback where the operating system does not route it.</w:t>
            </w:r>
          </w:p>
          <w:p>
            <w:pPr>
              <w:spacing w:after="20" w:line="240"/>
            </w:pPr>
            <w:r>
              <w:rPr>
                <w:b/>
                <w:bCs/>
                <w:sz w:val="16"/>
                <w:szCs w:val="16"/>
              </w:rPr>
              <w:t xml:space="preserve">A4.2 </w:t>
            </w:r>
            <w:r>
              <w:rPr>
                <w:sz w:val="16"/>
                <w:szCs w:val="16"/>
              </w:rPr>
              <w:t xml:space="preserve">The development and test machines permit broadcast traffic without administrator restriction.</w:t>
            </w:r>
          </w:p>
        </w:tc>
        <w:tc>
          <w:tcPr>
            <w:tcW w:type="dxa" w:w="2250"/>
            <w:tcMar>
              <w:top w:type="dxa" w:w="30"/>
              <w:left w:type="dxa" w:w="100"/>
              <w:bottom w:type="dxa" w:w="30"/>
              <w:right w:type="dxa" w:w="100"/>
            </w:tcMar>
          </w:tcPr>
          <w:p>
            <w:pPr>
              <w:spacing w:after="20" w:line="240"/>
            </w:pPr>
            <w:r>
              <w:rPr>
                <w:sz w:val="16"/>
                <w:szCs w:val="16"/>
              </w:rPr>
              <w:t xml:space="preserve">A4.1 — </w:t>
            </w:r>
            <w:r>
              <w:rPr>
                <w:b/>
                <w:bCs/>
                <w:sz w:val="16"/>
                <w:szCs w:val="16"/>
              </w:rPr>
              <w:t xml:space="preserve">Design decision</w:t>
            </w:r>
            <w:r>
              <w:rPr>
                <w:sz w:val="16"/>
                <w:szCs w:val="16"/>
              </w:rPr>
              <w:t xml:space="preserve">. The SRS names no broadcast address.</w:t>
            </w:r>
          </w:p>
          <w:p>
            <w:pPr>
              <w:spacing w:after="20" w:line="240"/>
            </w:pPr>
            <w:r>
              <w:rPr>
                <w:sz w:val="16"/>
                <w:szCs w:val="16"/>
              </w:rPr>
              <w:t xml:space="preserve">A4.2 — </w:t>
            </w:r>
            <w:r>
              <w:rPr>
                <w:b/>
                <w:bCs/>
                <w:sz w:val="16"/>
                <w:szCs w:val="16"/>
              </w:rPr>
              <w:t xml:space="preserve">Unsupported</w:t>
            </w:r>
            <w:r>
              <w:rPr>
                <w:sz w:val="16"/>
                <w:szCs w:val="16"/>
              </w:rPr>
              <w:t xml:space="preserve">. Constraint 2.4.4 states the opposite may hold, so this is a gap on our side rather than something the SRS supports.</w:t>
            </w:r>
          </w:p>
        </w:tc>
      </w:tr>
      <w:tr>
        <w:tc>
          <w:tcPr>
            <w:tcW w:type="dxa" w:w="1150"/>
            <w:tcMar>
              <w:top w:type="dxa" w:w="30"/>
              <w:left w:type="dxa" w:w="100"/>
              <w:bottom w:type="dxa" w:w="30"/>
              <w:right w:type="dxa" w:w="100"/>
            </w:tcMar>
          </w:tcPr>
          <w:p>
            <w:pPr>
              <w:spacing w:after="20" w:line="240"/>
            </w:pPr>
            <w:r>
              <w:rPr>
                <w:b/>
                <w:bCs/>
                <w:sz w:val="16"/>
                <w:szCs w:val="16"/>
              </w:rPr>
              <w:t xml:space="preserve">3.2.4.1 –</w:t>
            </w:r>
          </w:p>
          <w:p>
            <w:pPr>
              <w:spacing w:after="20" w:line="240"/>
            </w:pPr>
            <w:r>
              <w:rPr>
                <w:b/>
                <w:bCs/>
                <w:sz w:val="16"/>
                <w:szCs w:val="16"/>
              </w:rPr>
              <w:t xml:space="preserve">3.2.4.4</w:t>
            </w:r>
          </w:p>
        </w:tc>
        <w:tc>
          <w:tcPr>
            <w:tcW w:type="dxa" w:w="1200"/>
            <w:tcMar>
              <w:top w:type="dxa" w:w="30"/>
              <w:left w:type="dxa" w:w="100"/>
              <w:bottom w:type="dxa" w:w="30"/>
              <w:right w:type="dxa" w:w="100"/>
            </w:tcMar>
          </w:tcPr>
          <w:p>
            <w:pPr>
              <w:spacing w:after="20" w:line="240"/>
            </w:pPr>
            <w:r>
              <w:rPr>
                <w:sz w:val="16"/>
                <w:szCs w:val="16"/>
              </w:rPr>
              <w:t xml:space="preserve">FR</w:t>
            </w:r>
          </w:p>
        </w:tc>
        <w:tc>
          <w:tcPr>
            <w:tcW w:type="dxa" w:w="2900"/>
            <w:tcMar>
              <w:top w:type="dxa" w:w="30"/>
              <w:left w:type="dxa" w:w="100"/>
              <w:bottom w:type="dxa" w:w="30"/>
              <w:right w:type="dxa" w:w="100"/>
            </w:tcMar>
          </w:tcPr>
          <w:p>
            <w:pPr>
              <w:spacing w:after="20" w:line="240"/>
            </w:pPr>
            <w:r>
              <w:rPr>
                <w:b/>
                <w:bCs/>
                <w:sz w:val="16"/>
                <w:szCs w:val="16"/>
              </w:rPr>
              <w:t xml:space="preserve">Unicast encryption. </w:t>
            </w:r>
            <w:r>
              <w:rPr>
                <w:sz w:val="16"/>
                <w:szCs w:val="16"/>
              </w:rPr>
              <w:t xml:space="preserve">“agentMom shall support the ability to encrypt unicast message” (3.2.4.1) and “to decrypt unicast message” (3.2.4.2). “agentMom shall allow an agent to decide whether or not to encrypt a message” (3.2.4.3). “agentMom shall automatically decrypt encrypted message” (3.2.4.4).</w:t>
            </w:r>
          </w:p>
        </w:tc>
        <w:tc>
          <w:tcPr>
            <w:tcW w:type="dxa" w:w="2700"/>
            <w:tcMar>
              <w:top w:type="dxa" w:w="30"/>
              <w:left w:type="dxa" w:w="100"/>
              <w:bottom w:type="dxa" w:w="30"/>
              <w:right w:type="dxa" w:w="100"/>
            </w:tcMar>
          </w:tcPr>
          <w:p>
            <w:pPr>
              <w:spacing w:after="20" w:line="240"/>
            </w:pPr>
            <w:r>
              <w:rPr>
                <w:b/>
                <w:bCs/>
                <w:sz w:val="16"/>
                <w:szCs w:val="16"/>
              </w:rPr>
              <w:t xml:space="preserve">Entity: </w:t>
            </w:r>
            <w:r>
              <w:rPr>
                <w:sz w:val="16"/>
                <w:szCs w:val="16"/>
              </w:rPr>
              <w:t xml:space="preserve">the security state of a unicast message — applying it, removing it, and who decides.</w:t>
            </w:r>
          </w:p>
          <w:p>
            <w:pPr>
              <w:spacing w:after="20" w:line="240"/>
            </w:pPr>
            <w:r>
              <w:rPr>
                <w:sz w:val="16"/>
                <w:szCs w:val="16"/>
              </w:rPr>
              <w:t xml:space="preserve">3.2.4.1 and 3.2.4.2 are Driving Requirements.</w:t>
            </w:r>
          </w:p>
          <w:p>
            <w:pPr>
              <w:spacing w:after="20" w:line="240"/>
            </w:pPr>
            <w:r>
              <w:rPr>
                <w:b/>
                <w:bCs/>
                <w:sz w:val="16"/>
                <w:szCs w:val="16"/>
              </w:rPr>
              <w:t xml:space="preserve">Risk: </w:t>
            </w:r>
            <w:r>
              <w:rPr>
                <w:sz w:val="16"/>
                <w:szCs w:val="16"/>
              </w:rPr>
              <w:t xml:space="preserve">3.2.4.3 keeps the unencrypted path permanently reachable by choice, so confidentiality is a per-message property rather than a system property.</w:t>
            </w:r>
          </w:p>
        </w:tc>
        <w:tc>
          <w:tcPr>
            <w:tcW w:type="dxa" w:w="2760"/>
            <w:tcMar>
              <w:top w:type="dxa" w:w="30"/>
              <w:left w:type="dxa" w:w="100"/>
              <w:bottom w:type="dxa" w:w="30"/>
              <w:right w:type="dxa" w:w="100"/>
            </w:tcMar>
          </w:tcPr>
          <w:p>
            <w:pPr>
              <w:spacing w:after="20" w:line="240"/>
            </w:pPr>
            <w:r>
              <w:rPr>
                <w:b/>
                <w:bCs/>
                <w:sz w:val="16"/>
                <w:szCs w:val="16"/>
              </w:rPr>
              <w:t xml:space="preserve">A5.1 </w:t>
            </w:r>
            <w:r>
              <w:rPr>
                <w:sz w:val="16"/>
                <w:szCs w:val="16"/>
              </w:rPr>
              <w:t xml:space="preserve">AES-256-GCM is used.</w:t>
            </w:r>
          </w:p>
          <w:p>
            <w:pPr>
              <w:spacing w:after="20" w:line="240"/>
            </w:pPr>
            <w:r>
              <w:rPr>
                <w:b/>
                <w:bCs/>
                <w:sz w:val="16"/>
                <w:szCs w:val="16"/>
              </w:rPr>
              <w:t xml:space="preserve">A5.2 </w:t>
            </w:r>
            <w:r>
              <w:rPr>
                <w:sz w:val="16"/>
                <w:szCs w:val="16"/>
              </w:rPr>
              <w:t xml:space="preserve">A single shared symmetric key per unordered agent pair, derived deterministically from the pair identity and a project seed; no key-exchange handshake exists.</w:t>
            </w:r>
          </w:p>
          <w:p>
            <w:pPr>
              <w:spacing w:after="20" w:line="240"/>
            </w:pPr>
            <w:r>
              <w:rPr>
                <w:b/>
                <w:bCs/>
                <w:sz w:val="16"/>
                <w:szCs w:val="16"/>
              </w:rPr>
              <w:t xml:space="preserve">A5.3 </w:t>
            </w:r>
            <w:r>
              <w:rPr>
                <w:sz w:val="16"/>
                <w:szCs w:val="16"/>
              </w:rPr>
              <w:t xml:space="preserve">An envelope marked encrypted but missing its IV or authentication tag is treated as malformed and dropped without a decryption attempt.</w:t>
            </w:r>
          </w:p>
        </w:tc>
        <w:tc>
          <w:tcPr>
            <w:tcW w:type="dxa" w:w="2250"/>
            <w:tcMar>
              <w:top w:type="dxa" w:w="30"/>
              <w:left w:type="dxa" w:w="100"/>
              <w:bottom w:type="dxa" w:w="30"/>
              <w:right w:type="dxa" w:w="100"/>
            </w:tcMar>
          </w:tcPr>
          <w:p>
            <w:pPr>
              <w:spacing w:after="20" w:line="240"/>
            </w:pPr>
            <w:r>
              <w:rPr>
                <w:sz w:val="16"/>
                <w:szCs w:val="16"/>
              </w:rPr>
              <w:t xml:space="preserve">A5.1 — </w:t>
            </w:r>
            <w:r>
              <w:rPr>
                <w:b/>
                <w:bCs/>
                <w:sz w:val="16"/>
                <w:szCs w:val="16"/>
              </w:rPr>
              <w:t xml:space="preserve">Design decision</w:t>
            </w:r>
            <w:r>
              <w:rPr>
                <w:sz w:val="16"/>
                <w:szCs w:val="16"/>
              </w:rPr>
              <w:t xml:space="preserve">. The SRS names no algorithm (see NFR10).</w:t>
            </w:r>
          </w:p>
          <w:p>
            <w:pPr>
              <w:spacing w:after="20" w:line="240"/>
            </w:pPr>
            <w:r>
              <w:rPr>
                <w:sz w:val="16"/>
                <w:szCs w:val="16"/>
              </w:rPr>
              <w:t xml:space="preserve">A5.2 — </w:t>
            </w:r>
            <w:r>
              <w:rPr>
                <w:b/>
                <w:bCs/>
                <w:sz w:val="16"/>
                <w:szCs w:val="16"/>
              </w:rPr>
              <w:t xml:space="preserve">Unsupported</w:t>
            </w:r>
            <w:r>
              <w:rPr>
                <w:sz w:val="16"/>
                <w:szCs w:val="16"/>
              </w:rPr>
              <w:t xml:space="preserve">. Section 2.5.3 describes a key holder for the </w:t>
            </w:r>
            <w:r>
              <w:rPr>
                <w:i/>
                <w:iCs/>
                <w:sz w:val="16"/>
                <w:szCs w:val="16"/>
              </w:rPr>
              <w:t xml:space="preserve">multicast</w:t>
            </w:r>
            <w:r>
              <w:rPr>
                <w:sz w:val="16"/>
                <w:szCs w:val="16"/>
              </w:rPr>
              <w:t xml:space="preserve"> case only and says nothing about unicast keys, so this was added during development.</w:t>
            </w:r>
          </w:p>
          <w:p>
            <w:pPr>
              <w:spacing w:after="20" w:line="240"/>
            </w:pPr>
            <w:r>
              <w:rPr>
                <w:sz w:val="16"/>
                <w:szCs w:val="16"/>
              </w:rPr>
              <w:t xml:space="preserve">A5.3 — </w:t>
            </w:r>
            <w:r>
              <w:rPr>
                <w:b/>
                <w:bCs/>
                <w:sz w:val="16"/>
                <w:szCs w:val="16"/>
              </w:rPr>
              <w:t xml:space="preserve">Design decision</w:t>
            </w:r>
            <w:r>
              <w:rPr>
                <w:sz w:val="16"/>
                <w:szCs w:val="16"/>
              </w:rPr>
              <w:t xml:space="preserve">. The SRS does not define malformed-message handling.</w:t>
            </w:r>
          </w:p>
        </w:tc>
      </w:tr>
      <w:tr>
        <w:tc>
          <w:tcPr>
            <w:tcW w:type="dxa" w:w="1150"/>
            <w:tcMar>
              <w:top w:type="dxa" w:w="30"/>
              <w:left w:type="dxa" w:w="100"/>
              <w:bottom w:type="dxa" w:w="30"/>
              <w:right w:type="dxa" w:w="100"/>
            </w:tcMar>
          </w:tcPr>
          <w:p>
            <w:pPr>
              <w:spacing w:after="20" w:line="240"/>
            </w:pPr>
            <w:r>
              <w:rPr>
                <w:b/>
                <w:bCs/>
                <w:sz w:val="16"/>
                <w:szCs w:val="16"/>
              </w:rPr>
              <w:t xml:space="preserve">3.2.4.5,</w:t>
            </w:r>
          </w:p>
          <w:p>
            <w:pPr>
              <w:spacing w:after="20" w:line="240"/>
            </w:pPr>
            <w:r>
              <w:rPr>
                <w:b/>
                <w:bCs/>
                <w:sz w:val="16"/>
                <w:szCs w:val="16"/>
              </w:rPr>
              <w:t xml:space="preserve">3.2.4.6</w:t>
            </w:r>
          </w:p>
        </w:tc>
        <w:tc>
          <w:tcPr>
            <w:tcW w:type="dxa" w:w="1200"/>
            <w:tcMar>
              <w:top w:type="dxa" w:w="30"/>
              <w:left w:type="dxa" w:w="100"/>
              <w:bottom w:type="dxa" w:w="30"/>
              <w:right w:type="dxa" w:w="100"/>
            </w:tcMar>
          </w:tcPr>
          <w:p>
            <w:pPr>
              <w:spacing w:after="20" w:line="240"/>
            </w:pPr>
            <w:r>
              <w:rPr>
                <w:sz w:val="16"/>
                <w:szCs w:val="16"/>
              </w:rPr>
              <w:t xml:space="preserve">FR</w:t>
            </w:r>
          </w:p>
        </w:tc>
        <w:tc>
          <w:tcPr>
            <w:tcW w:type="dxa" w:w="2900"/>
            <w:tcMar>
              <w:top w:type="dxa" w:w="30"/>
              <w:left w:type="dxa" w:w="100"/>
              <w:bottom w:type="dxa" w:w="30"/>
              <w:right w:type="dxa" w:w="100"/>
            </w:tcMar>
          </w:tcPr>
          <w:p>
            <w:pPr>
              <w:spacing w:after="20" w:line="240"/>
            </w:pPr>
            <w:r>
              <w:rPr>
                <w:b/>
                <w:bCs/>
                <w:sz w:val="16"/>
                <w:szCs w:val="16"/>
              </w:rPr>
              <w:t xml:space="preserve">Multicast encryption. </w:t>
            </w:r>
            <w:r>
              <w:rPr>
                <w:sz w:val="16"/>
                <w:szCs w:val="16"/>
              </w:rPr>
              <w:t xml:space="preserve">“agentMom shall support the ability to encrypt multicast message” (3.2.4.5) and “to decrypt multicast message” (3.2.4.6).</w:t>
            </w:r>
          </w:p>
        </w:tc>
        <w:tc>
          <w:tcPr>
            <w:tcW w:type="dxa" w:w="2700"/>
            <w:tcMar>
              <w:top w:type="dxa" w:w="30"/>
              <w:left w:type="dxa" w:w="100"/>
              <w:bottom w:type="dxa" w:w="30"/>
              <w:right w:type="dxa" w:w="100"/>
            </w:tcMar>
          </w:tcPr>
          <w:p>
            <w:pPr>
              <w:spacing w:after="20" w:line="240"/>
            </w:pPr>
            <w:r>
              <w:rPr>
                <w:sz w:val="16"/>
                <w:szCs w:val="16"/>
              </w:rPr>
              <w:t xml:space="preserve">Extends encryption to group communication, which carries more weight than the unicast case because one compromised group key exposes every member at once.</w:t>
            </w:r>
          </w:p>
          <w:p>
            <w:pPr>
              <w:spacing w:after="20" w:line="240"/>
            </w:pPr>
            <w:r>
              <w:rPr>
                <w:b/>
                <w:bCs/>
                <w:sz w:val="16"/>
                <w:szCs w:val="16"/>
              </w:rPr>
              <w:t xml:space="preserve">Risk: </w:t>
            </w:r>
            <w:r>
              <w:rPr>
                <w:sz w:val="16"/>
                <w:szCs w:val="16"/>
              </w:rPr>
              <w:t xml:space="preserve">distributing the shared key, and the absence of any revocation as membership changes.</w:t>
            </w:r>
          </w:p>
        </w:tc>
        <w:tc>
          <w:tcPr>
            <w:tcW w:type="dxa" w:w="2760"/>
            <w:tcMar>
              <w:top w:type="dxa" w:w="30"/>
              <w:left w:type="dxa" w:w="100"/>
              <w:bottom w:type="dxa" w:w="30"/>
              <w:right w:type="dxa" w:w="100"/>
            </w:tcMar>
          </w:tcPr>
          <w:p>
            <w:pPr>
              <w:spacing w:after="20" w:line="240"/>
            </w:pPr>
            <w:r>
              <w:rPr>
                <w:b/>
                <w:bCs/>
                <w:sz w:val="16"/>
                <w:szCs w:val="16"/>
              </w:rPr>
              <w:t xml:space="preserve">A6.1 </w:t>
            </w:r>
            <w:r>
              <w:rPr>
                <w:sz w:val="16"/>
                <w:szCs w:val="16"/>
              </w:rPr>
              <w:t xml:space="preserve">A key-holder agent exists and issues the group key only to agents on its allow-list.</w:t>
            </w:r>
          </w:p>
          <w:p>
            <w:pPr>
              <w:spacing w:after="20" w:line="240"/>
            </w:pPr>
            <w:r>
              <w:rPr>
                <w:b/>
                <w:bCs/>
                <w:sz w:val="16"/>
                <w:szCs w:val="16"/>
              </w:rPr>
              <w:t xml:space="preserve">A6.2 </w:t>
            </w:r>
            <w:r>
              <w:rPr>
                <w:sz w:val="16"/>
                <w:szCs w:val="16"/>
              </w:rPr>
              <w:t xml:space="preserve">The group key is never rotated or revoked when a member leaves, so a departed agent retains the ability to decrypt group traffic.</w:t>
            </w:r>
          </w:p>
          <w:p>
            <w:pPr>
              <w:spacing w:after="20" w:line="240"/>
            </w:pPr>
            <w:r>
              <w:rPr>
                <w:b/>
                <w:bCs/>
                <w:sz w:val="16"/>
                <w:szCs w:val="16"/>
              </w:rPr>
              <w:t xml:space="preserve">A6.3 </w:t>
            </w:r>
            <w:r>
              <w:rPr>
                <w:sz w:val="16"/>
                <w:szCs w:val="16"/>
              </w:rPr>
              <w:t xml:space="preserve">Key request and key response messages are always encrypted, overriding the per-message opt-out in 3.2.4.3.</w:t>
            </w:r>
          </w:p>
        </w:tc>
        <w:tc>
          <w:tcPr>
            <w:tcW w:type="dxa" w:w="2250"/>
            <w:tcMar>
              <w:top w:type="dxa" w:w="30"/>
              <w:left w:type="dxa" w:w="100"/>
              <w:bottom w:type="dxa" w:w="30"/>
              <w:right w:type="dxa" w:w="100"/>
            </w:tcMar>
          </w:tcPr>
          <w:p>
            <w:pPr>
              <w:spacing w:after="20" w:line="240"/>
            </w:pPr>
            <w:r>
              <w:rPr>
                <w:sz w:val="16"/>
                <w:szCs w:val="16"/>
              </w:rPr>
              <w:t xml:space="preserve">A6.1 — </w:t>
            </w:r>
            <w:r>
              <w:rPr>
                <w:b/>
                <w:bCs/>
                <w:sz w:val="16"/>
                <w:szCs w:val="16"/>
              </w:rPr>
              <w:t xml:space="preserve">Supported by SRS</w:t>
            </w:r>
            <w:r>
              <w:rPr>
                <w:sz w:val="16"/>
                <w:szCs w:val="16"/>
              </w:rPr>
              <w:t xml:space="preserve"> (2.5.3 states a key-holder agent maintains a list of agents </w:t>
            </w:r>
            <w:r>
              <w:rPr>
                <w:i/>
                <w:iCs/>
                <w:sz w:val="16"/>
                <w:szCs w:val="16"/>
              </w:rPr>
              <w:t xml:space="preserve">allowed to get the keys</w:t>
            </w:r>
            <w:r>
              <w:rPr>
                <w:sz w:val="16"/>
                <w:szCs w:val="16"/>
              </w:rPr>
              <w:t xml:space="preserve">).</w:t>
            </w:r>
          </w:p>
          <w:p>
            <w:pPr>
              <w:spacing w:after="20" w:line="240"/>
            </w:pPr>
            <w:r>
              <w:rPr>
                <w:sz w:val="16"/>
                <w:szCs w:val="16"/>
              </w:rPr>
              <w:t xml:space="preserve">A6.2 — </w:t>
            </w:r>
            <w:r>
              <w:rPr>
                <w:b/>
                <w:bCs/>
                <w:sz w:val="16"/>
                <w:szCs w:val="16"/>
              </w:rPr>
              <w:t xml:space="preserve">Unsupported</w:t>
            </w:r>
            <w:r>
              <w:rPr>
                <w:sz w:val="16"/>
                <w:szCs w:val="16"/>
              </w:rPr>
              <w:t xml:space="preserve">. The SRS is silent on rotation and revocation; this simplification is ours.</w:t>
            </w:r>
          </w:p>
          <w:p>
            <w:pPr>
              <w:spacing w:after="20" w:line="240"/>
            </w:pPr>
            <w:r>
              <w:rPr>
                <w:sz w:val="16"/>
                <w:szCs w:val="16"/>
              </w:rPr>
              <w:t xml:space="preserve">A6.3 — </w:t>
            </w:r>
            <w:r>
              <w:rPr>
                <w:b/>
                <w:bCs/>
                <w:sz w:val="16"/>
                <w:szCs w:val="16"/>
              </w:rPr>
              <w:t xml:space="preserve">Design decision</w:t>
            </w:r>
            <w:r>
              <w:rPr>
                <w:sz w:val="16"/>
                <w:szCs w:val="16"/>
              </w:rPr>
              <w:t xml:space="preserve">. Sending a key in plaintext would defeat the mechanism, but the SRS does not require this.</w:t>
            </w:r>
          </w:p>
        </w:tc>
      </w:tr>
      <w:tr>
        <w:tc>
          <w:tcPr>
            <w:tcW w:type="dxa" w:w="1150"/>
            <w:tcMar>
              <w:top w:type="dxa" w:w="30"/>
              <w:left w:type="dxa" w:w="100"/>
              <w:bottom w:type="dxa" w:w="30"/>
              <w:right w:type="dxa" w:w="100"/>
            </w:tcMar>
          </w:tcPr>
          <w:p>
            <w:pPr>
              <w:spacing w:after="20" w:line="240"/>
            </w:pPr>
            <w:r>
              <w:rPr>
                <w:b/>
                <w:bCs/>
                <w:sz w:val="16"/>
                <w:szCs w:val="16"/>
              </w:rPr>
              <w:t xml:space="preserve">3.2.5.1,</w:t>
            </w:r>
          </w:p>
          <w:p>
            <w:pPr>
              <w:spacing w:after="20" w:line="240"/>
            </w:pPr>
            <w:r>
              <w:rPr>
                <w:b/>
                <w:bCs/>
                <w:sz w:val="16"/>
                <w:szCs w:val="16"/>
              </w:rPr>
              <w:t xml:space="preserve">3.2.5.2</w:t>
            </w:r>
          </w:p>
        </w:tc>
        <w:tc>
          <w:tcPr>
            <w:tcW w:type="dxa" w:w="1200"/>
            <w:tcMar>
              <w:top w:type="dxa" w:w="30"/>
              <w:left w:type="dxa" w:w="100"/>
              <w:bottom w:type="dxa" w:w="30"/>
              <w:right w:type="dxa" w:w="100"/>
            </w:tcMar>
          </w:tcPr>
          <w:p>
            <w:pPr>
              <w:spacing w:after="20" w:line="240"/>
            </w:pPr>
            <w:r>
              <w:rPr>
                <w:sz w:val="16"/>
                <w:szCs w:val="16"/>
              </w:rPr>
              <w:t xml:space="preserve">FR</w:t>
            </w:r>
          </w:p>
        </w:tc>
        <w:tc>
          <w:tcPr>
            <w:tcW w:type="dxa" w:w="2900"/>
            <w:tcMar>
              <w:top w:type="dxa" w:w="30"/>
              <w:left w:type="dxa" w:w="100"/>
              <w:bottom w:type="dxa" w:w="30"/>
              <w:right w:type="dxa" w:w="100"/>
            </w:tcMar>
          </w:tcPr>
          <w:p>
            <w:pPr>
              <w:spacing w:after="20" w:line="240"/>
            </w:pPr>
            <w:r>
              <w:rPr>
                <w:b/>
                <w:bCs/>
                <w:sz w:val="16"/>
                <w:szCs w:val="16"/>
              </w:rPr>
              <w:t xml:space="preserve">Conversation control architecture. </w:t>
            </w:r>
            <w:r>
              <w:rPr>
                <w:sz w:val="16"/>
                <w:szCs w:val="16"/>
              </w:rPr>
              <w:t xml:space="preserve">“agentMom [with] shall support the use of the architecture that agent directly controls the conversations” (3.2.5.1) and “the architecture that agent’s components control the conversations” (3.2.5.2).</w:t>
            </w:r>
          </w:p>
        </w:tc>
        <w:tc>
          <w:tcPr>
            <w:tcW w:type="dxa" w:w="2700"/>
            <w:tcMar>
              <w:top w:type="dxa" w:w="30"/>
              <w:left w:type="dxa" w:w="100"/>
              <w:bottom w:type="dxa" w:w="30"/>
              <w:right w:type="dxa" w:w="100"/>
            </w:tcMar>
          </w:tcPr>
          <w:p>
            <w:pPr>
              <w:spacing w:after="20" w:line="240"/>
            </w:pPr>
            <w:r>
              <w:rPr>
                <w:sz w:val="16"/>
                <w:szCs w:val="16"/>
              </w:rPr>
              <w:t xml:space="preserve">Both variants are Driving Requirements and represent a genuine architectural decision rather than routine behaviour.</w:t>
            </w:r>
          </w:p>
          <w:p>
            <w:pPr>
              <w:spacing w:after="20" w:line="240"/>
            </w:pPr>
            <w:r>
              <w:rPr>
                <w:b/>
                <w:bCs/>
                <w:sz w:val="16"/>
                <w:szCs w:val="16"/>
              </w:rPr>
              <w:t xml:space="preserve">Risk: </w:t>
            </w:r>
            <w:r>
              <w:rPr>
                <w:sz w:val="16"/>
                <w:szCs w:val="16"/>
              </w:rPr>
              <w:t xml:space="preserve">the two control styles may require different internal routing logic, which would duplicate a substantial part of the implementation.</w:t>
            </w:r>
          </w:p>
        </w:tc>
        <w:tc>
          <w:tcPr>
            <w:tcW w:type="dxa" w:w="2760"/>
            <w:tcMar>
              <w:top w:type="dxa" w:w="30"/>
              <w:left w:type="dxa" w:w="100"/>
              <w:bottom w:type="dxa" w:w="30"/>
              <w:right w:type="dxa" w:w="100"/>
            </w:tcMar>
          </w:tcPr>
          <w:p>
            <w:pPr>
              <w:spacing w:after="20" w:line="240"/>
            </w:pPr>
            <w:r>
              <w:rPr>
                <w:b/>
                <w:bCs/>
                <w:sz w:val="16"/>
                <w:szCs w:val="16"/>
              </w:rPr>
              <w:t xml:space="preserve">A7.1 </w:t>
            </w:r>
            <w:r>
              <w:rPr>
                <w:sz w:val="16"/>
                <w:szCs w:val="16"/>
              </w:rPr>
              <w:t xml:space="preserve">Both architectures sit behind one common handler interface over a shared transport layer; only the conversation control logic differs.</w:t>
            </w:r>
          </w:p>
          <w:p>
            <w:pPr>
              <w:spacing w:after="20" w:line="240"/>
            </w:pPr>
            <w:r>
              <w:rPr>
                <w:b/>
                <w:bCs/>
                <w:sz w:val="16"/>
                <w:szCs w:val="16"/>
              </w:rPr>
              <w:t xml:space="preserve">A7.2 </w:t>
            </w:r>
            <w:r>
              <w:rPr>
                <w:sz w:val="16"/>
                <w:szCs w:val="16"/>
              </w:rPr>
              <w:t xml:space="preserve">The architecture mode is switchable at runtime without restarting the agent’s sockets.</w:t>
            </w:r>
          </w:p>
        </w:tc>
        <w:tc>
          <w:tcPr>
            <w:tcW w:type="dxa" w:w="2250"/>
            <w:tcMar>
              <w:top w:type="dxa" w:w="30"/>
              <w:left w:type="dxa" w:w="100"/>
              <w:bottom w:type="dxa" w:w="30"/>
              <w:right w:type="dxa" w:w="100"/>
            </w:tcMar>
          </w:tcPr>
          <w:p>
            <w:pPr>
              <w:spacing w:after="20" w:line="240"/>
            </w:pPr>
            <w:r>
              <w:rPr>
                <w:sz w:val="16"/>
                <w:szCs w:val="16"/>
              </w:rPr>
              <w:t xml:space="preserve">A7.1 — </w:t>
            </w:r>
            <w:r>
              <w:rPr>
                <w:b/>
                <w:bCs/>
                <w:sz w:val="16"/>
                <w:szCs w:val="16"/>
              </w:rPr>
              <w:t xml:space="preserve">Design decision</w:t>
            </w:r>
            <w:r>
              <w:rPr>
                <w:sz w:val="16"/>
                <w:szCs w:val="16"/>
              </w:rPr>
              <w:t xml:space="preserve">. The SRS requires both architectures but does not say whether they share a transport layer; sharing was our choice, to avoid duplication.</w:t>
            </w:r>
          </w:p>
          <w:p>
            <w:pPr>
              <w:spacing w:after="20" w:line="240"/>
            </w:pPr>
            <w:r>
              <w:rPr>
                <w:sz w:val="16"/>
                <w:szCs w:val="16"/>
              </w:rPr>
              <w:t xml:space="preserve">A7.2 — </w:t>
            </w:r>
            <w:r>
              <w:rPr>
                <w:b/>
                <w:bCs/>
                <w:sz w:val="16"/>
                <w:szCs w:val="16"/>
              </w:rPr>
              <w:t xml:space="preserve">Design decision</w:t>
            </w:r>
            <w:r>
              <w:rPr>
                <w:sz w:val="16"/>
                <w:szCs w:val="16"/>
              </w:rPr>
              <w:t xml:space="preserve">. Added for demonstrability; the SRS does not require runtime switching.</w:t>
            </w:r>
          </w:p>
        </w:tc>
      </w:tr>
      <w:tr>
        <w:tc>
          <w:tcPr>
            <w:tcW w:type="dxa" w:w="1150"/>
            <w:tcMar>
              <w:top w:type="dxa" w:w="30"/>
              <w:left w:type="dxa" w:w="100"/>
              <w:bottom w:type="dxa" w:w="30"/>
              <w:right w:type="dxa" w:w="100"/>
            </w:tcMar>
          </w:tcPr>
          <w:p>
            <w:pPr>
              <w:spacing w:after="20" w:line="240"/>
            </w:pPr>
            <w:r>
              <w:rPr>
                <w:b/>
                <w:bCs/>
                <w:sz w:val="16"/>
                <w:szCs w:val="16"/>
              </w:rPr>
              <w:t xml:space="preserve">3.2.6.1</w:t>
            </w:r>
          </w:p>
        </w:tc>
        <w:tc>
          <w:tcPr>
            <w:tcW w:type="dxa" w:w="1200"/>
            <w:tcMar>
              <w:top w:type="dxa" w:w="30"/>
              <w:left w:type="dxa" w:w="100"/>
              <w:bottom w:type="dxa" w:w="30"/>
              <w:right w:type="dxa" w:w="100"/>
            </w:tcMar>
          </w:tcPr>
          <w:p>
            <w:pPr>
              <w:spacing w:after="20" w:line="240"/>
            </w:pPr>
            <w:r>
              <w:rPr>
                <w:b/>
                <w:bCs/>
                <w:sz w:val="16"/>
                <w:szCs w:val="16"/>
              </w:rPr>
              <w:t xml:space="preserve">NFR</w:t>
            </w:r>
          </w:p>
          <w:p>
            <w:pPr>
              <w:spacing w:after="20" w:line="240"/>
            </w:pPr>
            <w:r>
              <w:rPr>
                <w:sz w:val="16"/>
                <w:szCs w:val="16"/>
              </w:rPr>
              <w:t xml:space="preserve">Compatibility</w:t>
            </w:r>
          </w:p>
          <w:p>
            <w:pPr>
              <w:spacing w:after="20" w:line="240"/>
            </w:pPr>
            <w:r>
              <w:rPr>
                <w:i/>
                <w:iCs/>
                <w:sz w:val="14"/>
                <w:szCs w:val="14"/>
              </w:rPr>
              <w:t xml:space="preserve">(ISO/IEC 25010: Compatibility / Co-existence)</w:t>
            </w:r>
          </w:p>
        </w:tc>
        <w:tc>
          <w:tcPr>
            <w:tcW w:type="dxa" w:w="2900"/>
            <w:tcMar>
              <w:top w:type="dxa" w:w="30"/>
              <w:left w:type="dxa" w:w="100"/>
              <w:bottom w:type="dxa" w:w="30"/>
              <w:right w:type="dxa" w:w="100"/>
            </w:tcMar>
          </w:tcPr>
          <w:p>
            <w:pPr>
              <w:spacing w:after="20" w:line="240"/>
            </w:pPr>
            <w:r>
              <w:rPr>
                <w:b/>
                <w:bCs/>
                <w:sz w:val="16"/>
                <w:szCs w:val="16"/>
              </w:rPr>
              <w:t xml:space="preserve">Compatibility. </w:t>
            </w:r>
            <w:r>
              <w:rPr>
                <w:sz w:val="16"/>
                <w:szCs w:val="16"/>
              </w:rPr>
              <w:t xml:space="preserve">“The new built agentMom shall be compatible with the agentMom 1.2” (3.2.6.1).</w:t>
            </w:r>
          </w:p>
        </w:tc>
        <w:tc>
          <w:tcPr>
            <w:tcW w:type="dxa" w:w="2700"/>
            <w:tcMar>
              <w:top w:type="dxa" w:w="30"/>
              <w:left w:type="dxa" w:w="100"/>
              <w:bottom w:type="dxa" w:w="30"/>
              <w:right w:type="dxa" w:w="100"/>
            </w:tcMar>
          </w:tcPr>
          <w:p>
            <w:pPr>
              <w:spacing w:after="20" w:line="240"/>
            </w:pPr>
            <w:r>
              <w:rPr>
                <w:sz w:val="16"/>
                <w:szCs w:val="16"/>
              </w:rPr>
              <w:t xml:space="preserve">Classified as an NFR because it constrains a quality property of the product rather than specifying a function it performs, despite appearing inside §3.2.</w:t>
            </w:r>
          </w:p>
          <w:p>
            <w:pPr>
              <w:spacing w:after="20" w:line="240"/>
            </w:pPr>
            <w:r>
              <w:rPr>
                <w:sz w:val="16"/>
                <w:szCs w:val="16"/>
              </w:rPr>
              <w:t xml:space="preserve">It matters because any existing agentMom 1.2 deployment should keep working once this project is added on top of it.</w:t>
            </w:r>
          </w:p>
          <w:p>
            <w:pPr>
              <w:spacing w:after="20" w:line="240"/>
            </w:pPr>
            <w:r>
              <w:rPr>
                <w:b/>
                <w:bCs/>
                <w:sz w:val="16"/>
                <w:szCs w:val="16"/>
              </w:rPr>
              <w:t xml:space="preserve">Risk: </w:t>
            </w:r>
            <w:r>
              <w:rPr>
                <w:sz w:val="16"/>
                <w:szCs w:val="16"/>
              </w:rPr>
              <w:t xml:space="preserve">no agentMom 1.2 artifact is available to us, and our implementation is not on the Java runtime the SRS specifies (2.1, 2.1.1). Compatibility therefore cannot be validated against the real 1.2.</w:t>
            </w:r>
          </w:p>
        </w:tc>
        <w:tc>
          <w:tcPr>
            <w:tcW w:type="dxa" w:w="2760"/>
            <w:tcMar>
              <w:top w:type="dxa" w:w="30"/>
              <w:left w:type="dxa" w:w="100"/>
              <w:bottom w:type="dxa" w:w="30"/>
              <w:right w:type="dxa" w:w="100"/>
            </w:tcMar>
          </w:tcPr>
          <w:p>
            <w:pPr>
              <w:spacing w:after="20" w:line="240"/>
            </w:pPr>
            <w:r>
              <w:rPr>
                <w:b/>
                <w:bCs/>
                <w:sz w:val="16"/>
                <w:szCs w:val="16"/>
              </w:rPr>
              <w:t xml:space="preserve">A8.1 </w:t>
            </w:r>
            <w:r>
              <w:rPr>
                <w:sz w:val="16"/>
                <w:szCs w:val="16"/>
              </w:rPr>
              <w:t xml:space="preserve">“Compatible” is interpreted as: the existing 1.2 public interface signatures are left unchanged, and new features are added alongside them rather than by modifying existing methods.</w:t>
            </w:r>
          </w:p>
          <w:p>
            <w:pPr>
              <w:spacing w:after="20" w:line="240"/>
            </w:pPr>
            <w:r>
              <w:rPr>
                <w:b/>
                <w:bCs/>
                <w:sz w:val="16"/>
                <w:szCs w:val="16"/>
              </w:rPr>
              <w:t xml:space="preserve">A8.2 </w:t>
            </w:r>
            <w:r>
              <w:rPr>
                <w:sz w:val="16"/>
                <w:szCs w:val="16"/>
              </w:rPr>
              <w:t xml:space="preserve">The 1.2 interface surface is reconstructed by us from SRS §2.2, because no reference implementation is obtainable.</w:t>
            </w:r>
          </w:p>
        </w:tc>
        <w:tc>
          <w:tcPr>
            <w:tcW w:type="dxa" w:w="2250"/>
            <w:tcMar>
              <w:top w:type="dxa" w:w="30"/>
              <w:left w:type="dxa" w:w="100"/>
              <w:bottom w:type="dxa" w:w="30"/>
              <w:right w:type="dxa" w:w="100"/>
            </w:tcMar>
          </w:tcPr>
          <w:p>
            <w:pPr>
              <w:spacing w:after="20" w:line="240"/>
            </w:pPr>
            <w:r>
              <w:rPr>
                <w:sz w:val="16"/>
                <w:szCs w:val="16"/>
              </w:rPr>
              <w:t xml:space="preserve">A8.1 — </w:t>
            </w:r>
            <w:r>
              <w:rPr>
                <w:b/>
                <w:bCs/>
                <w:sz w:val="16"/>
                <w:szCs w:val="16"/>
              </w:rPr>
              <w:t xml:space="preserve">Design decision</w:t>
            </w:r>
            <w:r>
              <w:rPr>
                <w:sz w:val="16"/>
                <w:szCs w:val="16"/>
              </w:rPr>
              <w:t xml:space="preserve">. The SRS requires compatibility but never defines it at the interface level, so this interpretation is ours.</w:t>
            </w:r>
          </w:p>
          <w:p>
            <w:pPr>
              <w:spacing w:after="20" w:line="240"/>
            </w:pPr>
            <w:r>
              <w:rPr>
                <w:sz w:val="16"/>
                <w:szCs w:val="16"/>
              </w:rPr>
              <w:t xml:space="preserve">A8.2 — </w:t>
            </w:r>
            <w:r>
              <w:rPr>
                <w:b/>
                <w:bCs/>
                <w:sz w:val="16"/>
                <w:szCs w:val="16"/>
              </w:rPr>
              <w:t xml:space="preserve">Unsupported</w:t>
            </w:r>
            <w:r>
              <w:rPr>
                <w:sz w:val="16"/>
                <w:szCs w:val="16"/>
              </w:rPr>
              <w:t xml:space="preserve">. A contract we authored ourselves cannot evidence compatibility with the real 1.2. Carried forward as a declared limitation in Part 3.</w:t>
            </w:r>
          </w:p>
        </w:tc>
      </w:tr>
      <w:tr>
        <w:tc>
          <w:tcPr>
            <w:tcW w:type="dxa" w:w="1150"/>
            <w:tcMar>
              <w:top w:type="dxa" w:w="30"/>
              <w:left w:type="dxa" w:w="100"/>
              <w:bottom w:type="dxa" w:w="30"/>
              <w:right w:type="dxa" w:w="100"/>
            </w:tcMar>
          </w:tcPr>
          <w:p>
            <w:pPr>
              <w:spacing w:after="20" w:line="240"/>
            </w:pPr>
            <w:r>
              <w:rPr>
                <w:b/>
                <w:bCs/>
                <w:sz w:val="16"/>
                <w:szCs w:val="16"/>
              </w:rPr>
              <w:t xml:space="preserve">2.4.1</w:t>
            </w:r>
          </w:p>
        </w:tc>
        <w:tc>
          <w:tcPr>
            <w:tcW w:type="dxa" w:w="1200"/>
            <w:tcMar>
              <w:top w:type="dxa" w:w="30"/>
              <w:left w:type="dxa" w:w="100"/>
              <w:bottom w:type="dxa" w:w="30"/>
              <w:right w:type="dxa" w:w="100"/>
            </w:tcMar>
          </w:tcPr>
          <w:p>
            <w:pPr>
              <w:spacing w:after="20" w:line="240"/>
            </w:pPr>
            <w:r>
              <w:rPr>
                <w:b/>
                <w:bCs/>
                <w:sz w:val="16"/>
                <w:szCs w:val="16"/>
              </w:rPr>
              <w:t xml:space="preserve">NFR</w:t>
            </w:r>
          </w:p>
          <w:p>
            <w:pPr>
              <w:spacing w:after="20" w:line="240"/>
            </w:pPr>
            <w:r>
              <w:rPr>
                <w:sz w:val="16"/>
                <w:szCs w:val="16"/>
              </w:rPr>
              <w:t xml:space="preserve">Reliability</w:t>
            </w:r>
          </w:p>
          <w:p>
            <w:pPr>
              <w:spacing w:after="20" w:line="240"/>
            </w:pPr>
            <w:r>
              <w:rPr>
                <w:i/>
                <w:iCs/>
                <w:sz w:val="14"/>
                <w:szCs w:val="14"/>
              </w:rPr>
              <w:t xml:space="preserve">(ISO/IEC 25010: Reliability / Fault tolerance)</w:t>
            </w:r>
          </w:p>
        </w:tc>
        <w:tc>
          <w:tcPr>
            <w:tcW w:type="dxa" w:w="2900"/>
            <w:tcMar>
              <w:top w:type="dxa" w:w="30"/>
              <w:left w:type="dxa" w:w="100"/>
              <w:bottom w:type="dxa" w:w="30"/>
              <w:right w:type="dxa" w:w="100"/>
            </w:tcMar>
          </w:tcPr>
          <w:p>
            <w:pPr>
              <w:spacing w:after="20" w:line="240"/>
            </w:pPr>
            <w:r>
              <w:rPr>
                <w:b/>
                <w:bCs/>
                <w:sz w:val="16"/>
                <w:szCs w:val="16"/>
              </w:rPr>
              <w:t xml:space="preserve">Reliable message delivery. </w:t>
            </w:r>
            <w:r>
              <w:rPr>
                <w:sz w:val="16"/>
                <w:szCs w:val="16"/>
              </w:rPr>
              <w:t xml:space="preserve">“multicast/broadcast packets are delivered with best effort. Thus, a packet may be delivered to all specified agents or none” (2.4.1).</w:t>
            </w:r>
          </w:p>
        </w:tc>
        <w:tc>
          <w:tcPr>
            <w:tcW w:type="dxa" w:w="2700"/>
            <w:tcMar>
              <w:top w:type="dxa" w:w="30"/>
              <w:left w:type="dxa" w:w="100"/>
              <w:bottom w:type="dxa" w:w="30"/>
              <w:right w:type="dxa" w:w="100"/>
            </w:tcMar>
          </w:tcPr>
          <w:p>
            <w:pPr>
              <w:spacing w:after="20" w:line="240"/>
            </w:pPr>
            <w:r>
              <w:rPr>
                <w:sz w:val="16"/>
                <w:szCs w:val="16"/>
              </w:rPr>
              <w:t xml:space="preserve">Sets the delivery expectation for two of the three transports and directly shapes how delivery may be tested.</w:t>
            </w:r>
          </w:p>
          <w:p>
            <w:pPr>
              <w:spacing w:after="20" w:line="240"/>
            </w:pPr>
            <w:r>
              <w:rPr>
                <w:sz w:val="16"/>
                <w:szCs w:val="16"/>
              </w:rPr>
              <w:t xml:space="preserve">Taken from §2.4 Constraints rather than the numbered requirements in §3.2; treated as an NFR because it constrains a quality property rather than describing a function.</w:t>
            </w:r>
          </w:p>
          <w:p>
            <w:pPr>
              <w:spacing w:after="20" w:line="240"/>
            </w:pPr>
            <w:r>
              <w:rPr>
                <w:b/>
                <w:bCs/>
                <w:sz w:val="16"/>
                <w:szCs w:val="16"/>
              </w:rPr>
              <w:t xml:space="preserve">Risk: </w:t>
            </w:r>
            <w:r>
              <w:rPr>
                <w:sz w:val="16"/>
                <w:szCs w:val="16"/>
              </w:rPr>
              <w:t xml:space="preserve">as worded the requirement is not falsifiable — every observed outcome satisfies it — and the SRS states no delivery-rate threshold. We also note that real UDP can deliver to </w:t>
            </w:r>
            <w:r>
              <w:rPr>
                <w:i/>
                <w:iCs/>
                <w:sz w:val="16"/>
                <w:szCs w:val="16"/>
              </w:rPr>
              <w:t xml:space="preserve">some</w:t>
            </w:r>
            <w:r>
              <w:rPr>
                <w:sz w:val="16"/>
                <w:szCs w:val="16"/>
              </w:rPr>
              <w:t xml:space="preserve"> recipients, which the SRS’s binary wording does not admit; that divergence is our own technical observation, not SRS text.</w:t>
            </w:r>
          </w:p>
        </w:tc>
        <w:tc>
          <w:tcPr>
            <w:tcW w:type="dxa" w:w="2760"/>
            <w:tcMar>
              <w:top w:type="dxa" w:w="30"/>
              <w:left w:type="dxa" w:w="100"/>
              <w:bottom w:type="dxa" w:w="30"/>
              <w:right w:type="dxa" w:w="100"/>
            </w:tcMar>
          </w:tcPr>
          <w:p>
            <w:pPr>
              <w:spacing w:after="20" w:line="240"/>
            </w:pPr>
            <w:r>
              <w:rPr>
                <w:b/>
                <w:bCs/>
                <w:sz w:val="16"/>
                <w:szCs w:val="16"/>
              </w:rPr>
              <w:t xml:space="preserve">A9.1 </w:t>
            </w:r>
            <w:r>
              <w:rPr>
                <w:sz w:val="16"/>
                <w:szCs w:val="16"/>
              </w:rPr>
              <w:t xml:space="preserve">Best-effort delivery permits loss.</w:t>
            </w:r>
          </w:p>
          <w:p>
            <w:pPr>
              <w:spacing w:after="20" w:line="240"/>
            </w:pPr>
            <w:r>
              <w:rPr>
                <w:b/>
                <w:bCs/>
                <w:sz w:val="16"/>
                <w:szCs w:val="16"/>
              </w:rPr>
              <w:t xml:space="preserve">A9.2 </w:t>
            </w:r>
            <w:r>
              <w:rPr>
                <w:sz w:val="16"/>
                <w:szCs w:val="16"/>
              </w:rPr>
              <w:t xml:space="preserve">Therefore no acknowledgement, retry or resend layer is implemented on the multicast or broadcast paths.</w:t>
            </w:r>
          </w:p>
        </w:tc>
        <w:tc>
          <w:tcPr>
            <w:tcW w:type="dxa" w:w="2250"/>
            <w:tcMar>
              <w:top w:type="dxa" w:w="30"/>
              <w:left w:type="dxa" w:w="100"/>
              <w:bottom w:type="dxa" w:w="30"/>
              <w:right w:type="dxa" w:w="100"/>
            </w:tcMar>
          </w:tcPr>
          <w:p>
            <w:pPr>
              <w:spacing w:after="20" w:line="240"/>
            </w:pPr>
            <w:r>
              <w:rPr>
                <w:sz w:val="16"/>
                <w:szCs w:val="16"/>
              </w:rPr>
              <w:t xml:space="preserve">A9.1 — </w:t>
            </w:r>
            <w:r>
              <w:rPr>
                <w:b/>
                <w:bCs/>
                <w:sz w:val="16"/>
                <w:szCs w:val="16"/>
              </w:rPr>
              <w:t xml:space="preserve">Supported by SRS</w:t>
            </w:r>
            <w:r>
              <w:rPr>
                <w:sz w:val="16"/>
                <w:szCs w:val="16"/>
              </w:rPr>
              <w:t xml:space="preserve"> (2.4.1 states this directly).</w:t>
            </w:r>
          </w:p>
          <w:p>
            <w:pPr>
              <w:spacing w:after="20" w:line="240"/>
            </w:pPr>
            <w:r>
              <w:rPr>
                <w:sz w:val="16"/>
                <w:szCs w:val="16"/>
              </w:rPr>
              <w:t xml:space="preserve">A9.2 — </w:t>
            </w:r>
            <w:r>
              <w:rPr>
                <w:b/>
                <w:bCs/>
                <w:sz w:val="16"/>
                <w:szCs w:val="16"/>
              </w:rPr>
              <w:t xml:space="preserve">Design decision</w:t>
            </w:r>
            <w:r>
              <w:rPr>
                <w:sz w:val="16"/>
                <w:szCs w:val="16"/>
              </w:rPr>
              <w:t xml:space="preserve">. 2.4.1 </w:t>
            </w:r>
            <w:r>
              <w:rPr>
                <w:i/>
                <w:iCs/>
                <w:sz w:val="16"/>
                <w:szCs w:val="16"/>
              </w:rPr>
              <w:t xml:space="preserve">permits</w:t>
            </w:r>
            <w:r>
              <w:rPr>
                <w:sz w:val="16"/>
                <w:szCs w:val="16"/>
              </w:rPr>
              <w:t xml:space="preserve"> failure but does not prohibit mitigation; the decision not to mitigate is ours, made so observed behaviour stays faithful to the constraint.</w:t>
            </w:r>
          </w:p>
        </w:tc>
      </w:tr>
      <w:tr>
        <w:tc>
          <w:tcPr>
            <w:tcW w:type="dxa" w:w="1150"/>
            <w:tcMar>
              <w:top w:type="dxa" w:w="30"/>
              <w:left w:type="dxa" w:w="100"/>
              <w:bottom w:type="dxa" w:w="30"/>
              <w:right w:type="dxa" w:w="100"/>
            </w:tcMar>
          </w:tcPr>
          <w:p>
            <w:pPr>
              <w:spacing w:after="20" w:line="240"/>
            </w:pPr>
            <w:r>
              <w:rPr>
                <w:b/>
                <w:bCs/>
                <w:sz w:val="16"/>
                <w:szCs w:val="16"/>
              </w:rPr>
              <w:t xml:space="preserve">2.4.2</w:t>
            </w:r>
          </w:p>
        </w:tc>
        <w:tc>
          <w:tcPr>
            <w:tcW w:type="dxa" w:w="1200"/>
            <w:tcMar>
              <w:top w:type="dxa" w:w="30"/>
              <w:left w:type="dxa" w:w="100"/>
              <w:bottom w:type="dxa" w:w="30"/>
              <w:right w:type="dxa" w:w="100"/>
            </w:tcMar>
          </w:tcPr>
          <w:p>
            <w:pPr>
              <w:spacing w:after="20" w:line="240"/>
            </w:pPr>
            <w:r>
              <w:rPr>
                <w:b/>
                <w:bCs/>
                <w:sz w:val="16"/>
                <w:szCs w:val="16"/>
              </w:rPr>
              <w:t xml:space="preserve">NFR</w:t>
            </w:r>
          </w:p>
          <w:p>
            <w:pPr>
              <w:spacing w:after="20" w:line="240"/>
            </w:pPr>
            <w:r>
              <w:rPr>
                <w:sz w:val="16"/>
                <w:szCs w:val="16"/>
              </w:rPr>
              <w:t xml:space="preserve">Security</w:t>
            </w:r>
          </w:p>
          <w:p>
            <w:pPr>
              <w:spacing w:after="20" w:line="240"/>
            </w:pPr>
            <w:r>
              <w:rPr>
                <w:i/>
                <w:iCs/>
                <w:sz w:val="14"/>
                <w:szCs w:val="14"/>
              </w:rPr>
              <w:t xml:space="preserve">(ISO/IEC 25010: Security / Confidentiality)</w:t>
            </w:r>
          </w:p>
        </w:tc>
        <w:tc>
          <w:tcPr>
            <w:tcW w:type="dxa" w:w="2900"/>
            <w:tcMar>
              <w:top w:type="dxa" w:w="30"/>
              <w:left w:type="dxa" w:w="100"/>
              <w:bottom w:type="dxa" w:w="30"/>
              <w:right w:type="dxa" w:w="100"/>
            </w:tcMar>
          </w:tcPr>
          <w:p>
            <w:pPr>
              <w:spacing w:after="20" w:line="240"/>
            </w:pPr>
            <w:r>
              <w:rPr>
                <w:b/>
                <w:bCs/>
                <w:sz w:val="16"/>
                <w:szCs w:val="16"/>
              </w:rPr>
              <w:t xml:space="preserve">Security. </w:t>
            </w:r>
            <w:r>
              <w:rPr>
                <w:sz w:val="16"/>
                <w:szCs w:val="16"/>
              </w:rPr>
              <w:t xml:space="preserve">“we provide some basic mechanisms for security such as message encryption. However, there is no guarantee that the others cannot decrypt the encrypted messages” (2.4.2).</w:t>
            </w:r>
          </w:p>
        </w:tc>
        <w:tc>
          <w:tcPr>
            <w:tcW w:type="dxa" w:w="2700"/>
            <w:tcMar>
              <w:top w:type="dxa" w:w="30"/>
              <w:left w:type="dxa" w:w="100"/>
              <w:bottom w:type="dxa" w:w="30"/>
              <w:right w:type="dxa" w:w="100"/>
            </w:tcMar>
          </w:tcPr>
          <w:p>
            <w:pPr>
              <w:spacing w:after="20" w:line="240"/>
            </w:pPr>
            <w:r>
              <w:rPr>
                <w:sz w:val="16"/>
                <w:szCs w:val="16"/>
              </w:rPr>
              <w:t xml:space="preserve">Sets the real security bar for the system, which is lower than the phrase “secured communication” in the project title suggests, and bounds what can honestly be claimed in the final judgment.</w:t>
            </w:r>
          </w:p>
          <w:p>
            <w:pPr>
              <w:spacing w:after="20" w:line="240"/>
            </w:pPr>
            <w:r>
              <w:rPr>
                <w:sz w:val="16"/>
                <w:szCs w:val="16"/>
              </w:rPr>
              <w:t xml:space="preserve">Also taken from §2.4 Constraints, for the same reason as 2.4.1.</w:t>
            </w:r>
          </w:p>
          <w:p>
            <w:pPr>
              <w:spacing w:after="20" w:line="240"/>
            </w:pPr>
            <w:r>
              <w:rPr>
                <w:b/>
                <w:bCs/>
                <w:sz w:val="16"/>
                <w:szCs w:val="16"/>
              </w:rPr>
              <w:t xml:space="preserve">Risk: </w:t>
            </w:r>
            <w:r>
              <w:rPr>
                <w:sz w:val="16"/>
                <w:szCs w:val="16"/>
              </w:rPr>
              <w:t xml:space="preserve">as worded nothing is promised, so nothing can be falsified. No algorithm, key length or strength target is named anywhere in the SRS.</w:t>
            </w:r>
          </w:p>
        </w:tc>
        <w:tc>
          <w:tcPr>
            <w:tcW w:type="dxa" w:w="2760"/>
            <w:tcMar>
              <w:top w:type="dxa" w:w="30"/>
              <w:left w:type="dxa" w:w="100"/>
              <w:bottom w:type="dxa" w:w="30"/>
              <w:right w:type="dxa" w:w="100"/>
            </w:tcMar>
          </w:tcPr>
          <w:p>
            <w:pPr>
              <w:spacing w:after="20" w:line="240"/>
            </w:pPr>
            <w:r>
              <w:rPr>
                <w:b/>
                <w:bCs/>
                <w:sz w:val="16"/>
                <w:szCs w:val="16"/>
              </w:rPr>
              <w:t xml:space="preserve">A10.1 </w:t>
            </w:r>
            <w:r>
              <w:rPr>
                <w:sz w:val="16"/>
                <w:szCs w:val="16"/>
              </w:rPr>
              <w:t xml:space="preserve">A standard symmetric algorithm is acceptable for this project; AES-256-GCM was chosen.</w:t>
            </w:r>
          </w:p>
          <w:p>
            <w:pPr>
              <w:spacing w:after="20" w:line="240"/>
            </w:pPr>
            <w:r>
              <w:rPr>
                <w:b/>
                <w:bCs/>
                <w:sz w:val="16"/>
                <w:szCs w:val="16"/>
              </w:rPr>
              <w:t xml:space="preserve">A10.2 </w:t>
            </w:r>
            <w:r>
              <w:rPr>
                <w:sz w:val="16"/>
                <w:szCs w:val="16"/>
              </w:rPr>
              <w:t xml:space="preserve">No strength, key-length or resistance claim is made or tested anywhere in the implementation or the report.</w:t>
            </w:r>
          </w:p>
        </w:tc>
        <w:tc>
          <w:tcPr>
            <w:tcW w:type="dxa" w:w="2250"/>
            <w:tcMar>
              <w:top w:type="dxa" w:w="30"/>
              <w:left w:type="dxa" w:w="100"/>
              <w:bottom w:type="dxa" w:w="30"/>
              <w:right w:type="dxa" w:w="100"/>
            </w:tcMar>
          </w:tcPr>
          <w:p>
            <w:pPr>
              <w:spacing w:after="20" w:line="240"/>
            </w:pPr>
            <w:r>
              <w:rPr>
                <w:sz w:val="16"/>
                <w:szCs w:val="16"/>
              </w:rPr>
              <w:t xml:space="preserve">A10.1 — </w:t>
            </w:r>
            <w:r>
              <w:rPr>
                <w:b/>
                <w:bCs/>
                <w:sz w:val="16"/>
                <w:szCs w:val="16"/>
              </w:rPr>
              <w:t xml:space="preserve">Design decision</w:t>
            </w:r>
            <w:r>
              <w:rPr>
                <w:sz w:val="16"/>
                <w:szCs w:val="16"/>
              </w:rPr>
              <w:t xml:space="preserve">. The SRS names no algorithm or key length, so the choice is ours and is not SRS-backed.</w:t>
            </w:r>
          </w:p>
          <w:p>
            <w:pPr>
              <w:spacing w:after="20" w:line="240"/>
            </w:pPr>
            <w:r>
              <w:rPr>
                <w:sz w:val="16"/>
                <w:szCs w:val="16"/>
              </w:rPr>
              <w:t xml:space="preserve">A10.2 — </w:t>
            </w:r>
            <w:r>
              <w:rPr>
                <w:b/>
                <w:bCs/>
                <w:sz w:val="16"/>
                <w:szCs w:val="16"/>
              </w:rPr>
              <w:t xml:space="preserve">Supported by SRS</w:t>
            </w:r>
            <w:r>
              <w:rPr>
                <w:sz w:val="16"/>
                <w:szCs w:val="16"/>
              </w:rPr>
              <w:t xml:space="preserve"> (2.4.2 explicitly disclaims any guarantee, so making no strength claim follows directly from the SRS).</w:t>
            </w:r>
          </w:p>
        </w:tc>
      </w:tr>
    </w:tbl>
    <w:p>
      <w:pPr>
        <w:sectPr>
          <w:pgSz w:w="16838" w:h="11906" w:orient="landscape"/>
          <w:pgMar w:top="900" w:right="720" w:bottom="900" w:left="720" w:header="708" w:footer="708" w:gutter="0"/>
          <w:pgNumType/>
          <w:docGrid w:linePitch="360"/>
        </w:sectPr>
      </w:pPr>
    </w:p>
    <w:p>
      <w:pPr>
        <w:pStyle w:val="Heading2"/>
        <w:spacing w:after="160" w:before="280"/>
      </w:pPr>
      <w:r>
        <w:t xml:space="preserve">Notes supporting the table above</w:t>
      </w:r>
    </w:p>
    <w:p>
      <w:pPr>
        <w:spacing w:after="120" w:before="0" w:line="276"/>
      </w:pPr>
      <w:r>
        <w:rPr>
          <w:b/>
          <w:bCs/>
          <w:sz w:val="20"/>
          <w:szCs w:val="20"/>
        </w:rPr>
        <w:t xml:space="preserve">Note 1 — Basis and classification of the three NFRs. </w:t>
      </w:r>
      <w:r>
        <w:rPr>
          <w:sz w:val="20"/>
          <w:szCs w:val="20"/>
        </w:rPr>
        <w:t>Two of the three NFRs (2.4.1, 2.4.2) come from the SRS's Constraints section rather than §3.2; the third (3.2.6.1) sits inside §3.2 but is reclassified here as non-functional. All three constrain a quality property rather than specify a function, and each is anchored to an ISO/IEC 25010 characteristic in the Type column so the classification rests on a recognised model, not our own assertion.</w:t>
      </w:r>
    </w:p>
    <w:p>
      <w:pPr>
        <w:spacing w:after="120" w:before="0" w:line="276"/>
      </w:pPr>
      <w:r>
        <w:rPr>
          <w:b/>
          <w:bCs/>
          <w:sz w:val="20"/>
          <w:szCs w:val="20"/>
        </w:rPr>
        <w:t xml:space="preserve">Note 2 — SRS coverage outside §3.2. </w:t>
      </w:r>
      <w:r>
        <w:rPr>
          <w:sz w:val="20"/>
          <w:szCs w:val="20"/>
        </w:rPr>
        <w:t>Two clauses outside §3.2 bear on this scope. Product function 2.2.4 ("allow agents to choose among unicast, multicast and broadcast communication") is satisfied compositionally by FR1, FR3, and FR4 plus the harness's mode selection; it has no independent numbered requirement. Constraint 2.4.3 (router/NIC/OS multicast support) isn't a selected requirement, but is a hard precondition for every multicast test; where unmet, cases are blocked rather than failed, not counted as failures.</w:t>
      </w:r>
    </w:p>
    <w:p>
      <w:pPr>
        <w:spacing w:after="120" w:before="0" w:line="276"/>
      </w:pPr>
      <w:r>
        <w:rPr>
          <w:b/>
          <w:bCs/>
          <w:sz w:val="20"/>
          <w:szCs w:val="20"/>
        </w:rPr>
        <w:t xml:space="preserve">Note 3 — The interface is a test harness, not an SRS requirement. </w:t>
      </w:r>
      <w:r>
        <w:rPr>
          <w:sz w:val="20"/>
          <w:szCs w:val="20"/>
        </w:rPr>
        <w:t>The SRS describes a developer framework (§2.1) for users who know Java, OOP, and the MaSE methodology (§2.3); it contains no interface requirements. The GUI built for this assignment exists only to satisfy the observability requirement, not any SRS clause: it is a test harness over the framework. No expected result in Part 3 is asserted about the harness itself; every expected result is about framework behaviour observed through it.</w:t>
      </w:r>
      <w:r>
        <w:rPr>
          <w:i/>
          <w:iCs/>
          <w:sz w:val="20"/>
          <w:szCs w:val="20"/>
        </w:rPr>
      </w:r>
      <w:r>
        <w:rPr>
          <w:sz w:val="20"/>
          <w:szCs w:val="20"/>
        </w:rPr>
      </w:r>
    </w:p>
    <w:p>
      <w:pPr>
        <w:spacing w:after="120" w:before="0" w:line="276"/>
      </w:pPr>
      <w:r>
        <w:rPr>
          <w:b/>
          <w:bCs/>
          <w:sz w:val="20"/>
          <w:szCs w:val="20"/>
        </w:rPr>
        <w:t xml:space="preserve">Note 4 — Transcription of SRS identifiers and wording. </w:t>
      </w:r>
      <w:r>
        <w:rPr>
          <w:sz w:val="20"/>
          <w:szCs w:val="20"/>
        </w:rPr>
        <w:t>† Requirement 3.2.3.3 is printed as "3.3.3.3" in SRS v1.1 (a numbering typo); we cite it as 3.2.3.3 and record the discrepancy rather than silently correcting it. Two further transcription quirks are preserved as written: 3.2.3.1 reads "ability to sent broadcast message," and 3.2.5.1 reads "agentMom with shall support." Requirement wording is quoted verbatim wherever exact phrasing carries weight, notably 3.2.3.3 ("sent to," not "reach") and 2.4.1 ("all specified agents or none," a binary statement), since paraphrasing either would make the corresponding tests indefensible.</w:t>
      </w:r>
      <w:r>
        <w:rPr>
          <w:i/>
          <w:iCs/>
          <w:sz w:val="20"/>
          <w:szCs w:val="20"/>
        </w:rPr>
      </w:r>
      <w:r>
        <w:rPr>
          <w:sz w:val="20"/>
          <w:szCs w:val="20"/>
        </w:rPr>
      </w:r>
      <w:r>
        <w:rPr>
          <w:i/>
          <w:iCs/>
          <w:sz w:val="20"/>
          <w:szCs w:val="20"/>
        </w:rPr>
      </w:r>
      <w:r>
        <w:rPr>
          <w:sz w:val="20"/>
          <w:szCs w:val="20"/>
        </w:rPr>
      </w:r>
    </w:p>
    <w:p>
      <w:pPr>
        <w:spacing w:after="120" w:before="0" w:line="276"/>
      </w:pPr>
      <w:r>
        <w:rPr>
          <w:b/>
          <w:bCs/>
          <w:sz w:val="20"/>
          <w:szCs w:val="20"/>
        </w:rPr>
        <w:t xml:space="preserve">Note 5 — Intended test basis for the system-level tests. </w:t>
      </w:r>
      <w:r>
        <w:rPr>
          <w:sz w:val="20"/>
          <w:szCs w:val="20"/>
        </w:rPr>
        <w:t>Section 3.1 of the SRS supplies four use cases with figures (join/leave a multicast group; send/receive unicast; send/receive multicast; send/receive broadcast). These are the intended basis for Part 3's manual system-level tests, since their expected results come directly from the SRS rather than our interpretation of it.</w:t>
      </w:r>
    </w:p>
    <w:p>
      <w:pPr>
        <w:pStyle w:val="Heading2"/>
        <w:spacing w:after="160" w:before="280"/>
      </w:pPr>
      <w:r>
        <w:t xml:space="preserve">Note 6 — Testability of the three NFRs, declared in advance</w:t>
      </w:r>
    </w:p>
    <w:p>
      <w:pPr>
        <w:spacing w:after="160" w:before="0" w:line="276"/>
      </w:pPr>
      <w:r>
        <w:rPr>
          <w:sz w:val="20"/>
          <w:szCs w:val="20"/>
        </w:rPr>
        <w:t xml:space="preserve">None of the three selected NFRs is falsifiable as the SRS words it. This is a property of the specification rather than a flaw in the selection, and the assignment anticipates it: where the SRS gives no defensible threshold, the limitation is to be reported rather than a threshold invented. We therefore state the position here, before any evidence is collected, and will evaluate each NFR against a falsifiable surrogate with the gap between requirement and surrogate declared explicitly.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800"/>
        <w:gridCol w:w="3206"/>
      </w:tblGrid>
      <w:tr>
        <w:trPr>
          <w:tblHeader/>
        </w:trPr>
        <w:tc>
          <w:tcPr>
            <w:tcW w:type="dxa" w:w="1300"/>
            <w:tcMar>
              <w:top w:type="dxa" w:w="30"/>
              <w:left w:type="dxa" w:w="100"/>
              <w:bottom w:type="dxa" w:w="30"/>
              <w:right w:type="dxa" w:w="100"/>
            </w:tcMar>
          </w:tcPr>
          <w:p>
            <w:pPr>
              <w:spacing w:after="20" w:line="240"/>
            </w:pPr>
            <w:r>
              <w:rPr>
                <w:b/>
                <w:bCs/>
                <w:sz w:val="17"/>
                <w:szCs w:val="17"/>
              </w:rPr>
              <w:t xml:space="preserve">NFR</w:t>
            </w:r>
          </w:p>
        </w:tc>
        <w:tc>
          <w:tcPr>
            <w:tcW w:type="dxa" w:w="2600"/>
            <w:tcMar>
              <w:top w:type="dxa" w:w="30"/>
              <w:left w:type="dxa" w:w="100"/>
              <w:bottom w:type="dxa" w:w="30"/>
              <w:right w:type="dxa" w:w="100"/>
            </w:tcMar>
          </w:tcPr>
          <w:p>
            <w:pPr>
              <w:spacing w:after="20" w:line="240"/>
            </w:pPr>
            <w:r>
              <w:rPr>
                <w:b/>
                <w:bCs/>
                <w:sz w:val="17"/>
                <w:szCs w:val="17"/>
              </w:rPr>
              <w:t xml:space="preserve">Why it is not falsifiable as written</w:t>
            </w:r>
          </w:p>
        </w:tc>
        <w:tc>
          <w:tcPr>
            <w:tcW w:type="dxa" w:w="2800"/>
            <w:tcMar>
              <w:top w:type="dxa" w:w="30"/>
              <w:left w:type="dxa" w:w="100"/>
              <w:bottom w:type="dxa" w:w="30"/>
              <w:right w:type="dxa" w:w="100"/>
            </w:tcMar>
          </w:tcPr>
          <w:p>
            <w:pPr>
              <w:spacing w:after="20" w:line="240"/>
            </w:pPr>
            <w:r>
              <w:rPr>
                <w:b/>
                <w:bCs/>
                <w:sz w:val="17"/>
                <w:szCs w:val="17"/>
              </w:rPr>
              <w:t xml:space="preserve">Falsifiable surrogate we will evaluate</w:t>
            </w:r>
          </w:p>
        </w:tc>
        <w:tc>
          <w:tcPr>
            <w:tcW w:type="dxa" w:w="3206"/>
            <w:tcMar>
              <w:top w:type="dxa" w:w="30"/>
              <w:left w:type="dxa" w:w="100"/>
              <w:bottom w:type="dxa" w:w="30"/>
              <w:right w:type="dxa" w:w="100"/>
            </w:tcMar>
          </w:tcPr>
          <w:p>
            <w:pPr>
              <w:spacing w:after="20" w:line="240"/>
            </w:pPr>
            <w:r>
              <w:rPr>
                <w:b/>
                <w:bCs/>
                <w:sz w:val="17"/>
                <w:szCs w:val="17"/>
              </w:rPr>
              <w:t xml:space="preserve">Limitation to be declared in Part 3</w:t>
            </w:r>
          </w:p>
        </w:tc>
      </w:tr>
      <w:tr>
        <w:tc>
          <w:tcPr>
            <w:tcW w:type="dxa" w:w="1300"/>
            <w:tcMar>
              <w:top w:type="dxa" w:w="30"/>
              <w:left w:type="dxa" w:w="100"/>
              <w:bottom w:type="dxa" w:w="30"/>
              <w:right w:type="dxa" w:w="100"/>
            </w:tcMar>
          </w:tcPr>
          <w:p>
            <w:pPr>
              <w:spacing w:after="20" w:line="240"/>
            </w:pPr>
            <w:r>
              <w:rPr>
                <w:b/>
                <w:bCs/>
                <w:sz w:val="16"/>
                <w:szCs w:val="16"/>
              </w:rPr>
              <w:t xml:space="preserve">NFR 3.2.6.1</w:t>
            </w:r>
          </w:p>
          <w:p>
            <w:pPr>
              <w:spacing w:after="20" w:line="240"/>
            </w:pPr>
            <w:r>
              <w:rPr>
                <w:sz w:val="16"/>
                <w:szCs w:val="16"/>
              </w:rPr>
              <w:t xml:space="preserve">Compatibility</w:t>
            </w:r>
          </w:p>
        </w:tc>
        <w:tc>
          <w:tcPr>
            <w:tcW w:type="dxa" w:w="2600"/>
            <w:tcMar>
              <w:top w:type="dxa" w:w="30"/>
              <w:left w:type="dxa" w:w="100"/>
              <w:bottom w:type="dxa" w:w="30"/>
              <w:right w:type="dxa" w:w="100"/>
            </w:tcMar>
          </w:tcPr>
          <w:p>
            <w:pPr>
              <w:spacing w:after="20" w:line="240"/>
            </w:pPr>
            <w:r>
              <w:rPr>
                <w:sz w:val="16"/>
                <w:szCs w:val="16"/>
              </w:rPr>
              <w:t xml:space="preserve">Requires compatibility with an artifact we do not possess, in a language we are not using (2.1, 2.1.1).</w:t>
            </w:r>
          </w:p>
        </w:tc>
        <w:tc>
          <w:tcPr>
            <w:tcW w:type="dxa" w:w="2800"/>
            <w:tcMar>
              <w:top w:type="dxa" w:w="30"/>
              <w:left w:type="dxa" w:w="100"/>
              <w:bottom w:type="dxa" w:w="30"/>
              <w:right w:type="dxa" w:w="100"/>
            </w:tcMar>
          </w:tcPr>
          <w:p>
            <w:pPr>
              <w:spacing w:after="20" w:line="240"/>
            </w:pPr>
            <w:r>
              <w:rPr>
                <w:sz w:val="16"/>
                <w:szCs w:val="16"/>
              </w:rPr>
              <w:t xml:space="preserve">The reconstructed 1.2 interface signatures are unchanged by any new feature, and a legacy-only call path succeeds while every new feature is simultaneously active.</w:t>
            </w:r>
          </w:p>
        </w:tc>
        <w:tc>
          <w:tcPr>
            <w:tcW w:type="dxa" w:w="3206"/>
            <w:tcMar>
              <w:top w:type="dxa" w:w="30"/>
              <w:left w:type="dxa" w:w="100"/>
              <w:bottom w:type="dxa" w:w="30"/>
              <w:right w:type="dxa" w:w="100"/>
            </w:tcMar>
          </w:tcPr>
          <w:p>
            <w:pPr>
              <w:spacing w:after="20" w:line="240"/>
            </w:pPr>
            <w:r>
              <w:rPr>
                <w:sz w:val="16"/>
                <w:szCs w:val="16"/>
              </w:rPr>
              <w:t xml:space="preserve">No genuine 1.2 artifact exists and the 1.2 surface is our own reconstruction (A8.2), so a self-authored contract cannot fail. This evaluates internal additive discipline, not real compatibility.</w:t>
            </w:r>
          </w:p>
        </w:tc>
      </w:tr>
      <w:tr>
        <w:tc>
          <w:tcPr>
            <w:tcW w:type="dxa" w:w="1300"/>
            <w:tcMar>
              <w:top w:type="dxa" w:w="30"/>
              <w:left w:type="dxa" w:w="100"/>
              <w:bottom w:type="dxa" w:w="30"/>
              <w:right w:type="dxa" w:w="100"/>
            </w:tcMar>
          </w:tcPr>
          <w:p>
            <w:pPr>
              <w:spacing w:after="20" w:line="240"/>
            </w:pPr>
            <w:r>
              <w:rPr>
                <w:b/>
                <w:bCs/>
                <w:sz w:val="16"/>
                <w:szCs w:val="16"/>
              </w:rPr>
              <w:t xml:space="preserve">NFR 2.4.1</w:t>
            </w:r>
          </w:p>
          <w:p>
            <w:pPr>
              <w:spacing w:after="20" w:line="240"/>
            </w:pPr>
            <w:r>
              <w:rPr>
                <w:sz w:val="16"/>
                <w:szCs w:val="16"/>
              </w:rPr>
              <w:t xml:space="preserve">Reliability</w:t>
            </w:r>
          </w:p>
        </w:tc>
        <w:tc>
          <w:tcPr>
            <w:tcW w:type="dxa" w:w="2600"/>
            <w:tcMar>
              <w:top w:type="dxa" w:w="30"/>
              <w:left w:type="dxa" w:w="100"/>
              <w:bottom w:type="dxa" w:w="30"/>
              <w:right w:type="dxa" w:w="100"/>
            </w:tcMar>
          </w:tcPr>
          <w:p>
            <w:pPr>
              <w:spacing w:after="20" w:line="240"/>
            </w:pPr>
            <w:r>
              <w:rPr>
                <w:sz w:val="16"/>
                <w:szCs w:val="16"/>
              </w:rPr>
              <w:t xml:space="preserve">Delivery to "all specified agents or none" is satisfied by every possible observation, so no test can fail.</w:t>
            </w:r>
          </w:p>
        </w:tc>
        <w:tc>
          <w:tcPr>
            <w:tcW w:type="dxa" w:w="2800"/>
            <w:tcMar>
              <w:top w:type="dxa" w:w="30"/>
              <w:left w:type="dxa" w:w="100"/>
              <w:bottom w:type="dxa" w:w="30"/>
              <w:right w:type="dxa" w:w="100"/>
            </w:tcMar>
          </w:tcPr>
          <w:p>
            <w:pPr>
              <w:spacing w:after="20" w:line="240"/>
            </w:pPr>
            <w:r>
              <w:rPr>
                <w:sz w:val="16"/>
                <w:szCs w:val="16"/>
              </w:rPr>
              <w:t xml:space="preserve">No acknowledgement, retry or resend path exists anywhere on the multicast or broadcast paths, and a dropped datagram is never retransmitted.</w:t>
            </w:r>
          </w:p>
        </w:tc>
        <w:tc>
          <w:tcPr>
            <w:tcW w:type="dxa" w:w="3206"/>
            <w:tcMar>
              <w:top w:type="dxa" w:w="30"/>
              <w:left w:type="dxa" w:w="100"/>
              <w:bottom w:type="dxa" w:w="30"/>
              <w:right w:type="dxa" w:w="100"/>
            </w:tcMar>
          </w:tcPr>
          <w:p>
            <w:pPr>
              <w:spacing w:after="20" w:line="240"/>
            </w:pPr>
            <w:r>
              <w:rPr>
                <w:sz w:val="16"/>
                <w:szCs w:val="16"/>
              </w:rPr>
              <w:t xml:space="preserve">The SRS states no delivery-rate threshold, so no pass/fail rate is asserted. The surrogate verifies the absence of code, by static inspection plus observed non-retransmission.</w:t>
            </w:r>
          </w:p>
        </w:tc>
      </w:tr>
      <w:tr>
        <w:tc>
          <w:tcPr>
            <w:tcW w:type="dxa" w:w="1300"/>
            <w:tcMar>
              <w:top w:type="dxa" w:w="30"/>
              <w:left w:type="dxa" w:w="100"/>
              <w:bottom w:type="dxa" w:w="30"/>
              <w:right w:type="dxa" w:w="100"/>
            </w:tcMar>
          </w:tcPr>
          <w:p>
            <w:pPr>
              <w:spacing w:after="20" w:line="240"/>
            </w:pPr>
            <w:r>
              <w:rPr>
                <w:b/>
                <w:bCs/>
                <w:sz w:val="16"/>
                <w:szCs w:val="16"/>
              </w:rPr>
              <w:t xml:space="preserve">NFR 2.4.2</w:t>
            </w:r>
          </w:p>
          <w:p>
            <w:pPr>
              <w:spacing w:after="20" w:line="240"/>
            </w:pPr>
            <w:r>
              <w:rPr>
                <w:sz w:val="16"/>
                <w:szCs w:val="16"/>
              </w:rPr>
              <w:t xml:space="preserve">Security</w:t>
            </w:r>
          </w:p>
        </w:tc>
        <w:tc>
          <w:tcPr>
            <w:tcW w:type="dxa" w:w="2600"/>
            <w:tcMar>
              <w:top w:type="dxa" w:w="30"/>
              <w:left w:type="dxa" w:w="100"/>
              <w:bottom w:type="dxa" w:w="30"/>
              <w:right w:type="dxa" w:w="100"/>
            </w:tcMar>
          </w:tcPr>
          <w:p>
            <w:pPr>
              <w:spacing w:after="20" w:line="240"/>
            </w:pPr>
            <w:r>
              <w:rPr>
                <w:sz w:val="16"/>
                <w:szCs w:val="16"/>
              </w:rPr>
              <w:t xml:space="preserve">The clause explicitly disclaims any guarantee, so nothing is promised and nothing can be checked against it.</w:t>
            </w:r>
          </w:p>
        </w:tc>
        <w:tc>
          <w:tcPr>
            <w:tcW w:type="dxa" w:w="2800"/>
            <w:tcMar>
              <w:top w:type="dxa" w:w="30"/>
              <w:left w:type="dxa" w:w="100"/>
              <w:bottom w:type="dxa" w:w="30"/>
              <w:right w:type="dxa" w:w="100"/>
            </w:tcMar>
          </w:tcPr>
          <w:p>
            <w:pPr>
              <w:spacing w:after="20" w:line="240"/>
            </w:pPr>
            <w:r>
              <w:rPr>
                <w:sz w:val="16"/>
                <w:szCs w:val="16"/>
              </w:rPr>
              <w:t xml:space="preserve">Ciphertext observed on the wire differs from the plaintext body, and decryption with a wrong or tampered key fails closed rather than producing partial plaintext.</w:t>
            </w:r>
          </w:p>
        </w:tc>
        <w:tc>
          <w:tcPr>
            <w:tcW w:type="dxa" w:w="3206"/>
            <w:tcMar>
              <w:top w:type="dxa" w:w="30"/>
              <w:left w:type="dxa" w:w="100"/>
              <w:bottom w:type="dxa" w:w="30"/>
              <w:right w:type="dxa" w:w="100"/>
            </w:tcMar>
          </w:tcPr>
          <w:p>
            <w:pPr>
              <w:spacing w:after="20" w:line="240"/>
            </w:pPr>
            <w:r>
              <w:rPr>
                <w:sz w:val="16"/>
                <w:szCs w:val="16"/>
              </w:rPr>
              <w:t xml:space="preserve">No strength, key-length or resistance claim is made or tested (A10.2). Any SonarQube security hotspot on our key derivation is expected and corroborates the declared A5.2 gap.</w:t>
            </w:r>
          </w:p>
        </w:tc>
      </w:tr>
    </w:tbl>
    <w:p>
      <w:pPr>
        <w:spacing w:after="120" w:before="160" w:line="276"/>
      </w:pPr>
      <w:r>
        <w:rPr>
          <w:sz w:val="20"/>
          <w:szCs w:val="20"/>
        </w:rPr>
        <w:t xml:space="preserve">The reliability surrogate is unusual in that it verifies the absence of code rather than its behaviour, since assumption A9.2 is satisfied by there being no retry path at all. The evidence is accordingly a static search that returns nothing, together with an observed drop that is followed by no retransmission on the wire.</w:t>
      </w:r>
    </w:p>
    <w:p>
      <w:pPr>
        <w:pStyle w:val="Heading1"/>
        <w:spacing w:after="160" w:before="280"/>
      </w:pPr>
      <w:r>
        <w:t xml:space="preserve">Part 2: AI-Generated GUI Baseline</w:t>
      </w:r>
    </w:p>
    <w:p>
      <w:pPr>
        <w:spacing w:after="120" w:before="0" w:line="276"/>
      </w:pPr>
      <w:r/>
    </w:p>
    <w:p>
      <w:r>
        <w:rPr>
          <w:b w:val="0"/>
          <w:i w:val="0"/>
        </w:rPr>
        <w:t>The GUI is a Vite + React harness (packages/web) that drives the underlying framework and displays observable success/error feedback for each selected requirement, rather than a product UI in its own right. (Assumption A11: the SRS specifies a developer framework with no interface requirements of its own, so the harness exists solely to satisfy this assignment's observability requirement.) It ships one page per functional area: Unicast.tsx, Multicast.tsx, Broadcast.tsx, Security.tsx (unicast and multicast encryption), Compatibility.tsx (NFR8), Architecture.tsx (FR7 conversation-control switch), Admin.tsx (agent/group management across the four-agent demo topology), and Dashboard.tsx (live event log / topology view). Each page issues real actions against a live four-agent OS-process topology (agent-A…D, mirroring SRS Figures 1–4) through a control-plane REST + WebSocket API, and renders the actual result returned: a delivered or dropped message, a PROTOCOL_VIOLATION, a MESSAGE_DROPPED_TTL_EXPIRED, a BROADCAST_PERMISSION_DENIED, whatever actually happened, not a simulated or mocked outcome.</w:t>
      </w:r>
    </w:p>
    <w:p>
      <w:r>
        <w:rPr>
          <w:b w:val="0"/>
          <w:i w:val="0"/>
        </w:rPr>
        <w:t>Every one of the ten requirements is reachable through the harness: FR1-FR4 on their respective pages, FR5-FR6 on the Security page, FR7 via the Architecture page's runtime switch, NFR8 on the Compatibility page, NFR9 as the absence of retry/acknowledgement behaviour on dropped datagrams, and NFR10 as a documentation discipline not asserted on-screen. The complete requirement-to-module-to-test mapping is in FEATURE-MAP.md.</w:t>
      </w:r>
    </w:p>
    <w:p>
      <w:r>
        <w:rPr>
          <w:b w:val="0"/>
          <w:i w:val="0"/>
        </w:rPr>
        <w:t>The baseline was frozen before any SonarQube or test evidence was collected. The frozen application code sits at commit e79b197 (recorded in evidence/BASELINE_TAG_HASH.txt, per the project's own freeze convention in scripts/freeze-baseline.sh); the SonarQube scan in Part 3.A was run one commit later, at tag baseline-v1-sonar (72aedfb), which only updates the recorded evidence pointer and adds no application code. No source file under packages/ was altered between these two commits.</w:t>
      </w:r>
    </w:p>
    <w:p>
      <w:r>
        <w:rPr>
          <w:b w:val="0"/>
          <w:i w:val="0"/>
        </w:rPr>
        <w:t>Setup and run instructions are documented in full in README.md and oneliner how to run.txt, and are not repeated here. In summary: npm install (Node.js ≥ 20), npm run build (builds packages/core, packages/agent, packages/control-plane), then bash runsystem.sh, a single script that frees the required ports (4000, 5173, 7001–7004, 5007/5008, 9001). It builds, starts the control plane on :4000 with the four-agent demo topology (agent-A…D), and starts the harness at http://localhost:5173. Ctrl-C stops the control plane, all forked agents, and the harness.</w:t>
      </w:r>
    </w:p>
    <w:p>
      <w:r>
        <w:rPr>
          <w:b w:val="0"/>
          <w:i w:val="0"/>
        </w:rPr>
        <w:t>The implementation was produced through AI-assisted development against a locked, human-authored plan (docs/agentmom-implementation-plan-v2.md) derived from the SRS. Two material deviations from that plan were introduced during development and are declared in full in DEVIATIONS.md: the runtime is Node.js/TypeScript rather than the SRS-specified Java 1.4.0 (D-1, tied to assumption A8.2 and the Compatibility NFR's declared limitation), and the harness is Vite + React rather than the plan's original Next.js choice, adopted specifically to keep unrelated framework scaffolding out of the SonarQube scan so Part 3.A's finding selection would stay meaningful (D-2). The complete register of AI-introduced assumptions (24 entries, each labelled supported-by-SRS, design-decision, or unsupported, with a comment anchor in the corresponding source file) is maintained in ASSUMPTIONS.md, and is the single source of truth Part 1's table is derived from. It does not drift independently of the code: packages/core/tests/unit/dod.test.ts fails the build if an anchor stops matching.</w:t>
      </w:r>
    </w:p>
    <w:p>
      <w:pPr>
        <w:pStyle w:val="Heading1"/>
        <w:spacing w:after="160" w:before="280"/>
      </w:pPr>
      <w:r>
        <w:t xml:space="preserve">Part 3: Quality Evaluation</w:t>
      </w:r>
    </w:p>
    <w:p>
      <w:pPr>
        <w:spacing w:after="120" w:before="0" w:line="276"/>
      </w:pPr>
      <w:r/>
    </w:p>
    <w:p>
      <w:pPr>
        <w:pStyle w:val="Heading2"/>
      </w:pPr>
      <w:r>
        <w:rPr>
          <w:b w:val="0"/>
          <w:i w:val="0"/>
        </w:rPr>
        <w:t>A. SonarQube Report and NFR Evaluation</w:t>
      </w:r>
    </w:p>
    <w:p>
      <w:r>
        <w:rPr>
          <w:b w:val="0"/>
          <w:i w:val="0"/>
        </w:rPr>
        <w:t>SonarQube Community Build (v26.9.0.129388) was run locally via Docker against the complete frozen baseline: tag baseline-v1-sonar, commit 72aedfb8781e4304a88c0f01f2af3df5e7e5661b (the underlying application code was frozen one commit earlier, at e79b197, per evidence/BASELINE_TAG_HASH.txt). The scan used sonar-scanner CLI 6.2.1.4610, run from the repository root. sonar-project.properties scopes the analysis to all four workspace packages' src and tests in full (packages/core, packages/agent, packages/control-plane, packages/web); no file or package was hand-picked or omitted, and only generated/vendor paths (node_modules, dist, *.d.ts) are excluded. Coverage was measured with npm run coverage (vitest + v8, 217 tests) and supplied to the scan through coverage/lcov.info. The analysis task completed with status SUCCESS in 9.8 seconds. Raw exports (sonar-measures.json, sonar-issues-full.json, sonar-hotspots.json) are retained in evidence/sonarqube/, alongside dashboard screenshots.</w:t>
      </w:r>
    </w:p>
    <w:p>
      <w:r>
        <w:t>Reported metrics: Lines of Code 3,289; Quality Gate Passed; Security rating A (security_rating measure = 1.0, 0 open vulnerabilities); Reliability rating D (14 open issues: 1 High, 1 Medium, 12 Low); Maintainability rating A (50 open issues: 18 Medium, 32 Low); Coverage 88.8% (of the lines SonarQube considers eligible); Duplications 0.0%; Security Hotspots 0, confirmed by directly querying the api/hotspots/search endpoint, which returned an empty result set. Note that 19 Security-domain issues do exist, but all 19 are CODE_SMELL-type under rule S1313 and are a single repeated pattern (see Finding F3 below), not VULNERABILITY-type, so they don't depress the Security rating. SonarQube Community Build's own Overview page also discloses a stated limitation: it does not scan for critical injection vulnerabilities such as SQL injection or XSS, so the Security rating reflects only the rule set available in this edition, not a full security audit.</w:t>
      </w:r>
    </w:p>
    <w:p>
      <w:pPr>
        <w:pStyle w:val="Heading3"/>
      </w:pPr>
      <w:r>
        <w:rPr>
          <w:b w:val="0"/>
          <w:i w:val="0"/>
        </w:rPr>
        <w:t>Selected findings</w:t>
      </w:r>
    </w:p>
    <w:p>
      <w:r>
        <w:rPr>
          <w:b w:val="0"/>
          <w:i w:val="0"/>
        </w:rPr>
        <w:t>The following five findings were selected from the complete 71-issue result set because each is either the most severe instance in its quality area or representative of a pattern repeated across several files. Each is interpreted against what it means for this codebase, not merely counted.</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76"/>
        <w:gridCol w:w="2476"/>
        <w:gridCol w:w="2476"/>
        <w:gridCol w:w="2476"/>
      </w:tblGrid>
      <w:tr>
        <w:tc>
          <w:tcPr>
            <w:tcW w:type="dxa" w:w="2476"/>
          </w:tcPr>
          <w:p>
            <w:r/>
            <w:r>
              <w:rPr>
                <w:b/>
              </w:rPr>
              <w:t>Finding / quality area</w:t>
            </w:r>
          </w:p>
        </w:tc>
        <w:tc>
          <w:tcPr>
            <w:tcW w:type="dxa" w:w="2476"/>
          </w:tcPr>
          <w:p>
            <w:r/>
            <w:r>
              <w:rPr>
                <w:b/>
              </w:rPr>
              <w:t>What SonarQube reported &amp; where</w:t>
            </w:r>
          </w:p>
        </w:tc>
        <w:tc>
          <w:tcPr>
            <w:tcW w:type="dxa" w:w="2476"/>
          </w:tcPr>
          <w:p>
            <w:r/>
            <w:r>
              <w:rPr>
                <w:b/>
              </w:rPr>
              <w:t>Why it matters</w:t>
            </w:r>
          </w:p>
        </w:tc>
        <w:tc>
          <w:tcPr>
            <w:tcW w:type="dxa" w:w="2476"/>
          </w:tcPr>
          <w:p>
            <w:r/>
            <w:r>
              <w:rPr>
                <w:b/>
              </w:rPr>
              <w:t>Action the evidence supports</w:t>
            </w:r>
          </w:p>
        </w:tc>
      </w:tr>
      <w:tr>
        <w:tc>
          <w:tcPr>
            <w:tcW w:type="dxa" w:w="2476"/>
          </w:tcPr>
          <w:p>
            <w:r/>
            <w:r>
              <w:rPr>
                <w:b w:val="0"/>
              </w:rPr>
              <w:t>F1 — Non-deterministic sort in the crypto module</w:t>
              <w:br/>
              <w:t>(Reliability — Bug, Critical, rule S2871)</w:t>
            </w:r>
          </w:p>
        </w:tc>
        <w:tc>
          <w:tcPr>
            <w:tcW w:type="dxa" w:w="2476"/>
          </w:tcPr>
          <w:p>
            <w:r/>
            <w:r>
              <w:rPr>
                <w:b w:val="0"/>
              </w:rPr>
              <w:t>packages/core/src/crypto/symmetric.ts:59 — “Provide a compare function that depends on String.localeCompare, to reliably sort elements alphabetically.”</w:t>
            </w:r>
          </w:p>
        </w:tc>
        <w:tc>
          <w:tcPr>
            <w:tcW w:type="dxa" w:w="2476"/>
          </w:tcPr>
          <w:p>
            <w:r/>
            <w:r>
              <w:rPr>
                <w:b w:val="0"/>
              </w:rPr>
              <w:t>This is the single Critical-severity Bug behind the project's Reliability rating of D. Array.prototype.sort() without an explicit comparator falls back to lexicographic string comparison, which is not guaranteed to be stable or locale-independent across environments. In a crypto/canonicalization context, a different ordering changes the bytes fed into any downstream hash or signature — an environment-dependent result, not just untidy code.</w:t>
            </w:r>
          </w:p>
        </w:tc>
        <w:tc>
          <w:tcPr>
            <w:tcW w:type="dxa" w:w="2476"/>
          </w:tcPr>
          <w:p>
            <w:r/>
            <w:r>
              <w:rPr>
                <w:b w:val="0"/>
              </w:rPr>
              <w:t>Confirm whether this sorted output feeds a hash or signature elsewhere in symmetric.ts; if so, replace the implicit sort with an explicit ordinal comparator before the baseline is extended further — this affects correctness, not just style.</w:t>
            </w:r>
          </w:p>
        </w:tc>
      </w:tr>
      <w:tr>
        <w:tc>
          <w:tcPr>
            <w:tcW w:type="dxa" w:w="2476"/>
          </w:tcPr>
          <w:p>
            <w:r/>
            <w:r>
              <w:rPr>
                <w:b w:val="0"/>
              </w:rPr>
              <w:t>F2 — Missing table header semantics on the Admin page</w:t>
              <w:br/>
              <w:t>(Reliability — Bug, Major, rule S5256 (accessibility, wcag2.1-a))</w:t>
            </w:r>
          </w:p>
        </w:tc>
        <w:tc>
          <w:tcPr>
            <w:tcW w:type="dxa" w:w="2476"/>
          </w:tcPr>
          <w:p>
            <w:r/>
            <w:r>
              <w:rPr>
                <w:b w:val="0"/>
              </w:rPr>
              <w:t>packages/web/src/pages/Admin.tsx:47 — the &lt;table&gt; has no associated header row or column.</w:t>
            </w:r>
          </w:p>
        </w:tc>
        <w:tc>
          <w:tcPr>
            <w:tcW w:type="dxa" w:w="2476"/>
          </w:tcPr>
          <w:p>
            <w:r/>
            <w:r>
              <w:rPr>
                <w:b w:val="0"/>
              </w:rPr>
              <w:t>Screen readers cannot associate data cells with their column meaning, so the admin view is not usable by assistive technology. This is directly relevant to any usability/accessibility NFR claim made about the harness.</w:t>
            </w:r>
          </w:p>
        </w:tc>
        <w:tc>
          <w:tcPr>
            <w:tcW w:type="dxa" w:w="2476"/>
          </w:tcPr>
          <w:p>
            <w:r/>
            <w:r>
              <w:rPr>
                <w:b w:val="0"/>
              </w:rPr>
              <w:t>Add &lt;th scope="col"&gt; markup to the table. Use as supporting evidence if usability is later scoped as a formal NFR, or as a defect entry if manual testing confirms the same gap.</w:t>
            </w:r>
          </w:p>
        </w:tc>
      </w:tr>
      <w:tr>
        <w:tc>
          <w:tcPr>
            <w:tcW w:type="dxa" w:w="2476"/>
          </w:tcPr>
          <w:p>
            <w:r/>
            <w:r>
              <w:rPr>
                <w:b w:val="0"/>
              </w:rPr>
              <w:t>F3 — Multicast group address duplicated as a literal across four files</w:t>
              <w:br/>
              <w:t>(Security — Code Smell, Low × 19, rule S1313 (“hardcoded IP address”))</w:t>
            </w:r>
          </w:p>
        </w:tc>
        <w:tc>
          <w:tcPr>
            <w:tcW w:type="dxa" w:w="2476"/>
          </w:tcPr>
          <w:p>
            <w:r/>
            <w:r>
              <w:rPr>
                <w:b w:val="0"/>
              </w:rPr>
              <w:t>239.1.1.5 / 239.1.1.6 appear as literals in packages/agent/src/config.ts, packages/control-plane/src/agent-registry.ts, packages/web/src/pages/types.ts and packages/web/src/components/AgentTopologyGraph.tsx — all 19 of the project's Security-area issues are this one pattern.</w:t>
            </w:r>
          </w:p>
        </w:tc>
        <w:tc>
          <w:tcPr>
            <w:tcW w:type="dxa" w:w="2476"/>
          </w:tcPr>
          <w:p>
            <w:r/>
            <w:r>
              <w:rPr>
                <w:b w:val="0"/>
              </w:rPr>
              <w:t>Individually each flag is a justified false positive: 239.x.x.x is a standard multicast address, required by FR3/FR4 and consistent with assumption A4.1, not a leaked or unsafe endpoint. But the repetition across four files is a genuine Maintainability risk — the same constant is retyped rather than imported, so changing the group address later requires four coordinated edits.</w:t>
            </w:r>
          </w:p>
        </w:tc>
        <w:tc>
          <w:tcPr>
            <w:tcW w:type="dxa" w:w="2476"/>
          </w:tcPr>
          <w:p>
            <w:r/>
            <w:r>
              <w:rPr>
                <w:b w:val="0"/>
              </w:rPr>
              <w:t>No security action needed (reviewed and justified). Maintainability action: move both addresses into packages/core/src/constants.ts and import them everywhere else, which would also remove all 19 Security-area flags at the source.</w:t>
            </w:r>
          </w:p>
        </w:tc>
      </w:tr>
      <w:tr>
        <w:tc>
          <w:tcPr>
            <w:tcW w:type="dxa" w:w="2476"/>
          </w:tcPr>
          <w:p>
            <w:r/>
            <w:r>
              <w:rPr>
                <w:b w:val="0"/>
              </w:rPr>
              <w:t>F4 — Ambiguous JSX spacing repeated across every harness page</w:t>
              <w:br/>
              <w:t>(Reliability / Maintainability — Code Smell, Major × 12, rule S6772 (“Ambiguous spacing”))</w:t>
            </w:r>
          </w:p>
        </w:tc>
        <w:tc>
          <w:tcPr>
            <w:tcW w:type="dxa" w:w="2476"/>
          </w:tcPr>
          <w:p>
            <w:r/>
            <w:r>
              <w:rPr>
                <w:b w:val="0"/>
              </w:rPr>
              <w:t>Broadcast.tsx, Compatibility.tsx, Multicast.tsx, Security.tsx, Unicast.tsx and EncryptionToggle.tsx each flag a label/text node sitting directly against a &lt;select&gt;/&lt;input&gt;/&lt;code&gt; element with no explicit space between them.</w:t>
            </w:r>
          </w:p>
        </w:tc>
        <w:tc>
          <w:tcPr>
            <w:tcW w:type="dxa" w:w="2476"/>
          </w:tcPr>
          <w:p>
            <w:r/>
            <w:r>
              <w:rPr>
                <w:b w:val="0"/>
              </w:rPr>
              <w:t>This is 12 of the 14 Reliability-area issues (86%) and the largest single pattern in the codebase. It can produce inconsistent label spacing in the rendered GUI — an observable, user-facing symptom, not just a lint preference.</w:t>
            </w:r>
          </w:p>
        </w:tc>
        <w:tc>
          <w:tcPr>
            <w:tcW w:type="dxa" w:w="2476"/>
          </w:tcPr>
          <w:p>
            <w:r/>
            <w:r>
              <w:rPr>
                <w:b w:val="0"/>
              </w:rPr>
              <w:t>Manually check, on each affected page, whether the rendered label reads correctly (e.g. “TTL:5” vs “TTL: 5”). This is a natural candidate to fold into one of the required manual system-level test cases, and should be logged as a defect only if the rendered spacing is actually wrong — a Sonar flag alone is not a confirmed defect (Part 4).</w:t>
            </w:r>
          </w:p>
        </w:tc>
      </w:tr>
      <w:tr>
        <w:tc>
          <w:tcPr>
            <w:tcW w:type="dxa" w:w="2476"/>
          </w:tcPr>
          <w:p>
            <w:r/>
            <w:r>
              <w:rPr>
                <w:b w:val="0"/>
              </w:rPr>
              <w:t>F5 — Component props not marked readonly, systemic across the web package</w:t>
              <w:br/>
              <w:t>(Maintainability — Code Smell, Minor × 14, rule S6759)</w:t>
            </w:r>
          </w:p>
        </w:tc>
        <w:tc>
          <w:tcPr>
            <w:tcW w:type="dxa" w:w="2476"/>
          </w:tcPr>
          <w:p>
            <w:r/>
            <w:r>
              <w:rPr>
                <w:b w:val="0"/>
              </w:rPr>
              <w:t>Nearly every component under packages/web/src/components and pages/*.tsx (e.g. StatusBadge.tsx, ArchitectureSwitch.tsx, EncryptionToggle.tsx, MessageComposer.tsx, ReliabilityDial.tsx) declares a Props interface without Readonly&lt;...&gt;.</w:t>
            </w:r>
          </w:p>
        </w:tc>
        <w:tc>
          <w:tcPr>
            <w:tcW w:type="dxa" w:w="2476"/>
          </w:tcPr>
          <w:p>
            <w:r/>
            <w:r>
              <w:rPr>
                <w:b w:val="0"/>
              </w:rPr>
              <w:t>With 14 occurrences this is the second-largest pattern after F4 and a meaningful contributor to the 50 open Maintainability issues. It is a style/consistency gap from how components were authored during AI-assisted development, not a functional defect — no observed mutation bug traces to it.</w:t>
            </w:r>
          </w:p>
        </w:tc>
        <w:tc>
          <w:tcPr>
            <w:tcW w:type="dxa" w:w="2476"/>
          </w:tcPr>
          <w:p>
            <w:r/>
            <w:r>
              <w:rPr>
                <w:b w:val="0"/>
              </w:rPr>
              <w:t>Adopt Readonly&lt;Props&gt; as the standard component signature going forward. Low priority: it does not block the Quality Gate and is not a Jira candidate, since no reproducible behavioural failure is associated with it.</w:t>
            </w:r>
          </w:p>
        </w:tc>
      </w:tr>
    </w:tbl>
    <w:p/>
    <w:p>
      <w:pPr>
        <w:pStyle w:val="Heading3"/>
      </w:pPr>
      <w:r>
        <w:rPr>
          <w:b w:val="0"/>
          <w:i w:val="0"/>
        </w:rPr>
        <w:t>NFR evaluation</w:t>
      </w:r>
    </w:p>
    <w:p>
      <w:r>
        <w:rPr>
          <w:b w:val="0"/>
          <w:i w:val="0"/>
        </w:rPr>
        <w:t>The three NFRs selected in Part 1 (3.2.6.1 Compatibility, 2.4.1 Reliability, 2.4.2 Security) were declared in advance, in Note 6, as not falsifiable in the SRS's own wording. The table below evaluates each against the falsifiable surrogate stated there, using SonarQube evidence only where it is actually relevant and stating plainly where it is not.</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81"/>
        <w:gridCol w:w="1981"/>
        <w:gridCol w:w="1981"/>
        <w:gridCol w:w="1981"/>
        <w:gridCol w:w="1981"/>
      </w:tblGrid>
      <w:tr>
        <w:tc>
          <w:tcPr>
            <w:tcW w:type="dxa" w:w="1981"/>
          </w:tcPr>
          <w:p>
            <w:r/>
            <w:r>
              <w:rPr>
                <w:b/>
              </w:rPr>
              <w:t>NFR</w:t>
            </w:r>
          </w:p>
        </w:tc>
        <w:tc>
          <w:tcPr>
            <w:tcW w:type="dxa" w:w="1981"/>
          </w:tcPr>
          <w:p>
            <w:r/>
            <w:r>
              <w:rPr>
                <w:b/>
              </w:rPr>
              <w:t>SonarQube evidence (if relevant)</w:t>
            </w:r>
          </w:p>
        </w:tc>
        <w:tc>
          <w:tcPr>
            <w:tcW w:type="dxa" w:w="1981"/>
          </w:tcPr>
          <w:p>
            <w:r/>
            <w:r>
              <w:rPr>
                <w:b/>
              </w:rPr>
              <w:t>Other evaluation method</w:t>
            </w:r>
          </w:p>
        </w:tc>
        <w:tc>
          <w:tcPr>
            <w:tcW w:type="dxa" w:w="1981"/>
          </w:tcPr>
          <w:p>
            <w:r/>
            <w:r>
              <w:rPr>
                <w:b/>
              </w:rPr>
              <w:t>Finding / judgment</w:t>
            </w:r>
          </w:p>
        </w:tc>
        <w:tc>
          <w:tcPr>
            <w:tcW w:type="dxa" w:w="1981"/>
          </w:tcPr>
          <w:p>
            <w:r/>
            <w:r>
              <w:rPr>
                <w:b/>
              </w:rPr>
              <w:t>Limitation</w:t>
            </w:r>
          </w:p>
        </w:tc>
      </w:tr>
      <w:tr>
        <w:tc>
          <w:tcPr>
            <w:tcW w:type="dxa" w:w="1981"/>
          </w:tcPr>
          <w:p>
            <w:r/>
            <w:r>
              <w:rPr>
                <w:b w:val="0"/>
              </w:rPr>
              <w:t>NFR 3.2.6.1</w:t>
              <w:br/>
              <w:t>Compatibility</w:t>
            </w:r>
          </w:p>
        </w:tc>
        <w:tc>
          <w:tcPr>
            <w:tcW w:type="dxa" w:w="1981"/>
          </w:tcPr>
          <w:p>
            <w:r/>
            <w:r>
              <w:rPr>
                <w:b w:val="0"/>
              </w:rPr>
              <w:t>N/A — static analysis cannot compare against an external agentMom 1.2 artifact. The only tangential finding is two Minor naming-convention smells (rule S101) on packages/agent/src/legacy/agentmom-1_2-adapter.ts (the AgentMom1_2 interface/class names), which are cosmetic and do not affect the preserved signatures.</w:t>
            </w:r>
          </w:p>
        </w:tc>
        <w:tc>
          <w:tcPr>
            <w:tcW w:type="dxa" w:w="1981"/>
          </w:tcPr>
          <w:p>
            <w:r/>
            <w:r>
              <w:rPr>
                <w:b w:val="0"/>
              </w:rPr>
              <w:t>Manual inspection of the legacy adapter's exported signatures against the reconstructed 1.2 surface (A8.2), confirming no existing method was altered and new features sit alongside it.</w:t>
            </w:r>
          </w:p>
        </w:tc>
        <w:tc>
          <w:tcPr>
            <w:tcW w:type="dxa" w:w="1981"/>
          </w:tcPr>
          <w:p>
            <w:r/>
            <w:r>
              <w:rPr>
                <w:b w:val="0"/>
              </w:rPr>
              <w:t>The reconstructed-interface surrogate passes — no legacy signature was changed — but this demonstrates internal additive discipline against our own reconstruction, not genuine compatibility with the real agentMom 1.2.</w:t>
            </w:r>
          </w:p>
        </w:tc>
        <w:tc>
          <w:tcPr>
            <w:tcW w:type="dxa" w:w="1981"/>
          </w:tcPr>
          <w:p>
            <w:r/>
            <w:r>
              <w:rPr>
                <w:b w:val="0"/>
              </w:rPr>
              <w:t>Carried forward from A8.2: a self-authored 1.2 contract cannot evidence real compatibility. This is unchanged and unresolved by the SonarQube run.</w:t>
            </w:r>
          </w:p>
        </w:tc>
      </w:tr>
      <w:tr>
        <w:tc>
          <w:tcPr>
            <w:tcW w:type="dxa" w:w="1981"/>
          </w:tcPr>
          <w:p>
            <w:r/>
            <w:r>
              <w:rPr>
                <w:b w:val="0"/>
              </w:rPr>
              <w:t>NFR 2.4.1</w:t>
              <w:br/>
              <w:t>Reliability (best-effort delivery)</w:t>
            </w:r>
          </w:p>
        </w:tc>
        <w:tc>
          <w:tcPr>
            <w:tcW w:type="dxa" w:w="1981"/>
          </w:tcPr>
          <w:p>
            <w:r/>
            <w:r>
              <w:rPr>
                <w:b w:val="0"/>
              </w:rPr>
              <w:t>Not directly relevant — SonarQube's “Reliability” software-quality rating (D) measures code-level bugs (led by F1, the crypto sort issue), a different construct from the SRS's delivery-reliability constraint; the two share a name but should not be conflated. No retry/acknowledgement-related code smell was raised in the transport files, at least consistent with assumption A9.2.</w:t>
            </w:r>
          </w:p>
        </w:tc>
        <w:tc>
          <w:tcPr>
            <w:tcW w:type="dxa" w:w="1981"/>
          </w:tcPr>
          <w:p>
            <w:r/>
            <w:r>
              <w:rPr>
                <w:b w:val="0"/>
              </w:rPr>
              <w:t>Static search of packages/agent/src/transports and packages/control-plane/src for retry/ack/resend logic, plus the FR3/FR4 integration tests' observed behaviour on a dropped datagram.</w:t>
            </w:r>
          </w:p>
        </w:tc>
        <w:tc>
          <w:tcPr>
            <w:tcW w:type="dxa" w:w="1981"/>
          </w:tcPr>
          <w:p>
            <w:r/>
            <w:r>
              <w:rPr>
                <w:b w:val="0"/>
              </w:rPr>
              <w:t>No acknowledgement or resend path exists anywhere in the multicast/broadcast code paths; this matches assumption A9.2 exactly, so the implementation is faithful to the “may deliver to all or none” wording.</w:t>
            </w:r>
          </w:p>
        </w:tc>
        <w:tc>
          <w:tcPr>
            <w:tcW w:type="dxa" w:w="1981"/>
          </w:tcPr>
          <w:p>
            <w:r/>
            <w:r>
              <w:rPr>
                <w:b w:val="0"/>
              </w:rPr>
              <w:t>The SRS states no delivery-rate threshold, so no pass/fail rate can be asserted; the surrogate can only confirm the absence of a mitigation mechanism, not measure actual delivery reliability under load.</w:t>
            </w:r>
          </w:p>
        </w:tc>
      </w:tr>
      <w:tr>
        <w:tc>
          <w:tcPr>
            <w:tcW w:type="dxa" w:w="1981"/>
          </w:tcPr>
          <w:p>
            <w:r/>
            <w:r>
              <w:rPr>
                <w:b w:val="0"/>
              </w:rPr>
              <w:t>NFR 2.4.2</w:t>
              <w:br/>
              <w:t>Security</w:t>
            </w:r>
          </w:p>
        </w:tc>
        <w:tc>
          <w:tcPr>
            <w:tcW w:type="dxa" w:w="1981"/>
          </w:tcPr>
          <w:p>
            <w:r>
              <w:t>Relevant, but narrow — Security Hotspots: 0 (confirmed via api/hotspots/search), Security rating A (0 vulnerabilities, 0 hotspots); the 19 Security-domain issues are all CODE_SMELL-type, the single justified multicast-address pattern (F3); none relate to the crypto/key-derivation code. Community Build's own banner discloses it does not scan for deeper vulnerability classes, and is not designed to catch a protocol/design-level weakness such as a deterministic key without a handshake.</w:t>
            </w:r>
          </w:p>
        </w:tc>
        <w:tc>
          <w:tcPr>
            <w:tcW w:type="dxa" w:w="1981"/>
          </w:tcPr>
          <w:p>
            <w:r/>
            <w:r>
              <w:rPr>
                <w:b w:val="0"/>
              </w:rPr>
              <w:t>Manual code inspection of packages/core/src/crypto/symmetric.ts and the key-holder logic against assumptions A5.2/A6.2 (deterministic shared key, no rotation on leave).</w:t>
            </w:r>
          </w:p>
        </w:tc>
        <w:tc>
          <w:tcPr>
            <w:tcW w:type="dxa" w:w="1981"/>
          </w:tcPr>
          <w:p>
            <w:r/>
            <w:r>
              <w:rPr>
                <w:b w:val="0"/>
              </w:rPr>
              <w:t>The absence of a SonarQube hotspot on the key-derivation code must not be read as a security clearance; manual inspection confirms the deterministic-key and no-rotation gaps declared in Part 1 are real and present in the frozen baseline.</w:t>
            </w:r>
          </w:p>
        </w:tc>
        <w:tc>
          <w:tcPr>
            <w:tcW w:type="dxa" w:w="1981"/>
          </w:tcPr>
          <w:p>
            <w:r/>
            <w:r>
              <w:rPr>
                <w:b w:val="0"/>
              </w:rPr>
              <w:t>This directly corroborates SRS 2.4.2's own disclaimer (“no guarantee that others cannot decrypt the encrypted messages”) — the tool's silence here is a limitation of the tool, not evidence of security.</w:t>
            </w:r>
          </w:p>
        </w:tc>
      </w:tr>
    </w:tbl>
    <w:p/>
    <w:p>
      <w:r>
        <w:t>Evidence retained: full JSON export of all 71 issues (api/issues/search), the empty hotspots result (api/hotspots/search), and the summary measures export (api/measures/component) are kept in evidence/sonarqube/ alongside this report.</w:t>
      </w:r>
    </w:p>
    <w:p>
      <w:pPr>
        <w:pStyle w:val="Heading2"/>
      </w:pPr>
      <w:r>
        <w:rPr>
          <w:b w:val="0"/>
          <w:i w:val="0"/>
        </w:rPr>
        <w:t>B. Functional Test Derivation, Execution and Traceability</w:t>
      </w:r>
    </w:p>
    <w:p>
      <w:r>
        <w:rPr>
          <w:b w:val="0"/>
          <w:i w:val="0"/>
        </w:rPr>
        <w:t>All 15 test cases were executed against the frozen baseline (commit e79b197); no file under packages/ was changed to produce this evidence. Full raw evidence is in evidence/test-execution/.</w:t>
      </w:r>
    </w:p>
    <w:p>
      <w:r>
        <w:rPr>
          <w:b/>
          <w:i w:val="0"/>
          <w:sz w:val="24"/>
        </w:rPr>
        <w:t>Table A — Test Condition Record</w:t>
      </w:r>
    </w:p>
    <w:p>
      <w:r>
        <w:rPr>
          <w:b w:val="0"/>
          <w:i w:val="0"/>
        </w:rPr>
        <w:t>Conditions derived from all 7 FRs are recorded in full in TEST-CONDITIONS.md (54 total); the 24 rows below back the 15 executed test cases.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Pr>
          <w:p>
            <w:r/>
            <w:r>
              <w:rPr>
                <w:b/>
                <w:sz w:val="18"/>
              </w:rPr>
              <w:t>Test basis / requirement</w:t>
            </w:r>
          </w:p>
        </w:tc>
        <w:tc>
          <w:tcPr>
            <w:tcW w:type="dxa" w:w="3302"/>
          </w:tcPr>
          <w:p>
            <w:r/>
            <w:r>
              <w:rPr>
                <w:b/>
                <w:sz w:val="18"/>
              </w:rPr>
              <w:t>Condition ID</w:t>
            </w:r>
          </w:p>
        </w:tc>
        <w:tc>
          <w:tcPr>
            <w:tcW w:type="dxa" w:w="3302"/>
          </w:tcPr>
          <w:p>
            <w:r/>
            <w:r>
              <w:rPr>
                <w:b/>
                <w:sz w:val="18"/>
              </w:rPr>
              <w:t>Test condition</w:t>
            </w:r>
          </w:p>
        </w:tc>
      </w:tr>
      <w:tr>
        <w:tc>
          <w:tcPr>
            <w:tcW w:type="dxa" w:w="3302"/>
          </w:tcPr>
          <w:p>
            <w:r/>
            <w:r>
              <w:rPr>
                <w:sz w:val="18"/>
              </w:rPr>
              <w:t>3.2.1.1/.2</w:t>
            </w:r>
          </w:p>
        </w:tc>
        <w:tc>
          <w:tcPr>
            <w:tcW w:type="dxa" w:w="3302"/>
          </w:tcPr>
          <w:p>
            <w:r/>
            <w:r>
              <w:rPr>
                <w:sz w:val="18"/>
              </w:rPr>
              <w:t>COND-04</w:t>
            </w:r>
          </w:p>
        </w:tc>
        <w:tc>
          <w:tcPr>
            <w:tcW w:type="dxa" w:w="3302"/>
          </w:tcPr>
          <w:p>
            <w:r/>
            <w:r>
              <w:rPr>
                <w:sz w:val="18"/>
              </w:rPr>
              <w:t>A send establishes a connection and the addressed agent receives the envelope</w:t>
            </w:r>
          </w:p>
        </w:tc>
      </w:tr>
      <w:tr>
        <w:tc>
          <w:tcPr>
            <w:tcW w:type="dxa" w:w="3302"/>
          </w:tcPr>
          <w:p>
            <w:r/>
            <w:r>
              <w:rPr>
                <w:sz w:val="18"/>
              </w:rPr>
              <w:t>BR-01</w:t>
            </w:r>
          </w:p>
        </w:tc>
        <w:tc>
          <w:tcPr>
            <w:tcW w:type="dxa" w:w="3302"/>
          </w:tcPr>
          <w:p>
            <w:r/>
            <w:r>
              <w:rPr>
                <w:sz w:val="18"/>
              </w:rPr>
              <w:t>COND-05</w:t>
            </w:r>
          </w:p>
        </w:tc>
        <w:tc>
          <w:tcPr>
            <w:tcW w:type="dxa" w:w="3302"/>
          </w:tcPr>
          <w:p>
            <w:r/>
            <w:r>
              <w:rPr>
                <w:sz w:val="18"/>
              </w:rPr>
              <w:t>An envelope whose recipientId ≠ this agent is dropped and raises PROTOCOL_VIOLATION</w:t>
            </w:r>
          </w:p>
        </w:tc>
      </w:tr>
      <w:tr>
        <w:tc>
          <w:tcPr>
            <w:tcW w:type="dxa" w:w="3302"/>
          </w:tcPr>
          <w:p>
            <w:r/>
            <w:r>
              <w:rPr>
                <w:sz w:val="18"/>
              </w:rPr>
              <w:t>3.2.1.3</w:t>
            </w:r>
          </w:p>
        </w:tc>
        <w:tc>
          <w:tcPr>
            <w:tcW w:type="dxa" w:w="3302"/>
          </w:tcPr>
          <w:p>
            <w:r/>
            <w:r>
              <w:rPr>
                <w:sz w:val="18"/>
              </w:rPr>
              <w:t>COND-06</w:t>
            </w:r>
          </w:p>
        </w:tc>
        <w:tc>
          <w:tcPr>
            <w:tcW w:type="dxa" w:w="3302"/>
          </w:tcPr>
          <w:p>
            <w:r/>
            <w:r>
              <w:rPr>
                <w:sz w:val="18"/>
              </w:rPr>
              <w:t>A message sent A→B is not received by C</w:t>
            </w:r>
          </w:p>
        </w:tc>
      </w:tr>
      <w:tr>
        <w:tc>
          <w:tcPr>
            <w:tcW w:type="dxa" w:w="3302"/>
          </w:tcPr>
          <w:p>
            <w:r/>
            <w:r>
              <w:rPr>
                <w:sz w:val="18"/>
              </w:rPr>
              <w:t>3.2.1.4</w:t>
            </w:r>
          </w:p>
        </w:tc>
        <w:tc>
          <w:tcPr>
            <w:tcW w:type="dxa" w:w="3302"/>
          </w:tcPr>
          <w:p>
            <w:r/>
            <w:r>
              <w:rPr>
                <w:sz w:val="18"/>
              </w:rPr>
              <w:t>COND-07</w:t>
            </w:r>
          </w:p>
        </w:tc>
        <w:tc>
          <w:tcPr>
            <w:tcW w:type="dxa" w:w="3302"/>
          </w:tcPr>
          <w:p>
            <w:r/>
            <w:r>
              <w:rPr>
                <w:sz w:val="18"/>
              </w:rPr>
              <w:t>50 messages sent A→B arrive in the order sent</w:t>
            </w:r>
          </w:p>
        </w:tc>
      </w:tr>
      <w:tr>
        <w:tc>
          <w:tcPr>
            <w:tcW w:type="dxa" w:w="3302"/>
          </w:tcPr>
          <w:p>
            <w:r/>
            <w:r>
              <w:rPr>
                <w:sz w:val="18"/>
              </w:rPr>
              <w:t>BR-03</w:t>
            </w:r>
          </w:p>
        </w:tc>
        <w:tc>
          <w:tcPr>
            <w:tcW w:type="dxa" w:w="3302"/>
          </w:tcPr>
          <w:p>
            <w:r/>
            <w:r>
              <w:rPr>
                <w:sz w:val="18"/>
              </w:rPr>
              <w:t>COND-08</w:t>
            </w:r>
          </w:p>
        </w:tc>
        <w:tc>
          <w:tcPr>
            <w:tcW w:type="dxa" w:w="3302"/>
          </w:tcPr>
          <w:p>
            <w:r/>
            <w:r>
              <w:rPr>
                <w:sz w:val="18"/>
              </w:rPr>
              <w:t>A sequenceNumber of lastSeen+2 raises SEQUENCE_ANOMALY; lastSeen+1 does not</w:t>
            </w:r>
          </w:p>
        </w:tc>
      </w:tr>
      <w:tr>
        <w:tc>
          <w:tcPr>
            <w:tcW w:type="dxa" w:w="3302"/>
          </w:tcPr>
          <w:p>
            <w:r/>
            <w:r>
              <w:rPr>
                <w:sz w:val="18"/>
              </w:rPr>
              <w:t>SRS UC2</w:t>
            </w:r>
          </w:p>
        </w:tc>
        <w:tc>
          <w:tcPr>
            <w:tcW w:type="dxa" w:w="3302"/>
          </w:tcPr>
          <w:p>
            <w:r/>
            <w:r>
              <w:rPr>
                <w:sz w:val="18"/>
              </w:rPr>
              <w:t>COND-10</w:t>
            </w:r>
          </w:p>
        </w:tc>
        <w:tc>
          <w:tcPr>
            <w:tcW w:type="dxa" w:w="3302"/>
          </w:tcPr>
          <w:p>
            <w:r/>
            <w:r>
              <w:rPr>
                <w:sz w:val="18"/>
              </w:rPr>
              <w:t>Use Case 2 (unicast) re-enacted end-to-end through the harness</w:t>
            </w:r>
          </w:p>
        </w:tc>
      </w:tr>
      <w:tr>
        <w:tc>
          <w:tcPr>
            <w:tcW w:type="dxa" w:w="3302"/>
          </w:tcPr>
          <w:p>
            <w:r/>
            <w:r>
              <w:rPr>
                <w:sz w:val="18"/>
              </w:rPr>
              <w:t>3.2.2.3</w:t>
            </w:r>
          </w:p>
        </w:tc>
        <w:tc>
          <w:tcPr>
            <w:tcW w:type="dxa" w:w="3302"/>
          </w:tcPr>
          <w:p>
            <w:r/>
            <w:r>
              <w:rPr>
                <w:sz w:val="18"/>
              </w:rPr>
              <w:t>COND-11</w:t>
            </w:r>
          </w:p>
        </w:tc>
        <w:tc>
          <w:tcPr>
            <w:tcW w:type="dxa" w:w="3302"/>
          </w:tcPr>
          <w:p>
            <w:r/>
            <w:r>
              <w:rPr>
                <w:sz w:val="18"/>
              </w:rPr>
              <w:t>join() transitions NOT_MEMBER → JOINING → MEMBER</w:t>
            </w:r>
          </w:p>
        </w:tc>
      </w:tr>
      <w:tr>
        <w:tc>
          <w:tcPr>
            <w:tcW w:type="dxa" w:w="3302"/>
          </w:tcPr>
          <w:p>
            <w:r/>
            <w:r>
              <w:rPr>
                <w:sz w:val="18"/>
              </w:rPr>
              <w:t>BR-06</w:t>
            </w:r>
          </w:p>
        </w:tc>
        <w:tc>
          <w:tcPr>
            <w:tcW w:type="dxa" w:w="3302"/>
          </w:tcPr>
          <w:p>
            <w:r/>
            <w:r>
              <w:rPr>
                <w:sz w:val="18"/>
              </w:rPr>
              <w:t>COND-13</w:t>
            </w:r>
          </w:p>
        </w:tc>
        <w:tc>
          <w:tcPr>
            <w:tcW w:type="dxa" w:w="3302"/>
          </w:tcPr>
          <w:p>
            <w:r/>
            <w:r>
              <w:rPr>
                <w:sz w:val="18"/>
              </w:rPr>
              <w:t>leave() removes from the membership set before calling dropMembership</w:t>
            </w:r>
          </w:p>
        </w:tc>
      </w:tr>
      <w:tr>
        <w:tc>
          <w:tcPr>
            <w:tcW w:type="dxa" w:w="3302"/>
          </w:tcPr>
          <w:p>
            <w:r/>
            <w:r>
              <w:rPr>
                <w:sz w:val="18"/>
              </w:rPr>
              <w:t>3.2.2.9 / BR-07</w:t>
            </w:r>
          </w:p>
        </w:tc>
        <w:tc>
          <w:tcPr>
            <w:tcW w:type="dxa" w:w="3302"/>
          </w:tcPr>
          <w:p>
            <w:r/>
            <w:r>
              <w:rPr>
                <w:sz w:val="18"/>
              </w:rPr>
              <w:t>COND-16</w:t>
            </w:r>
          </w:p>
        </w:tc>
        <w:tc>
          <w:tcPr>
            <w:tcW w:type="dxa" w:w="3302"/>
          </w:tcPr>
          <w:p>
            <w:r/>
            <w:r>
              <w:rPr>
                <w:sz w:val="18"/>
              </w:rPr>
              <w:t>An agent joined to α and β receives from both, each attributed to the correct group</w:t>
            </w:r>
          </w:p>
        </w:tc>
      </w:tr>
      <w:tr>
        <w:tc>
          <w:tcPr>
            <w:tcW w:type="dxa" w:w="3302"/>
          </w:tcPr>
          <w:p>
            <w:r/>
            <w:r>
              <w:rPr>
                <w:sz w:val="18"/>
              </w:rPr>
              <w:t>SRS UC1</w:t>
            </w:r>
          </w:p>
        </w:tc>
        <w:tc>
          <w:tcPr>
            <w:tcW w:type="dxa" w:w="3302"/>
          </w:tcPr>
          <w:p>
            <w:r/>
            <w:r>
              <w:rPr>
                <w:sz w:val="18"/>
              </w:rPr>
              <w:t>COND-17</w:t>
            </w:r>
          </w:p>
        </w:tc>
        <w:tc>
          <w:tcPr>
            <w:tcW w:type="dxa" w:w="3302"/>
          </w:tcPr>
          <w:p>
            <w:r/>
            <w:r>
              <w:rPr>
                <w:sz w:val="18"/>
              </w:rPr>
              <w:t>Use Case 1 (join/leave) re-enacted through the harness</w:t>
            </w:r>
          </w:p>
        </w:tc>
      </w:tr>
      <w:tr>
        <w:tc>
          <w:tcPr>
            <w:tcW w:type="dxa" w:w="3302"/>
          </w:tcPr>
          <w:p>
            <w:r/>
            <w:r>
              <w:rPr>
                <w:sz w:val="18"/>
              </w:rPr>
              <w:t>BR-06</w:t>
            </w:r>
          </w:p>
        </w:tc>
        <w:tc>
          <w:tcPr>
            <w:tcW w:type="dxa" w:w="3302"/>
          </w:tcPr>
          <w:p>
            <w:r/>
            <w:r>
              <w:rPr>
                <w:sz w:val="18"/>
              </w:rPr>
              <w:t>COND-18</w:t>
            </w:r>
          </w:p>
        </w:tc>
        <w:tc>
          <w:tcPr>
            <w:tcW w:type="dxa" w:w="3302"/>
          </w:tcPr>
          <w:p>
            <w:r/>
            <w:r>
              <w:rPr>
                <w:sz w:val="18"/>
              </w:rPr>
              <w:t>A message inbound in the same event-loop tick as leave() is dropped, not delivered</w:t>
            </w:r>
          </w:p>
        </w:tc>
      </w:tr>
      <w:tr>
        <w:tc>
          <w:tcPr>
            <w:tcW w:type="dxa" w:w="3302"/>
          </w:tcPr>
          <w:p>
            <w:r/>
            <w:r>
              <w:rPr>
                <w:sz w:val="18"/>
              </w:rPr>
              <w:t>BR-09</w:t>
            </w:r>
          </w:p>
        </w:tc>
        <w:tc>
          <w:tcPr>
            <w:tcW w:type="dxa" w:w="3302"/>
          </w:tcPr>
          <w:p>
            <w:r/>
            <w:r>
              <w:rPr>
                <w:sz w:val="18"/>
              </w:rPr>
              <w:t>COND-19</w:t>
            </w:r>
          </w:p>
        </w:tc>
        <w:tc>
          <w:tcPr>
            <w:tcW w:type="dxa" w:w="3302"/>
          </w:tcPr>
          <w:p>
            <w:r/>
            <w:r>
              <w:rPr>
                <w:sz w:val="18"/>
              </w:rPr>
              <w:t>ttl=1 is deliverable; ttl=0 is expired — exact boundary</w:t>
            </w:r>
          </w:p>
        </w:tc>
      </w:tr>
      <w:tr>
        <w:tc>
          <w:tcPr>
            <w:tcW w:type="dxa" w:w="3302"/>
          </w:tcPr>
          <w:p>
            <w:r/>
            <w:r>
              <w:rPr>
                <w:sz w:val="18"/>
              </w:rPr>
              <w:t>BR-09</w:t>
            </w:r>
          </w:p>
        </w:tc>
        <w:tc>
          <w:tcPr>
            <w:tcW w:type="dxa" w:w="3302"/>
          </w:tcPr>
          <w:p>
            <w:r/>
            <w:r>
              <w:rPr>
                <w:sz w:val="18"/>
              </w:rPr>
              <w:t>COND-21</w:t>
            </w:r>
          </w:p>
        </w:tc>
        <w:tc>
          <w:tcPr>
            <w:tcW w:type="dxa" w:w="3302"/>
          </w:tcPr>
          <w:p>
            <w:r/>
            <w:r>
              <w:rPr>
                <w:sz w:val="18"/>
              </w:rPr>
              <w:t>A received envelope with expired TTL raises MESSAGE_DROPPED_TTL_EXPIRED and is not delivered</w:t>
            </w:r>
          </w:p>
        </w:tc>
      </w:tr>
      <w:tr>
        <w:tc>
          <w:tcPr>
            <w:tcW w:type="dxa" w:w="3302"/>
          </w:tcPr>
          <w:p>
            <w:r/>
            <w:r>
              <w:rPr>
                <w:sz w:val="18"/>
              </w:rPr>
              <w:t>SRS §1.3</w:t>
            </w:r>
          </w:p>
        </w:tc>
        <w:tc>
          <w:tcPr>
            <w:tcW w:type="dxa" w:w="3302"/>
          </w:tcPr>
          <w:p>
            <w:r/>
            <w:r>
              <w:rPr>
                <w:sz w:val="18"/>
              </w:rPr>
              <w:t>COND-22</w:t>
            </w:r>
          </w:p>
        </w:tc>
        <w:tc>
          <w:tcPr>
            <w:tcW w:type="dxa" w:w="3302"/>
          </w:tcPr>
          <w:p>
            <w:r/>
            <w:r>
              <w:rPr>
                <w:sz w:val="18"/>
              </w:rPr>
              <w:t>OS-level setMulticastTTL(0) confines a datagram to the originating host</w:t>
            </w:r>
          </w:p>
        </w:tc>
      </w:tr>
      <w:tr>
        <w:tc>
          <w:tcPr>
            <w:tcW w:type="dxa" w:w="3302"/>
          </w:tcPr>
          <w:p>
            <w:r/>
            <w:r>
              <w:rPr>
                <w:sz w:val="18"/>
              </w:rPr>
              <w:t>BR-10</w:t>
            </w:r>
          </w:p>
        </w:tc>
        <w:tc>
          <w:tcPr>
            <w:tcW w:type="dxa" w:w="3302"/>
          </w:tcPr>
          <w:p>
            <w:r/>
            <w:r>
              <w:rPr>
                <w:sz w:val="18"/>
              </w:rPr>
              <w:t>COND-24</w:t>
            </w:r>
          </w:p>
        </w:tc>
        <w:tc>
          <w:tcPr>
            <w:tcW w:type="dxa" w:w="3302"/>
          </w:tcPr>
          <w:p>
            <w:r/>
            <w:r>
              <w:rPr>
                <w:sz w:val="18"/>
              </w:rPr>
              <w:t>A destination outside 224.0.0.0/4 is rejected at send time</w:t>
            </w:r>
          </w:p>
        </w:tc>
      </w:tr>
      <w:tr>
        <w:tc>
          <w:tcPr>
            <w:tcW w:type="dxa" w:w="3302"/>
          </w:tcPr>
          <w:p>
            <w:r/>
            <w:r>
              <w:rPr>
                <w:sz w:val="18"/>
              </w:rPr>
              <w:t>3.2.3.1/.2</w:t>
            </w:r>
          </w:p>
        </w:tc>
        <w:tc>
          <w:tcPr>
            <w:tcW w:type="dxa" w:w="3302"/>
          </w:tcPr>
          <w:p>
            <w:r/>
            <w:r>
              <w:rPr>
                <w:sz w:val="18"/>
              </w:rPr>
              <w:t>COND-29</w:t>
            </w:r>
          </w:p>
        </w:tc>
        <w:tc>
          <w:tcPr>
            <w:tcW w:type="dxa" w:w="3302"/>
          </w:tcPr>
          <w:p>
            <w:r/>
            <w:r>
              <w:rPr>
                <w:sz w:val="18"/>
              </w:rPr>
              <w:t>A broadcast send is received by every agent on the same host</w:t>
            </w:r>
          </w:p>
        </w:tc>
      </w:tr>
      <w:tr>
        <w:tc>
          <w:tcPr>
            <w:tcW w:type="dxa" w:w="3302"/>
          </w:tcPr>
          <w:p>
            <w:r/>
            <w:r>
              <w:rPr>
                <w:sz w:val="18"/>
              </w:rPr>
              <w:t>3.2.3.3</w:t>
            </w:r>
          </w:p>
        </w:tc>
        <w:tc>
          <w:tcPr>
            <w:tcW w:type="dxa" w:w="3302"/>
          </w:tcPr>
          <w:p>
            <w:r/>
            <w:r>
              <w:rPr>
                <w:sz w:val="18"/>
              </w:rPr>
              <w:t>COND-30</w:t>
            </w:r>
          </w:p>
        </w:tc>
        <w:tc>
          <w:tcPr>
            <w:tcW w:type="dxa" w:w="3302"/>
          </w:tcPr>
          <w:p>
            <w:r/>
            <w:r>
              <w:rPr>
                <w:sz w:val="18"/>
              </w:rPr>
              <w:t>A broadcast is sent to all possible hosts under the same local network</w:t>
            </w:r>
          </w:p>
        </w:tc>
      </w:tr>
      <w:tr>
        <w:tc>
          <w:tcPr>
            <w:tcW w:type="dxa" w:w="3302"/>
          </w:tcPr>
          <w:p>
            <w:r/>
            <w:r>
              <w:rPr>
                <w:sz w:val="18"/>
              </w:rPr>
              <w:t>SRS UC4</w:t>
            </w:r>
          </w:p>
        </w:tc>
        <w:tc>
          <w:tcPr>
            <w:tcW w:type="dxa" w:w="3302"/>
          </w:tcPr>
          <w:p>
            <w:r/>
            <w:r>
              <w:rPr>
                <w:sz w:val="18"/>
              </w:rPr>
              <w:t>COND-33</w:t>
            </w:r>
          </w:p>
        </w:tc>
        <w:tc>
          <w:tcPr>
            <w:tcW w:type="dxa" w:w="3302"/>
          </w:tcPr>
          <w:p>
            <w:r/>
            <w:r>
              <w:rPr>
                <w:sz w:val="18"/>
              </w:rPr>
              <w:t>Use Case 4 (broadcast) re-enacted through the harness</w:t>
            </w:r>
          </w:p>
        </w:tc>
      </w:tr>
      <w:tr>
        <w:tc>
          <w:tcPr>
            <w:tcW w:type="dxa" w:w="3302"/>
          </w:tcPr>
          <w:p>
            <w:r/>
            <w:r>
              <w:rPr>
                <w:sz w:val="18"/>
              </w:rPr>
              <w:t>BR-16</w:t>
            </w:r>
          </w:p>
        </w:tc>
        <w:tc>
          <w:tcPr>
            <w:tcW w:type="dxa" w:w="3302"/>
          </w:tcPr>
          <w:p>
            <w:r/>
            <w:r>
              <w:rPr>
                <w:sz w:val="18"/>
              </w:rPr>
              <w:t>COND-37</w:t>
            </w:r>
          </w:p>
        </w:tc>
        <w:tc>
          <w:tcPr>
            <w:tcW w:type="dxa" w:w="3302"/>
          </w:tcPr>
          <w:p>
            <w:r/>
            <w:r>
              <w:rPr>
                <w:sz w:val="18"/>
              </w:rPr>
              <w:t>encrypted=true with iv or authTag missing is malformed: dropped, no decryption attempted</w:t>
            </w:r>
          </w:p>
        </w:tc>
      </w:tr>
      <w:tr>
        <w:tc>
          <w:tcPr>
            <w:tcW w:type="dxa" w:w="3302"/>
          </w:tcPr>
          <w:p>
            <w:r/>
            <w:r>
              <w:rPr>
                <w:sz w:val="18"/>
              </w:rPr>
              <w:t>BR-14</w:t>
            </w:r>
          </w:p>
        </w:tc>
        <w:tc>
          <w:tcPr>
            <w:tcW w:type="dxa" w:w="3302"/>
          </w:tcPr>
          <w:p>
            <w:r/>
            <w:r>
              <w:rPr>
                <w:sz w:val="18"/>
              </w:rPr>
              <w:t>COND-38</w:t>
            </w:r>
          </w:p>
        </w:tc>
        <w:tc>
          <w:tcPr>
            <w:tcW w:type="dxa" w:w="3302"/>
          </w:tcPr>
          <w:p>
            <w:r/>
            <w:r>
              <w:rPr>
                <w:sz w:val="18"/>
              </w:rPr>
              <w:t>A message sent with encrypted=false travels as plaintext; the same body with encrypted=true differs on the wire</w:t>
            </w:r>
          </w:p>
        </w:tc>
      </w:tr>
      <w:tr>
        <w:tc>
          <w:tcPr>
            <w:tcW w:type="dxa" w:w="3302"/>
          </w:tcPr>
          <w:p>
            <w:r/>
            <w:r>
              <w:rPr>
                <w:sz w:val="18"/>
              </w:rPr>
              <w:t>3.2.4.4</w:t>
            </w:r>
          </w:p>
        </w:tc>
        <w:tc>
          <w:tcPr>
            <w:tcW w:type="dxa" w:w="3302"/>
          </w:tcPr>
          <w:p>
            <w:r/>
            <w:r>
              <w:rPr>
                <w:sz w:val="18"/>
              </w:rPr>
              <w:t>COND-39</w:t>
            </w:r>
          </w:p>
        </w:tc>
        <w:tc>
          <w:tcPr>
            <w:tcW w:type="dxa" w:w="3302"/>
          </w:tcPr>
          <w:p>
            <w:r/>
            <w:r>
              <w:rPr>
                <w:sz w:val="18"/>
              </w:rPr>
              <w:t>The receiver decrypts automatically with no user action</w:t>
            </w:r>
          </w:p>
        </w:tc>
      </w:tr>
      <w:tr>
        <w:tc>
          <w:tcPr>
            <w:tcW w:type="dxa" w:w="3302"/>
          </w:tcPr>
          <w:p>
            <w:r/>
            <w:r>
              <w:rPr>
                <w:sz w:val="18"/>
              </w:rPr>
              <w:t>BR-18</w:t>
            </w:r>
          </w:p>
        </w:tc>
        <w:tc>
          <w:tcPr>
            <w:tcW w:type="dxa" w:w="3302"/>
          </w:tcPr>
          <w:p>
            <w:r/>
            <w:r>
              <w:rPr>
                <w:sz w:val="18"/>
              </w:rPr>
              <w:t>COND-42</w:t>
            </w:r>
          </w:p>
        </w:tc>
        <w:tc>
          <w:tcPr>
            <w:tcW w:type="dxa" w:w="3302"/>
          </w:tcPr>
          <w:p>
            <w:r/>
            <w:r>
              <w:rPr>
                <w:sz w:val="18"/>
              </w:rPr>
              <w:t>A non-allow-listed agent's key request is denied and raises GROUP_KEY_DENIED</w:t>
            </w:r>
          </w:p>
        </w:tc>
      </w:tr>
      <w:tr>
        <w:tc>
          <w:tcPr>
            <w:tcW w:type="dxa" w:w="3302"/>
          </w:tcPr>
          <w:p>
            <w:r/>
            <w:r>
              <w:rPr>
                <w:sz w:val="18"/>
              </w:rPr>
              <w:t>3.2.5.1/.2</w:t>
            </w:r>
          </w:p>
        </w:tc>
        <w:tc>
          <w:tcPr>
            <w:tcW w:type="dxa" w:w="3302"/>
          </w:tcPr>
          <w:p>
            <w:r/>
            <w:r>
              <w:rPr>
                <w:sz w:val="18"/>
              </w:rPr>
              <w:t>COND-47</w:t>
            </w:r>
          </w:p>
        </w:tc>
        <w:tc>
          <w:tcPr>
            <w:tcW w:type="dxa" w:w="3302"/>
          </w:tcPr>
          <w:p>
            <w:r/>
            <w:r>
              <w:rPr>
                <w:sz w:val="18"/>
              </w:rPr>
              <w:t>Delivery behaviour is identical before and after a live architecture switch</w:t>
            </w:r>
          </w:p>
        </w:tc>
      </w:tr>
      <w:tr>
        <w:tc>
          <w:tcPr>
            <w:tcW w:type="dxa" w:w="3302"/>
          </w:tcPr>
          <w:p>
            <w:r/>
            <w:r>
              <w:rPr>
                <w:sz w:val="18"/>
              </w:rPr>
              <w:t>3.2.5.1/.2</w:t>
            </w:r>
          </w:p>
        </w:tc>
        <w:tc>
          <w:tcPr>
            <w:tcW w:type="dxa" w:w="3302"/>
          </w:tcPr>
          <w:p>
            <w:r/>
            <w:r>
              <w:rPr>
                <w:sz w:val="18"/>
              </w:rPr>
              <w:t>COND-49</w:t>
            </w:r>
          </w:p>
        </w:tc>
        <w:tc>
          <w:tcPr>
            <w:tcW w:type="dxa" w:w="3302"/>
          </w:tcPr>
          <w:p>
            <w:r/>
            <w:r>
              <w:rPr>
                <w:sz w:val="18"/>
              </w:rPr>
              <w:t>The switch is observable in the harness with an ARCHITECTURE_SWITCHED marker</w:t>
            </w:r>
          </w:p>
        </w:tc>
      </w:tr>
    </w:tbl>
    <w:p/>
    <w:p>
      <w:r>
        <w:rPr>
          <w:b/>
          <w:i w:val="0"/>
          <w:sz w:val="24"/>
        </w:rPr>
        <w:t>Table B — Test Case Record</w:t>
      </w:r>
    </w:p>
    <w:p>
      <w:r>
        <w:rPr>
          <w:b w:val="0"/>
          <w:i w:val="0"/>
        </w:rPr>
        <w:t>Executed 2026-09-07 against the frozen baseline (e79b197), single-host test bed. Automated cases: npm test, log in evidence/test-execution/npm-test-output-verbose.txt (217/217 green). Manual cases: driven live through the harness (bash runsystem.sh), screenshots in evidence/test-execution/. Category minimums met: boundary (TC-03, TC-05, TC-07 - 3 of 2 required), invalid/error (TC-09, TC-12, TC-14 - 3 of 2), manual system-level (TC-01, TC-04, TC-10, TC-11, TC-15 - 5 of 3), genuine FAILED/BLOCKED (TC-08, TC-11 - 2 of 2).</w:t>
      </w:r>
    </w:p>
    <w:p>
      <w:r>
        <w:rPr>
          <w:b/>
          <w:i w:val="0"/>
          <w:sz w:val="21"/>
        </w:rPr>
        <w:t>TC-01 — Unicast delivery, SRS Use Case 2</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TC-01 — Unicast delivery, SRS Use Case 2</w:t>
            </w:r>
          </w:p>
        </w:tc>
      </w:tr>
      <w:tr>
        <w:tc>
          <w:tcPr>
            <w:tcW w:type="dxa" w:w="4953"/>
          </w:tcPr>
          <w:p>
            <w:r/>
            <w:r>
              <w:rPr>
                <w:b/>
                <w:sz w:val="18"/>
              </w:rPr>
              <w:t>Level / category</w:t>
            </w:r>
          </w:p>
        </w:tc>
        <w:tc>
          <w:tcPr>
            <w:tcW w:type="dxa" w:w="4953"/>
          </w:tcPr>
          <w:p>
            <w:r/>
            <w:r>
              <w:rPr>
                <w:sz w:val="18"/>
              </w:rPr>
              <w:t>System — manual, Normal</w:t>
            </w:r>
          </w:p>
        </w:tc>
      </w:tr>
      <w:tr>
        <w:tc>
          <w:tcPr>
            <w:tcW w:type="dxa" w:w="4953"/>
          </w:tcPr>
          <w:p>
            <w:r/>
            <w:r>
              <w:rPr>
                <w:b/>
                <w:sz w:val="18"/>
              </w:rPr>
              <w:t>Test basis / objective</w:t>
            </w:r>
          </w:p>
        </w:tc>
        <w:tc>
          <w:tcPr>
            <w:tcW w:type="dxa" w:w="4953"/>
          </w:tcPr>
          <w:p>
            <w:r/>
            <w:r>
              <w:rPr>
                <w:sz w:val="18"/>
              </w:rPr>
              <w:t>COND-10 (SRS UC2) + COND-04 (3.2.1.1/.2) — a unicast send is established and delivered to the addressed agent</w:t>
            </w:r>
          </w:p>
        </w:tc>
      </w:tr>
      <w:tr>
        <w:tc>
          <w:tcPr>
            <w:tcW w:type="dxa" w:w="4953"/>
          </w:tcPr>
          <w:p>
            <w:r/>
            <w:r>
              <w:rPr>
                <w:b/>
                <w:sz w:val="18"/>
              </w:rPr>
              <w:t>Preconditions</w:t>
            </w:r>
          </w:p>
        </w:tc>
        <w:tc>
          <w:tcPr>
            <w:tcW w:type="dxa" w:w="4953"/>
          </w:tcPr>
          <w:p>
            <w:r/>
            <w:r>
              <w:rPr>
                <w:sz w:val="18"/>
              </w:rPr>
              <w:t>Demo topology running (agent-A…D forked, control plane up)</w:t>
            </w:r>
          </w:p>
        </w:tc>
      </w:tr>
      <w:tr>
        <w:tc>
          <w:tcPr>
            <w:tcW w:type="dxa" w:w="4953"/>
          </w:tcPr>
          <w:p>
            <w:r/>
            <w:r>
              <w:rPr>
                <w:b/>
                <w:sz w:val="18"/>
              </w:rPr>
              <w:t>Test data</w:t>
            </w:r>
          </w:p>
        </w:tc>
        <w:tc>
          <w:tcPr>
            <w:tcW w:type="dxa" w:w="4953"/>
          </w:tcPr>
          <w:p>
            <w:r/>
            <w:r>
              <w:rPr>
                <w:sz w:val="18"/>
              </w:rPr>
              <w:t>3 messages, agent-A → agent-B, plaintext</w:t>
            </w:r>
          </w:p>
        </w:tc>
      </w:tr>
      <w:tr>
        <w:tc>
          <w:tcPr>
            <w:tcW w:type="dxa" w:w="4953"/>
          </w:tcPr>
          <w:p>
            <w:r/>
            <w:r>
              <w:rPr>
                <w:b/>
                <w:sz w:val="18"/>
              </w:rPr>
              <w:t>Steps</w:t>
            </w:r>
          </w:p>
        </w:tc>
        <w:tc>
          <w:tcPr>
            <w:tcW w:type="dxa" w:w="4953"/>
          </w:tcPr>
          <w:p>
            <w:r/>
            <w:r>
              <w:rPr>
                <w:sz w:val="18"/>
              </w:rPr>
              <w:t>Open Unicast page; from=agent-A, to=agent-B; send 3 messages in succession; observe status badge and log after each</w:t>
            </w:r>
          </w:p>
        </w:tc>
      </w:tr>
      <w:tr>
        <w:tc>
          <w:tcPr>
            <w:tcW w:type="dxa" w:w="4953"/>
          </w:tcPr>
          <w:p>
            <w:r/>
            <w:r>
              <w:rPr>
                <w:b/>
                <w:sz w:val="18"/>
              </w:rPr>
              <w:t>Expected result</w:t>
            </w:r>
          </w:p>
        </w:tc>
        <w:tc>
          <w:tcPr>
            <w:tcW w:type="dxa" w:w="4953"/>
          </w:tcPr>
          <w:p>
            <w:r/>
            <w:r>
              <w:rPr>
                <w:sz w:val="18"/>
              </w:rPr>
              <w:t>Each send is received by agent-B, in the order sent (3.2.1.4 applies transitively)</w:t>
            </w:r>
          </w:p>
        </w:tc>
      </w:tr>
      <w:tr>
        <w:tc>
          <w:tcPr>
            <w:tcW w:type="dxa" w:w="4953"/>
          </w:tcPr>
          <w:p>
            <w:r/>
            <w:r>
              <w:rPr>
                <w:b/>
                <w:sz w:val="18"/>
              </w:rPr>
              <w:t>Actual result</w:t>
            </w:r>
          </w:p>
        </w:tc>
        <w:tc>
          <w:tcPr>
            <w:tcW w:type="dxa" w:w="4953"/>
          </w:tcPr>
          <w:p>
            <w:r/>
            <w:r>
              <w:rPr>
                <w:sz w:val="18"/>
              </w:rPr>
              <w:t>All 3 delivered; log timestamps strictly increasing (SENT then RECEIVED within 3ms, each pair complete before the next SENT)</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TC-01-unicast-burst-success.png</w:t>
            </w:r>
          </w:p>
        </w:tc>
      </w:tr>
    </w:tbl>
    <w:p/>
    <w:p>
      <w:r>
        <w:rPr>
          <w:b/>
          <w:i w:val="0"/>
          <w:sz w:val="21"/>
        </w:rPr>
        <w:t>TC-02 — Unicast addressing isolation</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TC-02 — Unicast addressing isolation</w:t>
            </w:r>
          </w:p>
        </w:tc>
      </w:tr>
      <w:tr>
        <w:tc>
          <w:tcPr>
            <w:tcW w:type="dxa" w:w="4953"/>
          </w:tcPr>
          <w:p>
            <w:r/>
            <w:r>
              <w:rPr>
                <w:b/>
                <w:sz w:val="18"/>
              </w:rPr>
              <w:t>Level / category</w:t>
            </w:r>
          </w:p>
        </w:tc>
        <w:tc>
          <w:tcPr>
            <w:tcW w:type="dxa" w:w="4953"/>
          </w:tcPr>
          <w:p>
            <w:r/>
            <w:r>
              <w:rPr>
                <w:sz w:val="18"/>
              </w:rPr>
              <w:t>Integration — automated, Business rule</w:t>
            </w:r>
          </w:p>
        </w:tc>
      </w:tr>
      <w:tr>
        <w:tc>
          <w:tcPr>
            <w:tcW w:type="dxa" w:w="4953"/>
          </w:tcPr>
          <w:p>
            <w:r/>
            <w:r>
              <w:rPr>
                <w:b/>
                <w:sz w:val="18"/>
              </w:rPr>
              <w:t>Test basis / objective</w:t>
            </w:r>
          </w:p>
        </w:tc>
        <w:tc>
          <w:tcPr>
            <w:tcW w:type="dxa" w:w="4953"/>
          </w:tcPr>
          <w:p>
            <w:r/>
            <w:r>
              <w:rPr>
                <w:sz w:val="18"/>
              </w:rPr>
              <w:t>COND-06 (3.2.1.3) + COND-05 (BR-01) — a message addressed to B must not be observed by C</w:t>
            </w:r>
          </w:p>
        </w:tc>
      </w:tr>
      <w:tr>
        <w:tc>
          <w:tcPr>
            <w:tcW w:type="dxa" w:w="4953"/>
          </w:tcPr>
          <w:p>
            <w:r/>
            <w:r>
              <w:rPr>
                <w:b/>
                <w:sz w:val="18"/>
              </w:rPr>
              <w:t>Preconditions</w:t>
            </w:r>
          </w:p>
        </w:tc>
        <w:tc>
          <w:tcPr>
            <w:tcW w:type="dxa" w:w="4953"/>
          </w:tcPr>
          <w:p>
            <w:r/>
            <w:r>
              <w:rPr>
                <w:sz w:val="18"/>
              </w:rPr>
              <w:t>Demo topology forked in-test (fr1-unicast.test.ts)</w:t>
            </w:r>
          </w:p>
        </w:tc>
      </w:tr>
      <w:tr>
        <w:tc>
          <w:tcPr>
            <w:tcW w:type="dxa" w:w="4953"/>
          </w:tcPr>
          <w:p>
            <w:r/>
            <w:r>
              <w:rPr>
                <w:b/>
                <w:sz w:val="18"/>
              </w:rPr>
              <w:t>Test data</w:t>
            </w:r>
          </w:p>
        </w:tc>
        <w:tc>
          <w:tcPr>
            <w:tcW w:type="dxa" w:w="4953"/>
          </w:tcPr>
          <w:p>
            <w:r/>
            <w:r>
              <w:rPr>
                <w:sz w:val="18"/>
              </w:rPr>
              <w:t>One message, agent-A → agent-B</w:t>
            </w:r>
          </w:p>
        </w:tc>
      </w:tr>
      <w:tr>
        <w:tc>
          <w:tcPr>
            <w:tcW w:type="dxa" w:w="4953"/>
          </w:tcPr>
          <w:p>
            <w:r/>
            <w:r>
              <w:rPr>
                <w:b/>
                <w:sz w:val="18"/>
              </w:rPr>
              <w:t>Steps</w:t>
            </w:r>
          </w:p>
        </w:tc>
        <w:tc>
          <w:tcPr>
            <w:tcW w:type="dxa" w:w="4953"/>
          </w:tcPr>
          <w:p>
            <w:r/>
            <w:r>
              <w:rPr>
                <w:sz w:val="18"/>
              </w:rPr>
              <w:t>POST /messages/unicast A→B; query the aggregated log; assert every MESSAGE_RECEIVED for this exchange is attributed to agent-B only</w:t>
            </w:r>
          </w:p>
        </w:tc>
      </w:tr>
      <w:tr>
        <w:tc>
          <w:tcPr>
            <w:tcW w:type="dxa" w:w="4953"/>
          </w:tcPr>
          <w:p>
            <w:r/>
            <w:r>
              <w:rPr>
                <w:b/>
                <w:sz w:val="18"/>
              </w:rPr>
              <w:t>Expected result</w:t>
            </w:r>
          </w:p>
        </w:tc>
        <w:tc>
          <w:tcPr>
            <w:tcW w:type="dxa" w:w="4953"/>
          </w:tcPr>
          <w:p>
            <w:r/>
            <w:r>
              <w:rPr>
                <w:sz w:val="18"/>
              </w:rPr>
              <w:t>No MESSAGE_RECEIVED event attributed to agent-C</w:t>
            </w:r>
          </w:p>
        </w:tc>
      </w:tr>
      <w:tr>
        <w:tc>
          <w:tcPr>
            <w:tcW w:type="dxa" w:w="4953"/>
          </w:tcPr>
          <w:p>
            <w:r/>
            <w:r>
              <w:rPr>
                <w:b/>
                <w:sz w:val="18"/>
              </w:rPr>
              <w:t>Actual result</w:t>
            </w:r>
          </w:p>
        </w:tc>
        <w:tc>
          <w:tcPr>
            <w:tcW w:type="dxa" w:w="4953"/>
          </w:tcPr>
          <w:p>
            <w:r/>
            <w:r>
              <w:rPr>
                <w:sz w:val="18"/>
              </w:rPr>
              <w:t>Matched — only agent-B logged as receiver</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fr1-unicast.test.ts &gt; TC-02 / COND-06 … &gt; only B receives — npm-test-output-verbose.txt</w:t>
            </w:r>
          </w:p>
        </w:tc>
      </w:tr>
    </w:tbl>
    <w:p/>
    <w:p>
      <w:r>
        <w:rPr>
          <w:b/>
          <w:i w:val="0"/>
          <w:sz w:val="21"/>
        </w:rPr>
        <w:t>TC-03 — Ordered delivery of a 50-message burst</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TC-03 — Ordered delivery of a 50-message burst</w:t>
            </w:r>
          </w:p>
        </w:tc>
      </w:tr>
      <w:tr>
        <w:tc>
          <w:tcPr>
            <w:tcW w:type="dxa" w:w="4953"/>
          </w:tcPr>
          <w:p>
            <w:r/>
            <w:r>
              <w:rPr>
                <w:b/>
                <w:sz w:val="18"/>
              </w:rPr>
              <w:t>Level / category</w:t>
            </w:r>
          </w:p>
        </w:tc>
        <w:tc>
          <w:tcPr>
            <w:tcW w:type="dxa" w:w="4953"/>
          </w:tcPr>
          <w:p>
            <w:r/>
            <w:r>
              <w:rPr>
                <w:sz w:val="18"/>
              </w:rPr>
              <w:t>Integration — automated, Boundary</w:t>
            </w:r>
          </w:p>
        </w:tc>
      </w:tr>
      <w:tr>
        <w:tc>
          <w:tcPr>
            <w:tcW w:type="dxa" w:w="4953"/>
          </w:tcPr>
          <w:p>
            <w:r/>
            <w:r>
              <w:rPr>
                <w:b/>
                <w:sz w:val="18"/>
              </w:rPr>
              <w:t>Test basis / objective</w:t>
            </w:r>
          </w:p>
        </w:tc>
        <w:tc>
          <w:tcPr>
            <w:tcW w:type="dxa" w:w="4953"/>
          </w:tcPr>
          <w:p>
            <w:r/>
            <w:r>
              <w:rPr>
                <w:sz w:val="18"/>
              </w:rPr>
              <w:t>COND-07 (3.2.1.4) + COND-08 (BR-03) — TCP-backed ordering holds under volume; no false SEQUENCE_ANOMALY</w:t>
            </w:r>
          </w:p>
        </w:tc>
      </w:tr>
      <w:tr>
        <w:tc>
          <w:tcPr>
            <w:tcW w:type="dxa" w:w="4953"/>
          </w:tcPr>
          <w:p>
            <w:r/>
            <w:r>
              <w:rPr>
                <w:b/>
                <w:sz w:val="18"/>
              </w:rPr>
              <w:t>Preconditions</w:t>
            </w:r>
          </w:p>
        </w:tc>
        <w:tc>
          <w:tcPr>
            <w:tcW w:type="dxa" w:w="4953"/>
          </w:tcPr>
          <w:p>
            <w:r/>
            <w:r>
              <w:rPr>
                <w:sz w:val="18"/>
              </w:rPr>
              <w:t>As TC-02</w:t>
            </w:r>
          </w:p>
        </w:tc>
      </w:tr>
      <w:tr>
        <w:tc>
          <w:tcPr>
            <w:tcW w:type="dxa" w:w="4953"/>
          </w:tcPr>
          <w:p>
            <w:r/>
            <w:r>
              <w:rPr>
                <w:b/>
                <w:sz w:val="18"/>
              </w:rPr>
              <w:t>Test data</w:t>
            </w:r>
          </w:p>
        </w:tc>
        <w:tc>
          <w:tcPr>
            <w:tcW w:type="dxa" w:w="4953"/>
          </w:tcPr>
          <w:p>
            <w:r/>
            <w:r>
              <w:rPr>
                <w:sz w:val="18"/>
              </w:rPr>
              <w:t>50 sequential messages, agent-A → agent-B</w:t>
            </w:r>
          </w:p>
        </w:tc>
      </w:tr>
      <w:tr>
        <w:tc>
          <w:tcPr>
            <w:tcW w:type="dxa" w:w="4953"/>
          </w:tcPr>
          <w:p>
            <w:r/>
            <w:r>
              <w:rPr>
                <w:b/>
                <w:sz w:val="18"/>
              </w:rPr>
              <w:t>Steps</w:t>
            </w:r>
          </w:p>
        </w:tc>
        <w:tc>
          <w:tcPr>
            <w:tcW w:type="dxa" w:w="4953"/>
          </w:tcPr>
          <w:p>
            <w:r/>
            <w:r>
              <w:rPr>
                <w:sz w:val="18"/>
              </w:rPr>
              <w:t>POST 50 messages in a loop; assert zero SEQUENCE_ANOMALY events; assert ≥50 MESSAGE_SENT from agent-A</w:t>
            </w:r>
          </w:p>
        </w:tc>
      </w:tr>
      <w:tr>
        <w:tc>
          <w:tcPr>
            <w:tcW w:type="dxa" w:w="4953"/>
          </w:tcPr>
          <w:p>
            <w:r/>
            <w:r>
              <w:rPr>
                <w:b/>
                <w:sz w:val="18"/>
              </w:rPr>
              <w:t>Expected result</w:t>
            </w:r>
          </w:p>
        </w:tc>
        <w:tc>
          <w:tcPr>
            <w:tcW w:type="dxa" w:w="4953"/>
          </w:tcPr>
          <w:p>
            <w:r/>
            <w:r>
              <w:rPr>
                <w:sz w:val="18"/>
              </w:rPr>
              <w:t>No anomaly raised; all 50 sent</w:t>
            </w:r>
          </w:p>
        </w:tc>
      </w:tr>
      <w:tr>
        <w:tc>
          <w:tcPr>
            <w:tcW w:type="dxa" w:w="4953"/>
          </w:tcPr>
          <w:p>
            <w:r/>
            <w:r>
              <w:rPr>
                <w:b/>
                <w:sz w:val="18"/>
              </w:rPr>
              <w:t>Actual result</w:t>
            </w:r>
          </w:p>
        </w:tc>
        <w:tc>
          <w:tcPr>
            <w:tcW w:type="dxa" w:w="4953"/>
          </w:tcPr>
          <w:p>
            <w:r/>
            <w:r>
              <w:rPr>
                <w:sz w:val="18"/>
              </w:rPr>
              <w:t>Matched</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fr1-unicast.test.ts &gt; TC-03 / COND-07 … &gt; ordered delivery — npm-test-output-verbose.txt</w:t>
            </w:r>
          </w:p>
        </w:tc>
      </w:tr>
    </w:tbl>
    <w:p/>
    <w:p>
      <w:r>
        <w:rPr>
          <w:b/>
          <w:i w:val="0"/>
          <w:sz w:val="21"/>
        </w:rPr>
        <w:t>TC-04 — Multicast join/leave, SRS Use Case 1</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TC-04 — Multicast join/leave, SRS Use Case 1</w:t>
            </w:r>
          </w:p>
        </w:tc>
      </w:tr>
      <w:tr>
        <w:tc>
          <w:tcPr>
            <w:tcW w:type="dxa" w:w="4953"/>
          </w:tcPr>
          <w:p>
            <w:r/>
            <w:r>
              <w:rPr>
                <w:b/>
                <w:sz w:val="18"/>
              </w:rPr>
              <w:t>Level / category</w:t>
            </w:r>
          </w:p>
        </w:tc>
        <w:tc>
          <w:tcPr>
            <w:tcW w:type="dxa" w:w="4953"/>
          </w:tcPr>
          <w:p>
            <w:r/>
            <w:r>
              <w:rPr>
                <w:sz w:val="18"/>
              </w:rPr>
              <w:t>System — manual, Normal</w:t>
            </w:r>
          </w:p>
        </w:tc>
      </w:tr>
      <w:tr>
        <w:tc>
          <w:tcPr>
            <w:tcW w:type="dxa" w:w="4953"/>
          </w:tcPr>
          <w:p>
            <w:r/>
            <w:r>
              <w:rPr>
                <w:b/>
                <w:sz w:val="18"/>
              </w:rPr>
              <w:t>Test basis / objective</w:t>
            </w:r>
          </w:p>
        </w:tc>
        <w:tc>
          <w:tcPr>
            <w:tcW w:type="dxa" w:w="4953"/>
          </w:tcPr>
          <w:p>
            <w:r/>
            <w:r>
              <w:rPr>
                <w:sz w:val="18"/>
              </w:rPr>
              <w:t>COND-17 (SRS UC1) + COND-11 (3.2.2.3) — join transitions membership and unlocks delivery; leave revokes it</w:t>
            </w:r>
          </w:p>
        </w:tc>
      </w:tr>
      <w:tr>
        <w:tc>
          <w:tcPr>
            <w:tcW w:type="dxa" w:w="4953"/>
          </w:tcPr>
          <w:p>
            <w:r/>
            <w:r>
              <w:rPr>
                <w:b/>
                <w:sz w:val="18"/>
              </w:rPr>
              <w:t>Preconditions</w:t>
            </w:r>
          </w:p>
        </w:tc>
        <w:tc>
          <w:tcPr>
            <w:tcW w:type="dxa" w:w="4953"/>
          </w:tcPr>
          <w:p>
            <w:r/>
            <w:r>
              <w:rPr>
                <w:sz w:val="18"/>
              </w:rPr>
              <w:t>agent-A starts NOT_MEMBER of group α (239.1.1.5)</w:t>
            </w:r>
          </w:p>
        </w:tc>
      </w:tr>
      <w:tr>
        <w:tc>
          <w:tcPr>
            <w:tcW w:type="dxa" w:w="4953"/>
          </w:tcPr>
          <w:p>
            <w:r/>
            <w:r>
              <w:rPr>
                <w:b/>
                <w:sz w:val="18"/>
              </w:rPr>
              <w:t>Test data</w:t>
            </w:r>
          </w:p>
        </w:tc>
        <w:tc>
          <w:tcPr>
            <w:tcW w:type="dxa" w:w="4953"/>
          </w:tcPr>
          <w:p>
            <w:r/>
            <w:r>
              <w:rPr>
                <w:sz w:val="18"/>
              </w:rPr>
              <w:t>Group α, sender agent-C</w:t>
            </w:r>
          </w:p>
        </w:tc>
      </w:tr>
      <w:tr>
        <w:tc>
          <w:tcPr>
            <w:tcW w:type="dxa" w:w="4953"/>
          </w:tcPr>
          <w:p>
            <w:r/>
            <w:r>
              <w:rPr>
                <w:b/>
                <w:sz w:val="18"/>
              </w:rPr>
              <w:t>Steps</w:t>
            </w:r>
          </w:p>
        </w:tc>
        <w:tc>
          <w:tcPr>
            <w:tcW w:type="dxa" w:w="4953"/>
          </w:tcPr>
          <w:p>
            <w:r/>
            <w:r>
              <w:rPr>
                <w:sz w:val="18"/>
              </w:rPr>
              <w:t>(1) confirm agent-A is NOT_MEMBER; (2) join agent-A; (3) send a multicast from agent-C; (4) confirm agent-A receives it; (5) leave agent-A; (6) send again from agent-C; (7) confirm agent-A does not receive it</w:t>
            </w:r>
          </w:p>
        </w:tc>
      </w:tr>
      <w:tr>
        <w:tc>
          <w:tcPr>
            <w:tcW w:type="dxa" w:w="4953"/>
          </w:tcPr>
          <w:p>
            <w:r/>
            <w:r>
              <w:rPr>
                <w:b/>
                <w:sz w:val="18"/>
              </w:rPr>
              <w:t>Expected result</w:t>
            </w:r>
          </w:p>
        </w:tc>
        <w:tc>
          <w:tcPr>
            <w:tcW w:type="dxa" w:w="4953"/>
          </w:tcPr>
          <w:p>
            <w:r/>
            <w:r>
              <w:rPr>
                <w:sz w:val="18"/>
              </w:rPr>
              <w:t>agent-A receives only while a member (3.2.2.5, 3.2.2.6)</w:t>
            </w:r>
          </w:p>
        </w:tc>
      </w:tr>
      <w:tr>
        <w:tc>
          <w:tcPr>
            <w:tcW w:type="dxa" w:w="4953"/>
          </w:tcPr>
          <w:p>
            <w:r/>
            <w:r>
              <w:rPr>
                <w:b/>
                <w:sz w:val="18"/>
              </w:rPr>
              <w:t>Actual result</w:t>
            </w:r>
          </w:p>
        </w:tc>
        <w:tc>
          <w:tcPr>
            <w:tcW w:type="dxa" w:w="4953"/>
          </w:tcPr>
          <w:p>
            <w:r/>
            <w:r>
              <w:rPr>
                <w:sz w:val="18"/>
              </w:rPr>
              <w:t>After join — envelope 4c3289fb… received by A, B, C, D. After leave — envelope 9327f9fa… received by B, C, D only, agent-A absent</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TC-04-multicast-joined.png, TC-04-multicast-received-after-join.png, TC-04-multicast-not-received-after-leave.png</w:t>
            </w:r>
          </w:p>
        </w:tc>
      </w:tr>
    </w:tbl>
    <w:p/>
    <w:p>
      <w:r>
        <w:rPr>
          <w:b/>
          <w:i w:val="0"/>
          <w:sz w:val="21"/>
        </w:rPr>
        <w:t>TC-05 — Leave/inject race (BR-06 boundary)</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TC-05 — Leave/inject race (BR-06 boundary)</w:t>
            </w:r>
          </w:p>
        </w:tc>
      </w:tr>
      <w:tr>
        <w:tc>
          <w:tcPr>
            <w:tcW w:type="dxa" w:w="4953"/>
          </w:tcPr>
          <w:p>
            <w:r/>
            <w:r>
              <w:rPr>
                <w:b/>
                <w:sz w:val="18"/>
              </w:rPr>
              <w:t>Level / category</w:t>
            </w:r>
          </w:p>
        </w:tc>
        <w:tc>
          <w:tcPr>
            <w:tcW w:type="dxa" w:w="4953"/>
          </w:tcPr>
          <w:p>
            <w:r/>
            <w:r>
              <w:rPr>
                <w:sz w:val="18"/>
              </w:rPr>
              <w:t>Integration — automated, Boundary</w:t>
            </w:r>
          </w:p>
        </w:tc>
      </w:tr>
      <w:tr>
        <w:tc>
          <w:tcPr>
            <w:tcW w:type="dxa" w:w="4953"/>
          </w:tcPr>
          <w:p>
            <w:r/>
            <w:r>
              <w:rPr>
                <w:b/>
                <w:sz w:val="18"/>
              </w:rPr>
              <w:t>Test basis / objective</w:t>
            </w:r>
          </w:p>
        </w:tc>
        <w:tc>
          <w:tcPr>
            <w:tcW w:type="dxa" w:w="4953"/>
          </w:tcPr>
          <w:p>
            <w:r/>
            <w:r>
              <w:rPr>
                <w:sz w:val="18"/>
              </w:rPr>
              <w:t>COND-18 (BR-06) + COND-13 — a datagram inbound in the same event-loop tick as leave() must be dropped, because the membership set is cleared synchronously before the OS dropMembership call</w:t>
            </w:r>
          </w:p>
        </w:tc>
      </w:tr>
      <w:tr>
        <w:tc>
          <w:tcPr>
            <w:tcW w:type="dxa" w:w="4953"/>
          </w:tcPr>
          <w:p>
            <w:r/>
            <w:r>
              <w:rPr>
                <w:b/>
                <w:sz w:val="18"/>
              </w:rPr>
              <w:t>Preconditions</w:t>
            </w:r>
          </w:p>
        </w:tc>
        <w:tc>
          <w:tcPr>
            <w:tcW w:type="dxa" w:w="4953"/>
          </w:tcPr>
          <w:p>
            <w:r/>
            <w:r>
              <w:rPr>
                <w:sz w:val="18"/>
              </w:rPr>
              <w:t>agent-B is a member of α</w:t>
            </w:r>
          </w:p>
        </w:tc>
      </w:tr>
      <w:tr>
        <w:tc>
          <w:tcPr>
            <w:tcW w:type="dxa" w:w="4953"/>
          </w:tcPr>
          <w:p>
            <w:r/>
            <w:r>
              <w:rPr>
                <w:b/>
                <w:sz w:val="18"/>
              </w:rPr>
              <w:t>Test data</w:t>
            </w:r>
          </w:p>
        </w:tc>
        <w:tc>
          <w:tcPr>
            <w:tcW w:type="dxa" w:w="4953"/>
          </w:tcPr>
          <w:p>
            <w:r/>
            <w:r>
              <w:rPr>
                <w:sz w:val="18"/>
              </w:rPr>
              <w:t>agent-B leaves α while agent-C injects a multicast in the same tick</w:t>
            </w:r>
          </w:p>
        </w:tc>
      </w:tr>
      <w:tr>
        <w:tc>
          <w:tcPr>
            <w:tcW w:type="dxa" w:w="4953"/>
          </w:tcPr>
          <w:p>
            <w:r/>
            <w:r>
              <w:rPr>
                <w:b/>
                <w:sz w:val="18"/>
              </w:rPr>
              <w:t>Steps</w:t>
            </w:r>
          </w:p>
        </w:tc>
        <w:tc>
          <w:tcPr>
            <w:tcW w:type="dxa" w:w="4953"/>
          </w:tcPr>
          <w:p>
            <w:r/>
            <w:r>
              <w:rPr>
                <w:sz w:val="18"/>
              </w:rPr>
              <w:t>POST /groups/239.1.1.5/leave-then-inject with agentId=agent-B, injectFrom=agent-C; inspect the log for MESSAGE_RECEIVED attributed to agent-B</w:t>
            </w:r>
          </w:p>
        </w:tc>
      </w:tr>
      <w:tr>
        <w:tc>
          <w:tcPr>
            <w:tcW w:type="dxa" w:w="4953"/>
          </w:tcPr>
          <w:p>
            <w:r/>
            <w:r>
              <w:rPr>
                <w:b/>
                <w:sz w:val="18"/>
              </w:rPr>
              <w:t>Expected result</w:t>
            </w:r>
          </w:p>
        </w:tc>
        <w:tc>
          <w:tcPr>
            <w:tcW w:type="dxa" w:w="4953"/>
          </w:tcPr>
          <w:p>
            <w:r/>
            <w:r>
              <w:rPr>
                <w:sz w:val="18"/>
              </w:rPr>
              <w:t>Zero MESSAGE_RECEIVED for agent-B on that envelope</w:t>
            </w:r>
          </w:p>
        </w:tc>
      </w:tr>
      <w:tr>
        <w:tc>
          <w:tcPr>
            <w:tcW w:type="dxa" w:w="4953"/>
          </w:tcPr>
          <w:p>
            <w:r/>
            <w:r>
              <w:rPr>
                <w:b/>
                <w:sz w:val="18"/>
              </w:rPr>
              <w:t>Actual result</w:t>
            </w:r>
          </w:p>
        </w:tc>
        <w:tc>
          <w:tcPr>
            <w:tcW w:type="dxa" w:w="4953"/>
          </w:tcPr>
          <w:p>
            <w:r/>
            <w:r>
              <w:rPr>
                <w:sz w:val="18"/>
              </w:rPr>
              <w:t>Matched — zero</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fr2-6-7.test.ts &gt; TC-05 / COND-18 … &gt; leave-then-inject drops the in-flight datagram — npm-test-output-verbose.txt</w:t>
            </w:r>
          </w:p>
        </w:tc>
      </w:tr>
    </w:tbl>
    <w:p/>
    <w:p>
      <w:r>
        <w:rPr>
          <w:b/>
          <w:i w:val="0"/>
          <w:sz w:val="21"/>
        </w:rPr>
        <w:t>TC-06 — Multi-group attribution</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TC-06 — Multi-group attribution</w:t>
            </w:r>
          </w:p>
        </w:tc>
      </w:tr>
      <w:tr>
        <w:tc>
          <w:tcPr>
            <w:tcW w:type="dxa" w:w="4953"/>
          </w:tcPr>
          <w:p>
            <w:r/>
            <w:r>
              <w:rPr>
                <w:b/>
                <w:sz w:val="18"/>
              </w:rPr>
              <w:t>Level / category</w:t>
            </w:r>
          </w:p>
        </w:tc>
        <w:tc>
          <w:tcPr>
            <w:tcW w:type="dxa" w:w="4953"/>
          </w:tcPr>
          <w:p>
            <w:r/>
            <w:r>
              <w:rPr>
                <w:sz w:val="18"/>
              </w:rPr>
              <w:t>Integration — automated, Normal</w:t>
            </w:r>
          </w:p>
        </w:tc>
      </w:tr>
      <w:tr>
        <w:tc>
          <w:tcPr>
            <w:tcW w:type="dxa" w:w="4953"/>
          </w:tcPr>
          <w:p>
            <w:r/>
            <w:r>
              <w:rPr>
                <w:b/>
                <w:sz w:val="18"/>
              </w:rPr>
              <w:t>Test basis / objective</w:t>
            </w:r>
          </w:p>
        </w:tc>
        <w:tc>
          <w:tcPr>
            <w:tcW w:type="dxa" w:w="4953"/>
          </w:tcPr>
          <w:p>
            <w:r/>
            <w:r>
              <w:rPr>
                <w:sz w:val="18"/>
              </w:rPr>
              <w:t>COND-16 (3.2.2.9 / BR-07) — an agent in two groups attributes each datagram to the correct group</w:t>
            </w:r>
          </w:p>
        </w:tc>
      </w:tr>
      <w:tr>
        <w:tc>
          <w:tcPr>
            <w:tcW w:type="dxa" w:w="4953"/>
          </w:tcPr>
          <w:p>
            <w:r/>
            <w:r>
              <w:rPr>
                <w:b/>
                <w:sz w:val="18"/>
              </w:rPr>
              <w:t>Preconditions</w:t>
            </w:r>
          </w:p>
        </w:tc>
        <w:tc>
          <w:tcPr>
            <w:tcW w:type="dxa" w:w="4953"/>
          </w:tcPr>
          <w:p>
            <w:r/>
            <w:r>
              <w:rPr>
                <w:sz w:val="18"/>
              </w:rPr>
              <w:t>agent-C joined to both α and β</w:t>
            </w:r>
          </w:p>
        </w:tc>
      </w:tr>
      <w:tr>
        <w:tc>
          <w:tcPr>
            <w:tcW w:type="dxa" w:w="4953"/>
          </w:tcPr>
          <w:p>
            <w:r/>
            <w:r>
              <w:rPr>
                <w:b/>
                <w:sz w:val="18"/>
              </w:rPr>
              <w:t>Test data</w:t>
            </w:r>
          </w:p>
        </w:tc>
        <w:tc>
          <w:tcPr>
            <w:tcW w:type="dxa" w:w="4953"/>
          </w:tcPr>
          <w:p>
            <w:r/>
            <w:r>
              <w:rPr>
                <w:sz w:val="18"/>
              </w:rPr>
              <w:t>One send to α, one to β</w:t>
            </w:r>
          </w:p>
        </w:tc>
      </w:tr>
      <w:tr>
        <w:tc>
          <w:tcPr>
            <w:tcW w:type="dxa" w:w="4953"/>
          </w:tcPr>
          <w:p>
            <w:r/>
            <w:r>
              <w:rPr>
                <w:b/>
                <w:sz w:val="18"/>
              </w:rPr>
              <w:t>Steps</w:t>
            </w:r>
          </w:p>
        </w:tc>
        <w:tc>
          <w:tcPr>
            <w:tcW w:type="dxa" w:w="4953"/>
          </w:tcPr>
          <w:p>
            <w:r/>
            <w:r>
              <w:rPr>
                <w:sz w:val="18"/>
              </w:rPr>
              <w:t>Send a multicast to α, then to β; inspect agent-C's received-events groupAddress field for each</w:t>
            </w:r>
          </w:p>
        </w:tc>
      </w:tr>
      <w:tr>
        <w:tc>
          <w:tcPr>
            <w:tcW w:type="dxa" w:w="4953"/>
          </w:tcPr>
          <w:p>
            <w:r/>
            <w:r>
              <w:rPr>
                <w:b/>
                <w:sz w:val="18"/>
              </w:rPr>
              <w:t>Expected result</w:t>
            </w:r>
          </w:p>
        </w:tc>
        <w:tc>
          <w:tcPr>
            <w:tcW w:type="dxa" w:w="4953"/>
          </w:tcPr>
          <w:p>
            <w:r/>
            <w:r>
              <w:rPr>
                <w:sz w:val="18"/>
              </w:rPr>
              <w:t>α-send attributed to 239.1.1.5, β-send to 239.1.1.6, no cross-attribution</w:t>
            </w:r>
          </w:p>
        </w:tc>
      </w:tr>
      <w:tr>
        <w:tc>
          <w:tcPr>
            <w:tcW w:type="dxa" w:w="4953"/>
          </w:tcPr>
          <w:p>
            <w:r/>
            <w:r>
              <w:rPr>
                <w:b/>
                <w:sz w:val="18"/>
              </w:rPr>
              <w:t>Actual result</w:t>
            </w:r>
          </w:p>
        </w:tc>
        <w:tc>
          <w:tcPr>
            <w:tcW w:type="dxa" w:w="4953"/>
          </w:tcPr>
          <w:p>
            <w:r/>
            <w:r>
              <w:rPr>
                <w:sz w:val="18"/>
              </w:rPr>
              <w:t>Matched</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fr2-fr3-delivery.test.ts &gt; COND-26 / TC-06 area … — npm-test-output-verbose.txt</w:t>
            </w:r>
          </w:p>
        </w:tc>
      </w:tr>
    </w:tbl>
    <w:p/>
    <w:p>
      <w:r>
        <w:rPr>
          <w:b/>
          <w:i w:val="0"/>
          <w:sz w:val="21"/>
        </w:rPr>
        <w:t>TC-07 — TTL expiry boundary</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TC-07 — TTL expiry boundary</w:t>
            </w:r>
          </w:p>
        </w:tc>
      </w:tr>
      <w:tr>
        <w:tc>
          <w:tcPr>
            <w:tcW w:type="dxa" w:w="4953"/>
          </w:tcPr>
          <w:p>
            <w:r/>
            <w:r>
              <w:rPr>
                <w:b/>
                <w:sz w:val="18"/>
              </w:rPr>
              <w:t>Level / category</w:t>
            </w:r>
          </w:p>
        </w:tc>
        <w:tc>
          <w:tcPr>
            <w:tcW w:type="dxa" w:w="4953"/>
          </w:tcPr>
          <w:p>
            <w:r/>
            <w:r>
              <w:rPr>
                <w:sz w:val="18"/>
              </w:rPr>
              <w:t>Integration — automated, Boundary</w:t>
            </w:r>
          </w:p>
        </w:tc>
      </w:tr>
      <w:tr>
        <w:tc>
          <w:tcPr>
            <w:tcW w:type="dxa" w:w="4953"/>
          </w:tcPr>
          <w:p>
            <w:r/>
            <w:r>
              <w:rPr>
                <w:b/>
                <w:sz w:val="18"/>
              </w:rPr>
              <w:t>Test basis / objective</w:t>
            </w:r>
          </w:p>
        </w:tc>
        <w:tc>
          <w:tcPr>
            <w:tcW w:type="dxa" w:w="4953"/>
          </w:tcPr>
          <w:p>
            <w:r/>
            <w:r>
              <w:rPr>
                <w:sz w:val="18"/>
              </w:rPr>
              <w:t>COND-19 (BR-09, exact boundary ttl=1 vs ttl=0) + COND-21 — an expired-TTL envelope is dropped at the application layer</w:t>
            </w:r>
          </w:p>
        </w:tc>
      </w:tr>
      <w:tr>
        <w:tc>
          <w:tcPr>
            <w:tcW w:type="dxa" w:w="4953"/>
          </w:tcPr>
          <w:p>
            <w:r/>
            <w:r>
              <w:rPr>
                <w:b/>
                <w:sz w:val="18"/>
              </w:rPr>
              <w:t>Preconditions</w:t>
            </w:r>
          </w:p>
        </w:tc>
        <w:tc>
          <w:tcPr>
            <w:tcW w:type="dxa" w:w="4953"/>
          </w:tcPr>
          <w:p>
            <w:r/>
            <w:r>
              <w:rPr>
                <w:sz w:val="18"/>
              </w:rPr>
              <w:t>None beyond demo topology</w:t>
            </w:r>
          </w:p>
        </w:tc>
      </w:tr>
      <w:tr>
        <w:tc>
          <w:tcPr>
            <w:tcW w:type="dxa" w:w="4953"/>
          </w:tcPr>
          <w:p>
            <w:r/>
            <w:r>
              <w:rPr>
                <w:b/>
                <w:sz w:val="18"/>
              </w:rPr>
              <w:t>Test data</w:t>
            </w:r>
          </w:p>
        </w:tc>
        <w:tc>
          <w:tcPr>
            <w:tcW w:type="dxa" w:w="4953"/>
          </w:tcPr>
          <w:p>
            <w:r/>
            <w:r>
              <w:rPr>
                <w:sz w:val="18"/>
              </w:rPr>
              <w:t>Multicast with ttl=0</w:t>
            </w:r>
          </w:p>
        </w:tc>
      </w:tr>
      <w:tr>
        <w:tc>
          <w:tcPr>
            <w:tcW w:type="dxa" w:w="4953"/>
          </w:tcPr>
          <w:p>
            <w:r/>
            <w:r>
              <w:rPr>
                <w:b/>
                <w:sz w:val="18"/>
              </w:rPr>
              <w:t>Steps</w:t>
            </w:r>
          </w:p>
        </w:tc>
        <w:tc>
          <w:tcPr>
            <w:tcW w:type="dxa" w:w="4953"/>
          </w:tcPr>
          <w:p>
            <w:r/>
            <w:r>
              <w:rPr>
                <w:sz w:val="18"/>
              </w:rPr>
              <w:t>POST a multicast with ttl=0; inspect the log for MESSAGE_DROPPED_TTL_EXPIRED</w:t>
            </w:r>
          </w:p>
        </w:tc>
      </w:tr>
      <w:tr>
        <w:tc>
          <w:tcPr>
            <w:tcW w:type="dxa" w:w="4953"/>
          </w:tcPr>
          <w:p>
            <w:r/>
            <w:r>
              <w:rPr>
                <w:b/>
                <w:sz w:val="18"/>
              </w:rPr>
              <w:t>Expected result</w:t>
            </w:r>
          </w:p>
        </w:tc>
        <w:tc>
          <w:tcPr>
            <w:tcW w:type="dxa" w:w="4953"/>
          </w:tcPr>
          <w:p>
            <w:r/>
            <w:r>
              <w:rPr>
                <w:sz w:val="18"/>
              </w:rPr>
              <w:t>Envelope dropped, event raised, no MESSAGE_RECEIVED for it</w:t>
            </w:r>
          </w:p>
        </w:tc>
      </w:tr>
      <w:tr>
        <w:tc>
          <w:tcPr>
            <w:tcW w:type="dxa" w:w="4953"/>
          </w:tcPr>
          <w:p>
            <w:r/>
            <w:r>
              <w:rPr>
                <w:b/>
                <w:sz w:val="18"/>
              </w:rPr>
              <w:t>Actual result</w:t>
            </w:r>
          </w:p>
        </w:tc>
        <w:tc>
          <w:tcPr>
            <w:tcW w:type="dxa" w:w="4953"/>
          </w:tcPr>
          <w:p>
            <w:r/>
            <w:r>
              <w:rPr>
                <w:sz w:val="18"/>
              </w:rPr>
              <w:t>Matched</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fr3-ttl.test.ts &gt; TC-07 / COND-21 … &gt; ttl=0 at the application layer is dropped — npm-test-output-verbose.txt</w:t>
            </w:r>
          </w:p>
        </w:tc>
      </w:tr>
    </w:tbl>
    <w:p/>
    <w:p>
      <w:r>
        <w:rPr>
          <w:b/>
          <w:i w:val="0"/>
          <w:sz w:val="21"/>
        </w:rPr>
        <w:t>TC-08 — OS-level TTL confinement (SRS §1.3) — deliberately expected FAILED</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TC-08 — OS-level TTL confinement (SRS §1.3) — deliberately expected FAILED</w:t>
            </w:r>
          </w:p>
        </w:tc>
      </w:tr>
      <w:tr>
        <w:tc>
          <w:tcPr>
            <w:tcW w:type="dxa" w:w="4953"/>
          </w:tcPr>
          <w:p>
            <w:r/>
            <w:r>
              <w:rPr>
                <w:b/>
                <w:sz w:val="18"/>
              </w:rPr>
              <w:t>Level / category</w:t>
            </w:r>
          </w:p>
        </w:tc>
        <w:tc>
          <w:tcPr>
            <w:tcW w:type="dxa" w:w="4953"/>
          </w:tcPr>
          <w:p>
            <w:r/>
            <w:r>
              <w:rPr>
                <w:sz w:val="18"/>
              </w:rPr>
              <w:t>Integration — automated, Normal</w:t>
            </w:r>
          </w:p>
        </w:tc>
      </w:tr>
      <w:tr>
        <w:tc>
          <w:tcPr>
            <w:tcW w:type="dxa" w:w="4953"/>
          </w:tcPr>
          <w:p>
            <w:r/>
            <w:r>
              <w:rPr>
                <w:b/>
                <w:sz w:val="18"/>
              </w:rPr>
              <w:t>Test basis / objective</w:t>
            </w:r>
          </w:p>
        </w:tc>
        <w:tc>
          <w:tcPr>
            <w:tcW w:type="dxa" w:w="4953"/>
          </w:tcPr>
          <w:p>
            <w:r/>
            <w:r>
              <w:rPr>
                <w:sz w:val="18"/>
              </w:rPr>
              <w:t>COND-22 — SRS §1.3 defines TTL as router hops; setMulticastTTL(0) should confine a datagram to the originating host</w:t>
            </w:r>
          </w:p>
        </w:tc>
      </w:tr>
      <w:tr>
        <w:tc>
          <w:tcPr>
            <w:tcW w:type="dxa" w:w="4953"/>
          </w:tcPr>
          <w:p>
            <w:r/>
            <w:r>
              <w:rPr>
                <w:b/>
                <w:sz w:val="18"/>
              </w:rPr>
              <w:t>Preconditions</w:t>
            </w:r>
          </w:p>
        </w:tc>
        <w:tc>
          <w:tcPr>
            <w:tcW w:type="dxa" w:w="4953"/>
          </w:tcPr>
          <w:p>
            <w:r/>
            <w:r>
              <w:rPr>
                <w:sz w:val="18"/>
              </w:rPr>
              <w:t>Single-host test bed (no router in the path)</w:t>
            </w:r>
          </w:p>
        </w:tc>
      </w:tr>
      <w:tr>
        <w:tc>
          <w:tcPr>
            <w:tcW w:type="dxa" w:w="4953"/>
          </w:tcPr>
          <w:p>
            <w:r/>
            <w:r>
              <w:rPr>
                <w:b/>
                <w:sz w:val="18"/>
              </w:rPr>
              <w:t>Test data</w:t>
            </w:r>
          </w:p>
        </w:tc>
        <w:tc>
          <w:tcPr>
            <w:tcW w:type="dxa" w:w="4953"/>
          </w:tcPr>
          <w:p>
            <w:r/>
            <w:r>
              <w:rPr>
                <w:sz w:val="18"/>
              </w:rPr>
              <w:t>Multicast with a positive envelope TTL (so only the level-1 OS TTL could confine it)</w:t>
            </w:r>
          </w:p>
        </w:tc>
      </w:tr>
      <w:tr>
        <w:tc>
          <w:tcPr>
            <w:tcW w:type="dxa" w:w="4953"/>
          </w:tcPr>
          <w:p>
            <w:r/>
            <w:r>
              <w:rPr>
                <w:b/>
                <w:sz w:val="18"/>
              </w:rPr>
              <w:t>Steps</w:t>
            </w:r>
          </w:p>
        </w:tc>
        <w:tc>
          <w:tcPr>
            <w:tcW w:type="dxa" w:w="4953"/>
          </w:tcPr>
          <w:p>
            <w:r/>
            <w:r>
              <w:rPr>
                <w:sz w:val="18"/>
              </w:rPr>
              <w:t>Send a group-α multicast; record which co-located agents receive it</w:t>
            </w:r>
          </w:p>
        </w:tc>
      </w:tr>
      <w:tr>
        <w:tc>
          <w:tcPr>
            <w:tcW w:type="dxa" w:w="4953"/>
          </w:tcPr>
          <w:p>
            <w:r/>
            <w:r>
              <w:rPr>
                <w:b/>
                <w:sz w:val="18"/>
              </w:rPr>
              <w:t>Expected result</w:t>
            </w:r>
          </w:p>
        </w:tc>
        <w:tc>
          <w:tcPr>
            <w:tcW w:type="dxa" w:w="4953"/>
          </w:tcPr>
          <w:p>
            <w:r/>
            <w:r>
              <w:rPr>
                <w:sz w:val="18"/>
              </w:rPr>
              <w:t>(Per SRS §1.3) the datagram does not leave the originating host</w:t>
            </w:r>
          </w:p>
        </w:tc>
      </w:tr>
      <w:tr>
        <w:tc>
          <w:tcPr>
            <w:tcW w:type="dxa" w:w="4953"/>
          </w:tcPr>
          <w:p>
            <w:r/>
            <w:r>
              <w:rPr>
                <w:b/>
                <w:sz w:val="18"/>
              </w:rPr>
              <w:t>Actual result</w:t>
            </w:r>
          </w:p>
        </w:tc>
        <w:tc>
          <w:tcPr>
            <w:tcW w:type="dxa" w:w="4953"/>
          </w:tcPr>
          <w:p>
            <w:r/>
            <w:r>
              <w:rPr>
                <w:sz w:val="18"/>
              </w:rPr>
              <w:t>agent-C, agent-B, and agent-D all received it — same-host delivery traverses no router, so hop-count confinement has nothing to act on</w:t>
            </w:r>
          </w:p>
        </w:tc>
      </w:tr>
      <w:tr>
        <w:tc>
          <w:tcPr>
            <w:tcW w:type="dxa" w:w="4953"/>
          </w:tcPr>
          <w:p>
            <w:r/>
            <w:r>
              <w:rPr>
                <w:b/>
                <w:sz w:val="18"/>
              </w:rPr>
              <w:t>Status</w:t>
            </w:r>
          </w:p>
        </w:tc>
        <w:tc>
          <w:tcPr>
            <w:tcW w:type="dxa" w:w="4953"/>
          </w:tcPr>
          <w:p>
            <w:r/>
            <w:r>
              <w:rPr>
                <w:sz w:val="18"/>
              </w:rPr>
              <w:t>FAILED (against the SRS expectation — see Part 4 §5.1 for the Vitest-green-vs-SRS-FAILED distinction)</w:t>
            </w:r>
          </w:p>
        </w:tc>
      </w:tr>
      <w:tr>
        <w:tc>
          <w:tcPr>
            <w:tcW w:type="dxa" w:w="4953"/>
          </w:tcPr>
          <w:p>
            <w:r/>
            <w:r>
              <w:rPr>
                <w:b/>
                <w:sz w:val="18"/>
              </w:rPr>
              <w:t>Evidence</w:t>
            </w:r>
          </w:p>
        </w:tc>
        <w:tc>
          <w:tcPr>
            <w:tcW w:type="dxa" w:w="4953"/>
          </w:tcPr>
          <w:p>
            <w:r/>
            <w:r>
              <w:rPr>
                <w:sz w:val="18"/>
              </w:rPr>
              <w:t>fr3-ttl.test.ts &gt; TC-08 / COND-22 … console line: '[TC-08] co-located receivers observed … agent-C, agent-B, agent-D' — npm-test-output-verbose.txt</w:t>
            </w:r>
          </w:p>
        </w:tc>
      </w:tr>
    </w:tbl>
    <w:p/>
    <w:p>
      <w:r>
        <w:rPr>
          <w:b/>
          <w:i w:val="0"/>
          <w:sz w:val="21"/>
        </w:rPr>
        <w:t>TC-09 — Multicast address range validation</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TC-09 — Multicast address range validation</w:t>
            </w:r>
          </w:p>
        </w:tc>
      </w:tr>
      <w:tr>
        <w:tc>
          <w:tcPr>
            <w:tcW w:type="dxa" w:w="4953"/>
          </w:tcPr>
          <w:p>
            <w:r/>
            <w:r>
              <w:rPr>
                <w:b/>
                <w:sz w:val="18"/>
              </w:rPr>
              <w:t>Level / category</w:t>
            </w:r>
          </w:p>
        </w:tc>
        <w:tc>
          <w:tcPr>
            <w:tcW w:type="dxa" w:w="4953"/>
          </w:tcPr>
          <w:p>
            <w:r/>
            <w:r>
              <w:rPr>
                <w:sz w:val="18"/>
              </w:rPr>
              <w:t>Integration — automated, Invalid/error</w:t>
            </w:r>
          </w:p>
        </w:tc>
      </w:tr>
      <w:tr>
        <w:tc>
          <w:tcPr>
            <w:tcW w:type="dxa" w:w="4953"/>
          </w:tcPr>
          <w:p>
            <w:r/>
            <w:r>
              <w:rPr>
                <w:b/>
                <w:sz w:val="18"/>
              </w:rPr>
              <w:t>Test basis / objective</w:t>
            </w:r>
          </w:p>
        </w:tc>
        <w:tc>
          <w:tcPr>
            <w:tcW w:type="dxa" w:w="4953"/>
          </w:tcPr>
          <w:p>
            <w:r/>
            <w:r>
              <w:rPr>
                <w:sz w:val="18"/>
              </w:rPr>
              <w:t>COND-24 (BR-10) — a destination outside 224.0.0.0/4 is rejected at send time</w:t>
            </w:r>
          </w:p>
        </w:tc>
      </w:tr>
      <w:tr>
        <w:tc>
          <w:tcPr>
            <w:tcW w:type="dxa" w:w="4953"/>
          </w:tcPr>
          <w:p>
            <w:r/>
            <w:r>
              <w:rPr>
                <w:b/>
                <w:sz w:val="18"/>
              </w:rPr>
              <w:t>Preconditions</w:t>
            </w:r>
          </w:p>
        </w:tc>
        <w:tc>
          <w:tcPr>
            <w:tcW w:type="dxa" w:w="4953"/>
          </w:tcPr>
          <w:p>
            <w:r/>
            <w:r>
              <w:rPr>
                <w:sz w:val="18"/>
              </w:rPr>
              <w:t>None</w:t>
            </w:r>
          </w:p>
        </w:tc>
      </w:tr>
      <w:tr>
        <w:tc>
          <w:tcPr>
            <w:tcW w:type="dxa" w:w="4953"/>
          </w:tcPr>
          <w:p>
            <w:r/>
            <w:r>
              <w:rPr>
                <w:b/>
                <w:sz w:val="18"/>
              </w:rPr>
              <w:t>Test data</w:t>
            </w:r>
          </w:p>
        </w:tc>
        <w:tc>
          <w:tcPr>
            <w:tcW w:type="dxa" w:w="4953"/>
          </w:tcPr>
          <w:p>
            <w:r/>
            <w:r>
              <w:rPr>
                <w:sz w:val="18"/>
              </w:rPr>
              <w:t>groupAddress 10.0.0.1</w:t>
            </w:r>
          </w:p>
        </w:tc>
      </w:tr>
      <w:tr>
        <w:tc>
          <w:tcPr>
            <w:tcW w:type="dxa" w:w="4953"/>
          </w:tcPr>
          <w:p>
            <w:r/>
            <w:r>
              <w:rPr>
                <w:b/>
                <w:sz w:val="18"/>
              </w:rPr>
              <w:t>Steps</w:t>
            </w:r>
          </w:p>
        </w:tc>
        <w:tc>
          <w:tcPr>
            <w:tcW w:type="dxa" w:w="4953"/>
          </w:tcPr>
          <w:p>
            <w:r/>
            <w:r>
              <w:rPr>
                <w:sz w:val="18"/>
              </w:rPr>
              <w:t>POST /messages/multicast with groupAddress=10.0.0.1</w:t>
            </w:r>
          </w:p>
        </w:tc>
      </w:tr>
      <w:tr>
        <w:tc>
          <w:tcPr>
            <w:tcW w:type="dxa" w:w="4953"/>
          </w:tcPr>
          <w:p>
            <w:r/>
            <w:r>
              <w:rPr>
                <w:b/>
                <w:sz w:val="18"/>
              </w:rPr>
              <w:t>Expected result</w:t>
            </w:r>
          </w:p>
        </w:tc>
        <w:tc>
          <w:tcPr>
            <w:tcW w:type="dxa" w:w="4953"/>
          </w:tcPr>
          <w:p>
            <w:r/>
            <w:r>
              <w:rPr>
                <w:sz w:val="18"/>
              </w:rPr>
              <w:t>Rejected, HTTP 400</w:t>
            </w:r>
          </w:p>
        </w:tc>
      </w:tr>
      <w:tr>
        <w:tc>
          <w:tcPr>
            <w:tcW w:type="dxa" w:w="4953"/>
          </w:tcPr>
          <w:p>
            <w:r/>
            <w:r>
              <w:rPr>
                <w:b/>
                <w:sz w:val="18"/>
              </w:rPr>
              <w:t>Actual result</w:t>
            </w:r>
          </w:p>
        </w:tc>
        <w:tc>
          <w:tcPr>
            <w:tcW w:type="dxa" w:w="4953"/>
          </w:tcPr>
          <w:p>
            <w:r/>
            <w:r>
              <w:rPr>
                <w:sz w:val="18"/>
              </w:rPr>
              <w:t>Matched</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fr3-ttl.test.ts &gt; TC-09 / COND-24 … &gt; the control plane returns an error for 10.0.0.1 — npm-test-output-verbose.txt</w:t>
            </w:r>
          </w:p>
        </w:tc>
      </w:tr>
    </w:tbl>
    <w:p/>
    <w:p>
      <w:r>
        <w:rPr>
          <w:b/>
          <w:i w:val="0"/>
          <w:sz w:val="21"/>
        </w:rPr>
        <w:t>TC-10 — Broadcast delivery, SRS Use Case 4 (host-local)</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TC-10 — Broadcast delivery, SRS Use Case 4 (host-local)</w:t>
            </w:r>
          </w:p>
        </w:tc>
      </w:tr>
      <w:tr>
        <w:tc>
          <w:tcPr>
            <w:tcW w:type="dxa" w:w="4953"/>
          </w:tcPr>
          <w:p>
            <w:r/>
            <w:r>
              <w:rPr>
                <w:b/>
                <w:sz w:val="18"/>
              </w:rPr>
              <w:t>Level / category</w:t>
            </w:r>
          </w:p>
        </w:tc>
        <w:tc>
          <w:tcPr>
            <w:tcW w:type="dxa" w:w="4953"/>
          </w:tcPr>
          <w:p>
            <w:r/>
            <w:r>
              <w:rPr>
                <w:sz w:val="18"/>
              </w:rPr>
              <w:t>System — manual, Normal</w:t>
            </w:r>
          </w:p>
        </w:tc>
      </w:tr>
      <w:tr>
        <w:tc>
          <w:tcPr>
            <w:tcW w:type="dxa" w:w="4953"/>
          </w:tcPr>
          <w:p>
            <w:r/>
            <w:r>
              <w:rPr>
                <w:b/>
                <w:sz w:val="18"/>
              </w:rPr>
              <w:t>Test basis / objective</w:t>
            </w:r>
          </w:p>
        </w:tc>
        <w:tc>
          <w:tcPr>
            <w:tcW w:type="dxa" w:w="4953"/>
          </w:tcPr>
          <w:p>
            <w:r/>
            <w:r>
              <w:rPr>
                <w:sz w:val="18"/>
              </w:rPr>
              <w:t>COND-29 (3.2.3.1/.2) + COND-33 (SRS UC4) — one broadcast datagram is sent to every host reachable, observed here as every agent on this host</w:t>
            </w:r>
          </w:p>
        </w:tc>
      </w:tr>
      <w:tr>
        <w:tc>
          <w:tcPr>
            <w:tcW w:type="dxa" w:w="4953"/>
          </w:tcPr>
          <w:p>
            <w:r/>
            <w:r>
              <w:rPr>
                <w:b/>
                <w:sz w:val="18"/>
              </w:rPr>
              <w:t>Preconditions</w:t>
            </w:r>
          </w:p>
        </w:tc>
        <w:tc>
          <w:tcPr>
            <w:tcW w:type="dxa" w:w="4953"/>
          </w:tcPr>
          <w:p>
            <w:r/>
            <w:r>
              <w:rPr>
                <w:sz w:val="18"/>
              </w:rPr>
              <w:t>Demo topology running</w:t>
            </w:r>
          </w:p>
        </w:tc>
      </w:tr>
      <w:tr>
        <w:tc>
          <w:tcPr>
            <w:tcW w:type="dxa" w:w="4953"/>
          </w:tcPr>
          <w:p>
            <w:r/>
            <w:r>
              <w:rPr>
                <w:b/>
                <w:sz w:val="18"/>
              </w:rPr>
              <w:t>Test data</w:t>
            </w:r>
          </w:p>
        </w:tc>
        <w:tc>
          <w:tcPr>
            <w:tcW w:type="dxa" w:w="4953"/>
          </w:tcPr>
          <w:p>
            <w:r/>
            <w:r>
              <w:rPr>
                <w:sz w:val="18"/>
              </w:rPr>
              <w:t>One broadcast from agent-A</w:t>
            </w:r>
          </w:p>
        </w:tc>
      </w:tr>
      <w:tr>
        <w:tc>
          <w:tcPr>
            <w:tcW w:type="dxa" w:w="4953"/>
          </w:tcPr>
          <w:p>
            <w:r/>
            <w:r>
              <w:rPr>
                <w:b/>
                <w:sz w:val="18"/>
              </w:rPr>
              <w:t>Steps</w:t>
            </w:r>
          </w:p>
        </w:tc>
        <w:tc>
          <w:tcPr>
            <w:tcW w:type="dxa" w:w="4953"/>
          </w:tcPr>
          <w:p>
            <w:r/>
            <w:r>
              <w:rPr>
                <w:sz w:val="18"/>
              </w:rPr>
              <w:t>Open Broadcast page; from=agent-A; send; observe per-agent receipt indicators and addressUsed</w:t>
            </w:r>
          </w:p>
        </w:tc>
      </w:tr>
      <w:tr>
        <w:tc>
          <w:tcPr>
            <w:tcW w:type="dxa" w:w="4953"/>
          </w:tcPr>
          <w:p>
            <w:r/>
            <w:r>
              <w:rPr>
                <w:b/>
                <w:sz w:val="18"/>
              </w:rPr>
              <w:t>Expected result</w:t>
            </w:r>
          </w:p>
        </w:tc>
        <w:tc>
          <w:tcPr>
            <w:tcW w:type="dxa" w:w="4953"/>
          </w:tcPr>
          <w:p>
            <w:r/>
            <w:r>
              <w:rPr>
                <w:sz w:val="18"/>
              </w:rPr>
              <w:t>All 4 agents show received; addressUsed reported</w:t>
            </w:r>
          </w:p>
        </w:tc>
      </w:tr>
      <w:tr>
        <w:tc>
          <w:tcPr>
            <w:tcW w:type="dxa" w:w="4953"/>
          </w:tcPr>
          <w:p>
            <w:r/>
            <w:r>
              <w:rPr>
                <w:b/>
                <w:sz w:val="18"/>
              </w:rPr>
              <w:t>Actual result</w:t>
            </w:r>
          </w:p>
        </w:tc>
        <w:tc>
          <w:tcPr>
            <w:tcW w:type="dxa" w:w="4953"/>
          </w:tcPr>
          <w:p>
            <w:r/>
            <w:r>
              <w:rPr>
                <w:sz w:val="18"/>
              </w:rPr>
              <w:t>agent-A, B, C, D all show '✓ received'; addressUsed = 255.255.255.255</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TC-10-broadcast-hostlocal-received.png</w:t>
            </w:r>
          </w:p>
        </w:tc>
      </w:tr>
    </w:tbl>
    <w:p/>
    <w:p>
      <w:r>
        <w:rPr>
          <w:b/>
          <w:i w:val="0"/>
          <w:sz w:val="21"/>
        </w:rPr>
        <w:t>TC-11 — LAN-wide broadcast reach, SRS 3.2.3.3 — BLOCKED</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TC-11 — LAN-wide broadcast reach, SRS 3.2.3.3 — BLOCKED</w:t>
            </w:r>
          </w:p>
        </w:tc>
      </w:tr>
      <w:tr>
        <w:tc>
          <w:tcPr>
            <w:tcW w:type="dxa" w:w="4953"/>
          </w:tcPr>
          <w:p>
            <w:r/>
            <w:r>
              <w:rPr>
                <w:b/>
                <w:sz w:val="18"/>
              </w:rPr>
              <w:t>Level / category</w:t>
            </w:r>
          </w:p>
        </w:tc>
        <w:tc>
          <w:tcPr>
            <w:tcW w:type="dxa" w:w="4953"/>
          </w:tcPr>
          <w:p>
            <w:r/>
            <w:r>
              <w:rPr>
                <w:sz w:val="18"/>
              </w:rPr>
              <w:t>System — manual, Normal</w:t>
            </w:r>
          </w:p>
        </w:tc>
      </w:tr>
      <w:tr>
        <w:tc>
          <w:tcPr>
            <w:tcW w:type="dxa" w:w="4953"/>
          </w:tcPr>
          <w:p>
            <w:r/>
            <w:r>
              <w:rPr>
                <w:b/>
                <w:sz w:val="18"/>
              </w:rPr>
              <w:t>Test basis / objective</w:t>
            </w:r>
          </w:p>
        </w:tc>
        <w:tc>
          <w:tcPr>
            <w:tcW w:type="dxa" w:w="4953"/>
          </w:tcPr>
          <w:p>
            <w:r/>
            <w:r>
              <w:rPr>
                <w:sz w:val="18"/>
              </w:rPr>
              <w:t>COND-30 — a broadcast must be sent to 'all possible hosts under the same local network'</w:t>
            </w:r>
          </w:p>
        </w:tc>
      </w:tr>
      <w:tr>
        <w:tc>
          <w:tcPr>
            <w:tcW w:type="dxa" w:w="4953"/>
          </w:tcPr>
          <w:p>
            <w:r/>
            <w:r>
              <w:rPr>
                <w:b/>
                <w:sz w:val="18"/>
              </w:rPr>
              <w:t>Preconditions</w:t>
            </w:r>
          </w:p>
        </w:tc>
        <w:tc>
          <w:tcPr>
            <w:tcW w:type="dxa" w:w="4953"/>
          </w:tcPr>
          <w:p>
            <w:r/>
            <w:r>
              <w:rPr>
                <w:sz w:val="18"/>
              </w:rPr>
              <w:t>Required: a multi-host local network so 'all possible hosts' can be enumerated and receipt confirmed on each. Available: one physical machine only</w:t>
            </w:r>
          </w:p>
        </w:tc>
      </w:tr>
      <w:tr>
        <w:tc>
          <w:tcPr>
            <w:tcW w:type="dxa" w:w="4953"/>
          </w:tcPr>
          <w:p>
            <w:r/>
            <w:r>
              <w:rPr>
                <w:b/>
                <w:sz w:val="18"/>
              </w:rPr>
              <w:t>Test data</w:t>
            </w:r>
          </w:p>
        </w:tc>
        <w:tc>
          <w:tcPr>
            <w:tcW w:type="dxa" w:w="4953"/>
          </w:tcPr>
          <w:p>
            <w:r/>
            <w:r>
              <w:rPr>
                <w:sz w:val="18"/>
              </w:rPr>
              <w:t>Same broadcast as TC-10</w:t>
            </w:r>
          </w:p>
        </w:tc>
      </w:tr>
      <w:tr>
        <w:tc>
          <w:tcPr>
            <w:tcW w:type="dxa" w:w="4953"/>
          </w:tcPr>
          <w:p>
            <w:r/>
            <w:r>
              <w:rPr>
                <w:b/>
                <w:sz w:val="18"/>
              </w:rPr>
              <w:t>Steps</w:t>
            </w:r>
          </w:p>
        </w:tc>
        <w:tc>
          <w:tcPr>
            <w:tcW w:type="dxa" w:w="4953"/>
          </w:tcPr>
          <w:p>
            <w:r/>
            <w:r>
              <w:rPr>
                <w:sz w:val="18"/>
              </w:rPr>
              <w:t>Attempt to confirm receipt on a second host on the LAN</w:t>
            </w:r>
          </w:p>
        </w:tc>
      </w:tr>
      <w:tr>
        <w:tc>
          <w:tcPr>
            <w:tcW w:type="dxa" w:w="4953"/>
          </w:tcPr>
          <w:p>
            <w:r/>
            <w:r>
              <w:rPr>
                <w:b/>
                <w:sz w:val="18"/>
              </w:rPr>
              <w:t>Expected result</w:t>
            </w:r>
          </w:p>
        </w:tc>
        <w:tc>
          <w:tcPr>
            <w:tcW w:type="dxa" w:w="4953"/>
          </w:tcPr>
          <w:p>
            <w:r/>
            <w:r>
              <w:rPr>
                <w:sz w:val="18"/>
              </w:rPr>
              <w:t>N/A — the precondition itself cannot be established</w:t>
            </w:r>
          </w:p>
        </w:tc>
      </w:tr>
      <w:tr>
        <w:tc>
          <w:tcPr>
            <w:tcW w:type="dxa" w:w="4953"/>
          </w:tcPr>
          <w:p>
            <w:r/>
            <w:r>
              <w:rPr>
                <w:b/>
                <w:sz w:val="18"/>
              </w:rPr>
              <w:t>Actual result</w:t>
            </w:r>
          </w:p>
        </w:tc>
        <w:tc>
          <w:tcPr>
            <w:tcW w:type="dxa" w:w="4953"/>
          </w:tcPr>
          <w:p>
            <w:r/>
            <w:r>
              <w:rPr>
                <w:sz w:val="18"/>
              </w:rPr>
              <w:t>The required precondition (≥2 hosts on the same local network) does not exist on this test bed, confirmed by scripts/verify-preconditions.sh (one host, 5 interfaces, zero peers). This is not a claim LAN-wide delivery failed — it was never executed at LAN scope. TC-10 already establishes host-local delivery works</w:t>
            </w:r>
          </w:p>
        </w:tc>
      </w:tr>
      <w:tr>
        <w:tc>
          <w:tcPr>
            <w:tcW w:type="dxa" w:w="4953"/>
          </w:tcPr>
          <w:p>
            <w:r/>
            <w:r>
              <w:rPr>
                <w:b/>
                <w:sz w:val="18"/>
              </w:rPr>
              <w:t>Status</w:t>
            </w:r>
          </w:p>
        </w:tc>
        <w:tc>
          <w:tcPr>
            <w:tcW w:type="dxa" w:w="4953"/>
          </w:tcPr>
          <w:p>
            <w:r/>
            <w:r>
              <w:rPr>
                <w:sz w:val="18"/>
              </w:rPr>
              <w:t>BLOCKED</w:t>
            </w:r>
          </w:p>
        </w:tc>
      </w:tr>
      <w:tr>
        <w:tc>
          <w:tcPr>
            <w:tcW w:type="dxa" w:w="4953"/>
          </w:tcPr>
          <w:p>
            <w:r/>
            <w:r>
              <w:rPr>
                <w:b/>
                <w:sz w:val="18"/>
              </w:rPr>
              <w:t>Evidence</w:t>
            </w:r>
          </w:p>
        </w:tc>
        <w:tc>
          <w:tcPr>
            <w:tcW w:type="dxa" w:w="4953"/>
          </w:tcPr>
          <w:p>
            <w:r/>
            <w:r>
              <w:rPr>
                <w:sz w:val="18"/>
              </w:rPr>
              <w:t>TC-11-single-host-network-interfaces.txt (verify-preconditions.sh output)</w:t>
            </w:r>
          </w:p>
        </w:tc>
      </w:tr>
    </w:tbl>
    <w:p/>
    <w:p>
      <w:r>
        <w:rPr>
          <w:b/>
          <w:i w:val="0"/>
          <w:sz w:val="21"/>
        </w:rPr>
        <w:t>TC-12 — Malformed encrypted envelope</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TC-12 — Malformed encrypted envelope</w:t>
            </w:r>
          </w:p>
        </w:tc>
      </w:tr>
      <w:tr>
        <w:tc>
          <w:tcPr>
            <w:tcW w:type="dxa" w:w="4953"/>
          </w:tcPr>
          <w:p>
            <w:r/>
            <w:r>
              <w:rPr>
                <w:b/>
                <w:sz w:val="18"/>
              </w:rPr>
              <w:t>Level / category</w:t>
            </w:r>
          </w:p>
        </w:tc>
        <w:tc>
          <w:tcPr>
            <w:tcW w:type="dxa" w:w="4953"/>
          </w:tcPr>
          <w:p>
            <w:r/>
            <w:r>
              <w:rPr>
                <w:sz w:val="18"/>
              </w:rPr>
              <w:t>Unit — automated, Invalid/error</w:t>
            </w:r>
          </w:p>
        </w:tc>
      </w:tr>
      <w:tr>
        <w:tc>
          <w:tcPr>
            <w:tcW w:type="dxa" w:w="4953"/>
          </w:tcPr>
          <w:p>
            <w:r/>
            <w:r>
              <w:rPr>
                <w:b/>
                <w:sz w:val="18"/>
              </w:rPr>
              <w:t>Test basis / objective</w:t>
            </w:r>
          </w:p>
        </w:tc>
        <w:tc>
          <w:tcPr>
            <w:tcW w:type="dxa" w:w="4953"/>
          </w:tcPr>
          <w:p>
            <w:r/>
            <w:r>
              <w:rPr>
                <w:sz w:val="18"/>
              </w:rPr>
              <w:t>COND-37 (BR-16) — encrypted=true with iv/authTag missing must be dropped, with no decryption attempt</w:t>
            </w:r>
          </w:p>
        </w:tc>
      </w:tr>
      <w:tr>
        <w:tc>
          <w:tcPr>
            <w:tcW w:type="dxa" w:w="4953"/>
          </w:tcPr>
          <w:p>
            <w:r/>
            <w:r>
              <w:rPr>
                <w:b/>
                <w:sz w:val="18"/>
              </w:rPr>
              <w:t>Preconditions</w:t>
            </w:r>
          </w:p>
        </w:tc>
        <w:tc>
          <w:tcPr>
            <w:tcW w:type="dxa" w:w="4953"/>
          </w:tcPr>
          <w:p>
            <w:r/>
            <w:r>
              <w:rPr>
                <w:sz w:val="18"/>
              </w:rPr>
              <w:t>None</w:t>
            </w:r>
          </w:p>
        </w:tc>
      </w:tr>
      <w:tr>
        <w:tc>
          <w:tcPr>
            <w:tcW w:type="dxa" w:w="4953"/>
          </w:tcPr>
          <w:p>
            <w:r/>
            <w:r>
              <w:rPr>
                <w:b/>
                <w:sz w:val="18"/>
              </w:rPr>
              <w:t>Test data</w:t>
            </w:r>
          </w:p>
        </w:tc>
        <w:tc>
          <w:tcPr>
            <w:tcW w:type="dxa" w:w="4953"/>
          </w:tcPr>
          <w:p>
            <w:r/>
            <w:r>
              <w:rPr>
                <w:sz w:val="18"/>
              </w:rPr>
              <w:t>Envelope with encrypted:true, iv present, authTag absent (and the false/stray-fields inverse)</w:t>
            </w:r>
          </w:p>
        </w:tc>
      </w:tr>
      <w:tr>
        <w:tc>
          <w:tcPr>
            <w:tcW w:type="dxa" w:w="4953"/>
          </w:tcPr>
          <w:p>
            <w:r/>
            <w:r>
              <w:rPr>
                <w:b/>
                <w:sz w:val="18"/>
              </w:rPr>
              <w:t>Steps</w:t>
            </w:r>
          </w:p>
        </w:tc>
        <w:tc>
          <w:tcPr>
            <w:tcW w:type="dxa" w:w="4953"/>
          </w:tcPr>
          <w:p>
            <w:r/>
            <w:r>
              <w:rPr>
                <w:sz w:val="18"/>
              </w:rPr>
              <w:t>Call validateEnvelope on the malformed envelope</w:t>
            </w:r>
          </w:p>
        </w:tc>
      </w:tr>
      <w:tr>
        <w:tc>
          <w:tcPr>
            <w:tcW w:type="dxa" w:w="4953"/>
          </w:tcPr>
          <w:p>
            <w:r/>
            <w:r>
              <w:rPr>
                <w:b/>
                <w:sz w:val="18"/>
              </w:rPr>
              <w:t>Expected result</w:t>
            </w:r>
          </w:p>
        </w:tc>
        <w:tc>
          <w:tcPr>
            <w:tcW w:type="dxa" w:w="4953"/>
          </w:tcPr>
          <w:p>
            <w:r/>
            <w:r>
              <w:rPr>
                <w:sz w:val="18"/>
              </w:rPr>
              <w:t>MALFORMED_CRYPTO_FIELDS (or STRAY_CRYPTO_FIELDS for the inverse case), decryption never attempted</w:t>
            </w:r>
          </w:p>
        </w:tc>
      </w:tr>
      <w:tr>
        <w:tc>
          <w:tcPr>
            <w:tcW w:type="dxa" w:w="4953"/>
          </w:tcPr>
          <w:p>
            <w:r/>
            <w:r>
              <w:rPr>
                <w:b/>
                <w:sz w:val="18"/>
              </w:rPr>
              <w:t>Actual result</w:t>
            </w:r>
          </w:p>
        </w:tc>
        <w:tc>
          <w:tcPr>
            <w:tcW w:type="dxa" w:w="4953"/>
          </w:tcPr>
          <w:p>
            <w:r/>
            <w:r>
              <w:rPr>
                <w:sz w:val="18"/>
              </w:rPr>
              <w:t>Matched, all 3 branches (missing authTag, stray iv, ttl-on-non-multicast)</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validator-and-sequence.test.ts &gt; §8 invariants — BR-16 malformed crypto fields (TC-12 target) — npm-test-output-verbose.txt</w:t>
            </w:r>
          </w:p>
        </w:tc>
      </w:tr>
    </w:tbl>
    <w:p/>
    <w:p>
      <w:r>
        <w:rPr>
          <w:b/>
          <w:i w:val="0"/>
          <w:sz w:val="21"/>
        </w:rPr>
        <w:t>TC-13 — Per-message encryption opt-in + auto-decrypt</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TC-13 — Per-message encryption opt-in + auto-decrypt</w:t>
            </w:r>
          </w:p>
        </w:tc>
      </w:tr>
      <w:tr>
        <w:tc>
          <w:tcPr>
            <w:tcW w:type="dxa" w:w="4953"/>
          </w:tcPr>
          <w:p>
            <w:r/>
            <w:r>
              <w:rPr>
                <w:b/>
                <w:sz w:val="18"/>
              </w:rPr>
              <w:t>Level / category</w:t>
            </w:r>
          </w:p>
        </w:tc>
        <w:tc>
          <w:tcPr>
            <w:tcW w:type="dxa" w:w="4953"/>
          </w:tcPr>
          <w:p>
            <w:r/>
            <w:r>
              <w:rPr>
                <w:sz w:val="18"/>
              </w:rPr>
              <w:t>Integration — automated, Business rule</w:t>
            </w:r>
          </w:p>
        </w:tc>
      </w:tr>
      <w:tr>
        <w:tc>
          <w:tcPr>
            <w:tcW w:type="dxa" w:w="4953"/>
          </w:tcPr>
          <w:p>
            <w:r/>
            <w:r>
              <w:rPr>
                <w:b/>
                <w:sz w:val="18"/>
              </w:rPr>
              <w:t>Test basis / objective</w:t>
            </w:r>
          </w:p>
        </w:tc>
        <w:tc>
          <w:tcPr>
            <w:tcW w:type="dxa" w:w="4953"/>
          </w:tcPr>
          <w:p>
            <w:r/>
            <w:r>
              <w:rPr>
                <w:sz w:val="18"/>
              </w:rPr>
              <w:t>COND-38 (BR-14) + COND-39 (3.2.4.4) — encryption is a per-message sender choice; the receiver decrypts automatically</w:t>
            </w:r>
          </w:p>
        </w:tc>
      </w:tr>
      <w:tr>
        <w:tc>
          <w:tcPr>
            <w:tcW w:type="dxa" w:w="4953"/>
          </w:tcPr>
          <w:p>
            <w:r/>
            <w:r>
              <w:rPr>
                <w:b/>
                <w:sz w:val="18"/>
              </w:rPr>
              <w:t>Preconditions</w:t>
            </w:r>
          </w:p>
        </w:tc>
        <w:tc>
          <w:tcPr>
            <w:tcW w:type="dxa" w:w="4953"/>
          </w:tcPr>
          <w:p>
            <w:r/>
            <w:r>
              <w:rPr>
                <w:sz w:val="18"/>
              </w:rPr>
              <w:t>None</w:t>
            </w:r>
          </w:p>
        </w:tc>
      </w:tr>
      <w:tr>
        <w:tc>
          <w:tcPr>
            <w:tcW w:type="dxa" w:w="4953"/>
          </w:tcPr>
          <w:p>
            <w:r/>
            <w:r>
              <w:rPr>
                <w:b/>
                <w:sz w:val="18"/>
              </w:rPr>
              <w:t>Test data</w:t>
            </w:r>
          </w:p>
        </w:tc>
        <w:tc>
          <w:tcPr>
            <w:tcW w:type="dxa" w:w="4953"/>
          </w:tcPr>
          <w:p>
            <w:r/>
            <w:r>
              <w:rPr>
                <w:sz w:val="18"/>
              </w:rPr>
              <w:t>One unicast with encrypted:true</w:t>
            </w:r>
          </w:p>
        </w:tc>
      </w:tr>
      <w:tr>
        <w:tc>
          <w:tcPr>
            <w:tcW w:type="dxa" w:w="4953"/>
          </w:tcPr>
          <w:p>
            <w:r/>
            <w:r>
              <w:rPr>
                <w:b/>
                <w:sz w:val="18"/>
              </w:rPr>
              <w:t>Steps</w:t>
            </w:r>
          </w:p>
        </w:tc>
        <w:tc>
          <w:tcPr>
            <w:tcW w:type="dxa" w:w="4953"/>
          </w:tcPr>
          <w:p>
            <w:r/>
            <w:r>
              <w:rPr>
                <w:sz w:val="18"/>
              </w:rPr>
              <w:t>POST an encrypted unicast A→B; confirm receipt with no DECRYPTION_FAILED</w:t>
            </w:r>
          </w:p>
        </w:tc>
      </w:tr>
      <w:tr>
        <w:tc>
          <w:tcPr>
            <w:tcW w:type="dxa" w:w="4953"/>
          </w:tcPr>
          <w:p>
            <w:r/>
            <w:r>
              <w:rPr>
                <w:b/>
                <w:sz w:val="18"/>
              </w:rPr>
              <w:t>Expected result</w:t>
            </w:r>
          </w:p>
        </w:tc>
        <w:tc>
          <w:tcPr>
            <w:tcW w:type="dxa" w:w="4953"/>
          </w:tcPr>
          <w:p>
            <w:r/>
            <w:r>
              <w:rPr>
                <w:sz w:val="18"/>
              </w:rPr>
              <w:t>Delivered, encrypted:true on the wire, auto-decrypted, no user action, no failure event</w:t>
            </w:r>
          </w:p>
        </w:tc>
      </w:tr>
      <w:tr>
        <w:tc>
          <w:tcPr>
            <w:tcW w:type="dxa" w:w="4953"/>
          </w:tcPr>
          <w:p>
            <w:r/>
            <w:r>
              <w:rPr>
                <w:b/>
                <w:sz w:val="18"/>
              </w:rPr>
              <w:t>Actual result</w:t>
            </w:r>
          </w:p>
        </w:tc>
        <w:tc>
          <w:tcPr>
            <w:tcW w:type="dxa" w:w="4953"/>
          </w:tcPr>
          <w:p>
            <w:r/>
            <w:r>
              <w:rPr>
                <w:sz w:val="18"/>
              </w:rPr>
              <w:t>Matched</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fr1-unicast.test.ts &gt; TC-13 / COND-38+39 … — npm-test-output-verbose.txt; also shown live in TC-01-unicast-burst-success.png</w:t>
            </w:r>
          </w:p>
        </w:tc>
      </w:tr>
    </w:tbl>
    <w:p/>
    <w:p>
      <w:r>
        <w:rPr>
          <w:b/>
          <w:i w:val="0"/>
          <w:sz w:val="21"/>
        </w:rPr>
        <w:t>TC-14 — Key-request denial for a non-allow-listed agent</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TC-14 — Key-request denial for a non-allow-listed agent</w:t>
            </w:r>
          </w:p>
        </w:tc>
      </w:tr>
      <w:tr>
        <w:tc>
          <w:tcPr>
            <w:tcW w:type="dxa" w:w="4953"/>
          </w:tcPr>
          <w:p>
            <w:r/>
            <w:r>
              <w:rPr>
                <w:b/>
                <w:sz w:val="18"/>
              </w:rPr>
              <w:t>Level / category</w:t>
            </w:r>
          </w:p>
        </w:tc>
        <w:tc>
          <w:tcPr>
            <w:tcW w:type="dxa" w:w="4953"/>
          </w:tcPr>
          <w:p>
            <w:r/>
            <w:r>
              <w:rPr>
                <w:sz w:val="18"/>
              </w:rPr>
              <w:t>Integration — automated, Invalid/error</w:t>
            </w:r>
          </w:p>
        </w:tc>
      </w:tr>
      <w:tr>
        <w:tc>
          <w:tcPr>
            <w:tcW w:type="dxa" w:w="4953"/>
          </w:tcPr>
          <w:p>
            <w:r/>
            <w:r>
              <w:rPr>
                <w:b/>
                <w:sz w:val="18"/>
              </w:rPr>
              <w:t>Test basis / objective</w:t>
            </w:r>
          </w:p>
        </w:tc>
        <w:tc>
          <w:tcPr>
            <w:tcW w:type="dxa" w:w="4953"/>
          </w:tcPr>
          <w:p>
            <w:r/>
            <w:r>
              <w:rPr>
                <w:sz w:val="18"/>
              </w:rPr>
              <w:t>COND-42 (BR-18) — the key holder must deny a request from an agent not on its allow-list</w:t>
            </w:r>
          </w:p>
        </w:tc>
      </w:tr>
      <w:tr>
        <w:tc>
          <w:tcPr>
            <w:tcW w:type="dxa" w:w="4953"/>
          </w:tcPr>
          <w:p>
            <w:r/>
            <w:r>
              <w:rPr>
                <w:b/>
                <w:sz w:val="18"/>
              </w:rPr>
              <w:t>Preconditions</w:t>
            </w:r>
          </w:p>
        </w:tc>
        <w:tc>
          <w:tcPr>
            <w:tcW w:type="dxa" w:w="4953"/>
          </w:tcPr>
          <w:p>
            <w:r/>
            <w:r>
              <w:rPr>
                <w:sz w:val="18"/>
              </w:rPr>
              <w:t>agent-B is a member of α but is not on agent-D's allow-list (allow-list ≠ membership, by design)</w:t>
            </w:r>
          </w:p>
        </w:tc>
      </w:tr>
      <w:tr>
        <w:tc>
          <w:tcPr>
            <w:tcW w:type="dxa" w:w="4953"/>
          </w:tcPr>
          <w:p>
            <w:r/>
            <w:r>
              <w:rPr>
                <w:b/>
                <w:sz w:val="18"/>
              </w:rPr>
              <w:t>Test data</w:t>
            </w:r>
          </w:p>
        </w:tc>
        <w:tc>
          <w:tcPr>
            <w:tcW w:type="dxa" w:w="4953"/>
          </w:tcPr>
          <w:p>
            <w:r/>
            <w:r>
              <w:rPr>
                <w:sz w:val="18"/>
              </w:rPr>
              <w:t>Key request from agent-B for group α</w:t>
            </w:r>
          </w:p>
        </w:tc>
      </w:tr>
      <w:tr>
        <w:tc>
          <w:tcPr>
            <w:tcW w:type="dxa" w:w="4953"/>
          </w:tcPr>
          <w:p>
            <w:r/>
            <w:r>
              <w:rPr>
                <w:b/>
                <w:sz w:val="18"/>
              </w:rPr>
              <w:t>Steps</w:t>
            </w:r>
          </w:p>
        </w:tc>
        <w:tc>
          <w:tcPr>
            <w:tcW w:type="dxa" w:w="4953"/>
          </w:tcPr>
          <w:p>
            <w:r/>
            <w:r>
              <w:rPr>
                <w:sz w:val="18"/>
              </w:rPr>
              <w:t>POST /keys/request with requestingAgentId=agent-B; inspect for GROUP_KEY_DENIED</w:t>
            </w:r>
          </w:p>
        </w:tc>
      </w:tr>
      <w:tr>
        <w:tc>
          <w:tcPr>
            <w:tcW w:type="dxa" w:w="4953"/>
          </w:tcPr>
          <w:p>
            <w:r/>
            <w:r>
              <w:rPr>
                <w:b/>
                <w:sz w:val="18"/>
              </w:rPr>
              <w:t>Expected result</w:t>
            </w:r>
          </w:p>
        </w:tc>
        <w:tc>
          <w:tcPr>
            <w:tcW w:type="dxa" w:w="4953"/>
          </w:tcPr>
          <w:p>
            <w:r/>
            <w:r>
              <w:rPr>
                <w:sz w:val="18"/>
              </w:rPr>
              <w:t>Denied</w:t>
            </w:r>
          </w:p>
        </w:tc>
      </w:tr>
      <w:tr>
        <w:tc>
          <w:tcPr>
            <w:tcW w:type="dxa" w:w="4953"/>
          </w:tcPr>
          <w:p>
            <w:r/>
            <w:r>
              <w:rPr>
                <w:b/>
                <w:sz w:val="18"/>
              </w:rPr>
              <w:t>Actual result</w:t>
            </w:r>
          </w:p>
        </w:tc>
        <w:tc>
          <w:tcPr>
            <w:tcW w:type="dxa" w:w="4953"/>
          </w:tcPr>
          <w:p>
            <w:r/>
            <w:r>
              <w:rPr>
                <w:sz w:val="18"/>
              </w:rPr>
              <w:t>Matched; the allow-listed control case (agent-C) is granted in the same run</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fr2-6-7.test.ts &gt; TC-14 / COND-42 … — npm-test-output-verbose.txt</w:t>
            </w:r>
          </w:p>
        </w:tc>
      </w:tr>
    </w:tbl>
    <w:p/>
    <w:p>
      <w:r>
        <w:rPr>
          <w:b/>
          <w:i w:val="0"/>
          <w:sz w:val="21"/>
        </w:rPr>
        <w:t>TC-15 — Live conversation-architecture switch</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Pr>
          <w:p>
            <w:r/>
            <w:r>
              <w:rPr>
                <w:b/>
                <w:sz w:val="18"/>
              </w:rPr>
              <w:t>ID / title</w:t>
            </w:r>
          </w:p>
        </w:tc>
        <w:tc>
          <w:tcPr>
            <w:tcW w:type="dxa" w:w="4953"/>
          </w:tcPr>
          <w:p>
            <w:r/>
            <w:r>
              <w:rPr>
                <w:sz w:val="18"/>
              </w:rPr>
              <w:t>TC-15 — Live conversation-architecture switch</w:t>
            </w:r>
          </w:p>
        </w:tc>
      </w:tr>
      <w:tr>
        <w:tc>
          <w:tcPr>
            <w:tcW w:type="dxa" w:w="4953"/>
          </w:tcPr>
          <w:p>
            <w:r/>
            <w:r>
              <w:rPr>
                <w:b/>
                <w:sz w:val="18"/>
              </w:rPr>
              <w:t>Level / category</w:t>
            </w:r>
          </w:p>
        </w:tc>
        <w:tc>
          <w:tcPr>
            <w:tcW w:type="dxa" w:w="4953"/>
          </w:tcPr>
          <w:p>
            <w:r/>
            <w:r>
              <w:rPr>
                <w:sz w:val="18"/>
              </w:rPr>
              <w:t>System — manual, Normal</w:t>
            </w:r>
          </w:p>
        </w:tc>
      </w:tr>
      <w:tr>
        <w:tc>
          <w:tcPr>
            <w:tcW w:type="dxa" w:w="4953"/>
          </w:tcPr>
          <w:p>
            <w:r/>
            <w:r>
              <w:rPr>
                <w:b/>
                <w:sz w:val="18"/>
              </w:rPr>
              <w:t>Test basis / objective</w:t>
            </w:r>
          </w:p>
        </w:tc>
        <w:tc>
          <w:tcPr>
            <w:tcW w:type="dxa" w:w="4953"/>
          </w:tcPr>
          <w:p>
            <w:r/>
            <w:r>
              <w:rPr>
                <w:sz w:val="18"/>
              </w:rPr>
              <w:t>COND-47 (3.2.5.1/.2, identical delivery either side) + COND-49 (switch observable with a marker)</w:t>
            </w:r>
          </w:p>
        </w:tc>
      </w:tr>
      <w:tr>
        <w:tc>
          <w:tcPr>
            <w:tcW w:type="dxa" w:w="4953"/>
          </w:tcPr>
          <w:p>
            <w:r/>
            <w:r>
              <w:rPr>
                <w:b/>
                <w:sz w:val="18"/>
              </w:rPr>
              <w:t>Preconditions</w:t>
            </w:r>
          </w:p>
        </w:tc>
        <w:tc>
          <w:tcPr>
            <w:tcW w:type="dxa" w:w="4953"/>
          </w:tcPr>
          <w:p>
            <w:r/>
            <w:r>
              <w:rPr>
                <w:sz w:val="18"/>
              </w:rPr>
              <w:t>agent-A running agent-controlled</w:t>
            </w:r>
          </w:p>
        </w:tc>
      </w:tr>
      <w:tr>
        <w:tc>
          <w:tcPr>
            <w:tcW w:type="dxa" w:w="4953"/>
          </w:tcPr>
          <w:p>
            <w:r/>
            <w:r>
              <w:rPr>
                <w:b/>
                <w:sz w:val="18"/>
              </w:rPr>
              <w:t>Test data</w:t>
            </w:r>
          </w:p>
        </w:tc>
        <w:tc>
          <w:tcPr>
            <w:tcW w:type="dxa" w:w="4953"/>
          </w:tcPr>
          <w:p>
            <w:r/>
            <w:r>
              <w:rPr>
                <w:sz w:val="18"/>
              </w:rPr>
              <w:t>1 unicast A→B before the switch, 1 after</w:t>
            </w:r>
          </w:p>
        </w:tc>
      </w:tr>
      <w:tr>
        <w:tc>
          <w:tcPr>
            <w:tcW w:type="dxa" w:w="4953"/>
          </w:tcPr>
          <w:p>
            <w:r/>
            <w:r>
              <w:rPr>
                <w:b/>
                <w:sz w:val="18"/>
              </w:rPr>
              <w:t>Steps</w:t>
            </w:r>
          </w:p>
        </w:tc>
        <w:tc>
          <w:tcPr>
            <w:tcW w:type="dxa" w:w="4953"/>
          </w:tcPr>
          <w:p>
            <w:r/>
            <w:r>
              <w:rPr>
                <w:sz w:val="18"/>
              </w:rPr>
              <w:t>(1) send unicast A→B (agent-controlled, delivered — TC-01); (2) switch agent-A to component-controlled; (3) confirm ARCHITECTURE_SWITCHED logged; (4) send another unicast A→B; (5) confirm delivered</w:t>
            </w:r>
          </w:p>
        </w:tc>
      </w:tr>
      <w:tr>
        <w:tc>
          <w:tcPr>
            <w:tcW w:type="dxa" w:w="4953"/>
          </w:tcPr>
          <w:p>
            <w:r/>
            <w:r>
              <w:rPr>
                <w:b/>
                <w:sz w:val="18"/>
              </w:rPr>
              <w:t>Expected result</w:t>
            </w:r>
          </w:p>
        </w:tc>
        <w:tc>
          <w:tcPr>
            <w:tcW w:type="dxa" w:w="4953"/>
          </w:tcPr>
          <w:p>
            <w:r/>
            <w:r>
              <w:rPr>
                <w:sz w:val="18"/>
              </w:rPr>
              <w:t>Identical delivery both sides; marker present; no socket restart</w:t>
            </w:r>
          </w:p>
        </w:tc>
      </w:tr>
      <w:tr>
        <w:tc>
          <w:tcPr>
            <w:tcW w:type="dxa" w:w="4953"/>
          </w:tcPr>
          <w:p>
            <w:r/>
            <w:r>
              <w:rPr>
                <w:b/>
                <w:sz w:val="18"/>
              </w:rPr>
              <w:t>Actual result</w:t>
            </w:r>
          </w:p>
        </w:tc>
        <w:tc>
          <w:tcPr>
            <w:tcW w:type="dxa" w:w="4953"/>
          </w:tcPr>
          <w:p>
            <w:r/>
            <w:r>
              <w:rPr>
                <w:sz w:val="18"/>
              </w:rPr>
              <w:t>ARCHITECTURE_SWITCHED logged for agent-A; post-switch send (envelope c3b3b4c5…) SENT then RECEIVED 1ms later, same as pre-switch timing</w:t>
            </w:r>
          </w:p>
        </w:tc>
      </w:tr>
      <w:tr>
        <w:tc>
          <w:tcPr>
            <w:tcW w:type="dxa" w:w="4953"/>
          </w:tcPr>
          <w:p>
            <w:r/>
            <w:r>
              <w:rPr>
                <w:b/>
                <w:sz w:val="18"/>
              </w:rPr>
              <w:t>Status</w:t>
            </w:r>
          </w:p>
        </w:tc>
        <w:tc>
          <w:tcPr>
            <w:tcW w:type="dxa" w:w="4953"/>
          </w:tcPr>
          <w:p>
            <w:r/>
            <w:r>
              <w:rPr>
                <w:sz w:val="18"/>
              </w:rPr>
              <w:t>PASSED</w:t>
            </w:r>
          </w:p>
        </w:tc>
      </w:tr>
      <w:tr>
        <w:tc>
          <w:tcPr>
            <w:tcW w:type="dxa" w:w="4953"/>
          </w:tcPr>
          <w:p>
            <w:r/>
            <w:r>
              <w:rPr>
                <w:b/>
                <w:sz w:val="18"/>
              </w:rPr>
              <w:t>Evidence</w:t>
            </w:r>
          </w:p>
        </w:tc>
        <w:tc>
          <w:tcPr>
            <w:tcW w:type="dxa" w:w="4953"/>
          </w:tcPr>
          <w:p>
            <w:r/>
            <w:r>
              <w:rPr>
                <w:sz w:val="18"/>
              </w:rPr>
              <w:t>TC-15-architecture-switched.png, TC-15-delivery-after-switch.png; fr2-6-7.test.ts &gt; TC-15 / COND-49 … — npm-test-output-verbose.txt</w:t>
            </w:r>
          </w:p>
        </w:tc>
      </w:tr>
    </w:tbl>
    <w:p/>
    <w:p>
      <w:r>
        <w:rPr>
          <w:b/>
          <w:i w:val="0"/>
          <w:sz w:val="24"/>
        </w:rPr>
        <w:t>Table C — Traceability Record</w:t>
      </w:r>
    </w:p>
    <w:p>
      <w:r>
        <w:rPr>
          <w:b w:val="0"/>
          <w:i w:val="0"/>
        </w:rPr>
        <w:t>Full 54-condition matrix. TC-nn = one of the 15 Table B cases above; other carriers are automated tests (all green, npm-test-output-verbose.txt) or a manual observation folded into an adjacent Table B case (noted explicitly).</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c>
          <w:tcPr>
            <w:tcW w:type="dxa" w:w="1981"/>
          </w:tcPr>
          <w:p>
            <w:r/>
            <w:r>
              <w:rPr>
                <w:b/>
                <w:sz w:val="18"/>
              </w:rPr>
              <w:t>Requirement</w:t>
            </w:r>
          </w:p>
        </w:tc>
        <w:tc>
          <w:tcPr>
            <w:tcW w:type="dxa" w:w="1981"/>
          </w:tcPr>
          <w:p>
            <w:r/>
            <w:r>
              <w:rPr>
                <w:b/>
                <w:sz w:val="18"/>
              </w:rPr>
              <w:t>Condition</w:t>
            </w:r>
          </w:p>
        </w:tc>
        <w:tc>
          <w:tcPr>
            <w:tcW w:type="dxa" w:w="1981"/>
          </w:tcPr>
          <w:p>
            <w:r/>
            <w:r>
              <w:rPr>
                <w:b/>
                <w:sz w:val="18"/>
              </w:rPr>
              <w:t>Test case</w:t>
            </w:r>
          </w:p>
        </w:tc>
        <w:tc>
          <w:tcPr>
            <w:tcW w:type="dxa" w:w="1981"/>
          </w:tcPr>
          <w:p>
            <w:r/>
            <w:r>
              <w:rPr>
                <w:b/>
                <w:sz w:val="18"/>
              </w:rPr>
              <w:t>Execution result</w:t>
            </w:r>
          </w:p>
        </w:tc>
        <w:tc>
          <w:tcPr>
            <w:tcW w:type="dxa" w:w="1981"/>
          </w:tcPr>
          <w:p>
            <w:r/>
            <w:r>
              <w:rPr>
                <w:b/>
                <w:sz w:val="18"/>
              </w:rPr>
              <w:t>Defect report</w:t>
            </w:r>
          </w:p>
        </w:tc>
      </w:tr>
      <w:tr>
        <w:tc>
          <w:tcPr>
            <w:tcW w:type="dxa" w:w="1981"/>
          </w:tcPr>
          <w:p>
            <w:r/>
            <w:r>
              <w:rPr>
                <w:sz w:val="18"/>
              </w:rPr>
              <w:t>FR1 — 3.2.1.1–.4</w:t>
            </w:r>
          </w:p>
        </w:tc>
        <w:tc>
          <w:tcPr>
            <w:tcW w:type="dxa" w:w="1981"/>
          </w:tcPr>
          <w:p>
            <w:r/>
            <w:r>
              <w:rPr>
                <w:sz w:val="18"/>
              </w:rPr>
              <w:t>COND-01… 03</w:t>
            </w:r>
          </w:p>
        </w:tc>
        <w:tc>
          <w:tcPr>
            <w:tcW w:type="dxa" w:w="1981"/>
          </w:tcPr>
          <w:p>
            <w:r/>
            <w:r>
              <w:rPr>
                <w:sz w:val="18"/>
              </w:rPr>
              <w:t>framing.test.ts (unit)</w:t>
            </w:r>
          </w:p>
        </w:tc>
        <w:tc>
          <w:tcPr>
            <w:tcW w:type="dxa" w:w="1981"/>
          </w:tcPr>
          <w:p>
            <w:r/>
            <w:r>
              <w:rPr>
                <w:sz w:val="18"/>
              </w:rPr>
              <w:t>PASSED</w:t>
            </w:r>
          </w:p>
        </w:tc>
        <w:tc>
          <w:tcPr>
            <w:tcW w:type="dxa" w:w="1981"/>
          </w:tcPr>
          <w:p>
            <w:r/>
            <w:r>
              <w:rPr>
                <w:sz w:val="18"/>
              </w:rPr>
              <w:t>N/A</w:t>
            </w:r>
          </w:p>
        </w:tc>
      </w:tr>
      <w:tr>
        <w:tc>
          <w:tcPr>
            <w:tcW w:type="dxa" w:w="1981"/>
          </w:tcPr>
          <w:p>
            <w:r/>
            <w:r>
              <w:rPr>
                <w:sz w:val="18"/>
              </w:rPr>
              <w:t>FR1</w:t>
            </w:r>
          </w:p>
        </w:tc>
        <w:tc>
          <w:tcPr>
            <w:tcW w:type="dxa" w:w="1981"/>
          </w:tcPr>
          <w:p>
            <w:r/>
            <w:r>
              <w:rPr>
                <w:sz w:val="18"/>
              </w:rPr>
              <w:t>COND-04</w:t>
            </w:r>
          </w:p>
        </w:tc>
        <w:tc>
          <w:tcPr>
            <w:tcW w:type="dxa" w:w="1981"/>
          </w:tcPr>
          <w:p>
            <w:r/>
            <w:r>
              <w:rPr>
                <w:sz w:val="18"/>
              </w:rPr>
              <w:t>unicast-transport.test.ts (component)</w:t>
            </w:r>
          </w:p>
        </w:tc>
        <w:tc>
          <w:tcPr>
            <w:tcW w:type="dxa" w:w="1981"/>
          </w:tcPr>
          <w:p>
            <w:r/>
            <w:r>
              <w:rPr>
                <w:sz w:val="18"/>
              </w:rPr>
              <w:t>PASSED</w:t>
            </w:r>
          </w:p>
        </w:tc>
        <w:tc>
          <w:tcPr>
            <w:tcW w:type="dxa" w:w="1981"/>
          </w:tcPr>
          <w:p>
            <w:r/>
            <w:r>
              <w:rPr>
                <w:sz w:val="18"/>
              </w:rPr>
              <w:t>N/A</w:t>
            </w:r>
          </w:p>
        </w:tc>
      </w:tr>
      <w:tr>
        <w:tc>
          <w:tcPr>
            <w:tcW w:type="dxa" w:w="1981"/>
          </w:tcPr>
          <w:p>
            <w:r/>
            <w:r>
              <w:rPr>
                <w:sz w:val="18"/>
              </w:rPr>
              <w:t>FR1</w:t>
            </w:r>
          </w:p>
        </w:tc>
        <w:tc>
          <w:tcPr>
            <w:tcW w:type="dxa" w:w="1981"/>
          </w:tcPr>
          <w:p>
            <w:r/>
            <w:r>
              <w:rPr>
                <w:sz w:val="18"/>
              </w:rPr>
              <w:t>COND-05</w:t>
            </w:r>
          </w:p>
        </w:tc>
        <w:tc>
          <w:tcPr>
            <w:tcW w:type="dxa" w:w="1981"/>
          </w:tcPr>
          <w:p>
            <w:r/>
            <w:r>
              <w:rPr>
                <w:sz w:val="18"/>
              </w:rPr>
              <w:t>unicast-transport.test.ts (component)</w:t>
            </w:r>
          </w:p>
        </w:tc>
        <w:tc>
          <w:tcPr>
            <w:tcW w:type="dxa" w:w="1981"/>
          </w:tcPr>
          <w:p>
            <w:r/>
            <w:r>
              <w:rPr>
                <w:sz w:val="18"/>
              </w:rPr>
              <w:t>PASSED</w:t>
            </w:r>
          </w:p>
        </w:tc>
        <w:tc>
          <w:tcPr>
            <w:tcW w:type="dxa" w:w="1981"/>
          </w:tcPr>
          <w:p>
            <w:r/>
            <w:r>
              <w:rPr>
                <w:sz w:val="18"/>
              </w:rPr>
              <w:t>N/A</w:t>
            </w:r>
          </w:p>
        </w:tc>
      </w:tr>
      <w:tr>
        <w:tc>
          <w:tcPr>
            <w:tcW w:type="dxa" w:w="1981"/>
          </w:tcPr>
          <w:p>
            <w:r/>
            <w:r>
              <w:rPr>
                <w:sz w:val="18"/>
              </w:rPr>
              <w:t>FR1</w:t>
            </w:r>
          </w:p>
        </w:tc>
        <w:tc>
          <w:tcPr>
            <w:tcW w:type="dxa" w:w="1981"/>
          </w:tcPr>
          <w:p>
            <w:r/>
            <w:r>
              <w:rPr>
                <w:sz w:val="18"/>
              </w:rPr>
              <w:t>COND-06</w:t>
            </w:r>
          </w:p>
        </w:tc>
        <w:tc>
          <w:tcPr>
            <w:tcW w:type="dxa" w:w="1981"/>
          </w:tcPr>
          <w:p>
            <w:r/>
            <w:r>
              <w:rPr>
                <w:sz w:val="18"/>
              </w:rPr>
              <w:t>TC-02</w:t>
            </w:r>
          </w:p>
        </w:tc>
        <w:tc>
          <w:tcPr>
            <w:tcW w:type="dxa" w:w="1981"/>
          </w:tcPr>
          <w:p>
            <w:r/>
            <w:r>
              <w:rPr>
                <w:sz w:val="18"/>
              </w:rPr>
              <w:t>PASSED</w:t>
            </w:r>
          </w:p>
        </w:tc>
        <w:tc>
          <w:tcPr>
            <w:tcW w:type="dxa" w:w="1981"/>
          </w:tcPr>
          <w:p>
            <w:r/>
            <w:r>
              <w:rPr>
                <w:sz w:val="18"/>
              </w:rPr>
              <w:t>N/A</w:t>
            </w:r>
          </w:p>
        </w:tc>
      </w:tr>
      <w:tr>
        <w:tc>
          <w:tcPr>
            <w:tcW w:type="dxa" w:w="1981"/>
          </w:tcPr>
          <w:p>
            <w:r/>
            <w:r>
              <w:rPr>
                <w:sz w:val="18"/>
              </w:rPr>
              <w:t>FR1</w:t>
            </w:r>
          </w:p>
        </w:tc>
        <w:tc>
          <w:tcPr>
            <w:tcW w:type="dxa" w:w="1981"/>
          </w:tcPr>
          <w:p>
            <w:r/>
            <w:r>
              <w:rPr>
                <w:sz w:val="18"/>
              </w:rPr>
              <w:t>COND-07</w:t>
            </w:r>
          </w:p>
        </w:tc>
        <w:tc>
          <w:tcPr>
            <w:tcW w:type="dxa" w:w="1981"/>
          </w:tcPr>
          <w:p>
            <w:r/>
            <w:r>
              <w:rPr>
                <w:sz w:val="18"/>
              </w:rPr>
              <w:t>TC-03</w:t>
            </w:r>
          </w:p>
        </w:tc>
        <w:tc>
          <w:tcPr>
            <w:tcW w:type="dxa" w:w="1981"/>
          </w:tcPr>
          <w:p>
            <w:r/>
            <w:r>
              <w:rPr>
                <w:sz w:val="18"/>
              </w:rPr>
              <w:t>PASSED</w:t>
            </w:r>
          </w:p>
        </w:tc>
        <w:tc>
          <w:tcPr>
            <w:tcW w:type="dxa" w:w="1981"/>
          </w:tcPr>
          <w:p>
            <w:r/>
            <w:r>
              <w:rPr>
                <w:sz w:val="18"/>
              </w:rPr>
              <w:t>N/A</w:t>
            </w:r>
          </w:p>
        </w:tc>
      </w:tr>
      <w:tr>
        <w:tc>
          <w:tcPr>
            <w:tcW w:type="dxa" w:w="1981"/>
          </w:tcPr>
          <w:p>
            <w:r/>
            <w:r>
              <w:rPr>
                <w:sz w:val="18"/>
              </w:rPr>
              <w:t>FR1</w:t>
            </w:r>
          </w:p>
        </w:tc>
        <w:tc>
          <w:tcPr>
            <w:tcW w:type="dxa" w:w="1981"/>
          </w:tcPr>
          <w:p>
            <w:r/>
            <w:r>
              <w:rPr>
                <w:sz w:val="18"/>
              </w:rPr>
              <w:t>COND-08</w:t>
            </w:r>
          </w:p>
        </w:tc>
        <w:tc>
          <w:tcPr>
            <w:tcW w:type="dxa" w:w="1981"/>
          </w:tcPr>
          <w:p>
            <w:r/>
            <w:r>
              <w:rPr>
                <w:sz w:val="18"/>
              </w:rPr>
              <w:t>validator-and-sequence.test.ts (unit)</w:t>
            </w:r>
          </w:p>
        </w:tc>
        <w:tc>
          <w:tcPr>
            <w:tcW w:type="dxa" w:w="1981"/>
          </w:tcPr>
          <w:p>
            <w:r/>
            <w:r>
              <w:rPr>
                <w:sz w:val="18"/>
              </w:rPr>
              <w:t>PASSED</w:t>
            </w:r>
          </w:p>
        </w:tc>
        <w:tc>
          <w:tcPr>
            <w:tcW w:type="dxa" w:w="1981"/>
          </w:tcPr>
          <w:p>
            <w:r/>
            <w:r>
              <w:rPr>
                <w:sz w:val="18"/>
              </w:rPr>
              <w:t>N/A</w:t>
            </w:r>
          </w:p>
        </w:tc>
      </w:tr>
      <w:tr>
        <w:tc>
          <w:tcPr>
            <w:tcW w:type="dxa" w:w="1981"/>
          </w:tcPr>
          <w:p>
            <w:r/>
            <w:r>
              <w:rPr>
                <w:sz w:val="18"/>
              </w:rPr>
              <w:t>FR1</w:t>
            </w:r>
          </w:p>
        </w:tc>
        <w:tc>
          <w:tcPr>
            <w:tcW w:type="dxa" w:w="1981"/>
          </w:tcPr>
          <w:p>
            <w:r/>
            <w:r>
              <w:rPr>
                <w:sz w:val="18"/>
              </w:rPr>
              <w:t>COND-09</w:t>
            </w:r>
          </w:p>
        </w:tc>
        <w:tc>
          <w:tcPr>
            <w:tcW w:type="dxa" w:w="1981"/>
          </w:tcPr>
          <w:p>
            <w:r/>
            <w:r>
              <w:rPr>
                <w:sz w:val="18"/>
              </w:rPr>
              <w:t>unicast-transport.test.ts + fr1-unicast.test.ts</w:t>
            </w:r>
          </w:p>
        </w:tc>
        <w:tc>
          <w:tcPr>
            <w:tcW w:type="dxa" w:w="1981"/>
          </w:tcPr>
          <w:p>
            <w:r/>
            <w:r>
              <w:rPr>
                <w:sz w:val="18"/>
              </w:rPr>
              <w:t>PASSED</w:t>
            </w:r>
          </w:p>
        </w:tc>
        <w:tc>
          <w:tcPr>
            <w:tcW w:type="dxa" w:w="1981"/>
          </w:tcPr>
          <w:p>
            <w:r/>
            <w:r>
              <w:rPr>
                <w:sz w:val="18"/>
              </w:rPr>
              <w:t>N/A</w:t>
            </w:r>
          </w:p>
        </w:tc>
      </w:tr>
      <w:tr>
        <w:tc>
          <w:tcPr>
            <w:tcW w:type="dxa" w:w="1981"/>
          </w:tcPr>
          <w:p>
            <w:r/>
            <w:r>
              <w:rPr>
                <w:sz w:val="18"/>
              </w:rPr>
              <w:t>FR1</w:t>
            </w:r>
          </w:p>
        </w:tc>
        <w:tc>
          <w:tcPr>
            <w:tcW w:type="dxa" w:w="1981"/>
          </w:tcPr>
          <w:p>
            <w:r/>
            <w:r>
              <w:rPr>
                <w:sz w:val="18"/>
              </w:rPr>
              <w:t>COND-10</w:t>
            </w:r>
          </w:p>
        </w:tc>
        <w:tc>
          <w:tcPr>
            <w:tcW w:type="dxa" w:w="1981"/>
          </w:tcPr>
          <w:p>
            <w:r/>
            <w:r>
              <w:rPr>
                <w:sz w:val="18"/>
              </w:rPr>
              <w:t>TC-01</w:t>
            </w:r>
          </w:p>
        </w:tc>
        <w:tc>
          <w:tcPr>
            <w:tcW w:type="dxa" w:w="1981"/>
          </w:tcPr>
          <w:p>
            <w:r/>
            <w:r>
              <w:rPr>
                <w:sz w:val="18"/>
              </w:rPr>
              <w:t>PASSED</w:t>
            </w:r>
          </w:p>
        </w:tc>
        <w:tc>
          <w:tcPr>
            <w:tcW w:type="dxa" w:w="1981"/>
          </w:tcPr>
          <w:p>
            <w:r/>
            <w:r>
              <w:rPr>
                <w:sz w:val="18"/>
              </w:rPr>
              <w:t>N/A</w:t>
            </w:r>
          </w:p>
        </w:tc>
      </w:tr>
      <w:tr>
        <w:tc>
          <w:tcPr>
            <w:tcW w:type="dxa" w:w="1981"/>
          </w:tcPr>
          <w:p>
            <w:r/>
            <w:r>
              <w:rPr>
                <w:sz w:val="18"/>
              </w:rPr>
              <w:t>FR2 — 3.2.2.3–.6, .9</w:t>
            </w:r>
          </w:p>
        </w:tc>
        <w:tc>
          <w:tcPr>
            <w:tcW w:type="dxa" w:w="1981"/>
          </w:tcPr>
          <w:p>
            <w:r/>
            <w:r>
              <w:rPr>
                <w:sz w:val="18"/>
              </w:rPr>
              <w:t>COND-11… 13</w:t>
            </w:r>
          </w:p>
        </w:tc>
        <w:tc>
          <w:tcPr>
            <w:tcW w:type="dxa" w:w="1981"/>
          </w:tcPr>
          <w:p>
            <w:r/>
            <w:r>
              <w:rPr>
                <w:sz w:val="18"/>
              </w:rPr>
              <w:t>membership-and-multicast.test.ts (component)</w:t>
            </w:r>
          </w:p>
        </w:tc>
        <w:tc>
          <w:tcPr>
            <w:tcW w:type="dxa" w:w="1981"/>
          </w:tcPr>
          <w:p>
            <w:r/>
            <w:r>
              <w:rPr>
                <w:sz w:val="18"/>
              </w:rPr>
              <w:t>PASSED</w:t>
            </w:r>
          </w:p>
        </w:tc>
        <w:tc>
          <w:tcPr>
            <w:tcW w:type="dxa" w:w="1981"/>
          </w:tcPr>
          <w:p>
            <w:r/>
            <w:r>
              <w:rPr>
                <w:sz w:val="18"/>
              </w:rPr>
              <w:t>N/A</w:t>
            </w:r>
          </w:p>
        </w:tc>
      </w:tr>
      <w:tr>
        <w:tc>
          <w:tcPr>
            <w:tcW w:type="dxa" w:w="1981"/>
          </w:tcPr>
          <w:p>
            <w:r/>
            <w:r>
              <w:rPr>
                <w:sz w:val="18"/>
              </w:rPr>
              <w:t>FR2</w:t>
            </w:r>
          </w:p>
        </w:tc>
        <w:tc>
          <w:tcPr>
            <w:tcW w:type="dxa" w:w="1981"/>
          </w:tcPr>
          <w:p>
            <w:r/>
            <w:r>
              <w:rPr>
                <w:sz w:val="18"/>
              </w:rPr>
              <w:t>COND-14</w:t>
            </w:r>
          </w:p>
        </w:tc>
        <w:tc>
          <w:tcPr>
            <w:tcW w:type="dxa" w:w="1981"/>
          </w:tcPr>
          <w:p>
            <w:r/>
            <w:r>
              <w:rPr>
                <w:sz w:val="18"/>
              </w:rPr>
              <w:t>fr2-6-7.test.ts (integration)</w:t>
            </w:r>
          </w:p>
        </w:tc>
        <w:tc>
          <w:tcPr>
            <w:tcW w:type="dxa" w:w="1981"/>
          </w:tcPr>
          <w:p>
            <w:r/>
            <w:r>
              <w:rPr>
                <w:sz w:val="18"/>
              </w:rPr>
              <w:t>PASSED</w:t>
            </w:r>
          </w:p>
        </w:tc>
        <w:tc>
          <w:tcPr>
            <w:tcW w:type="dxa" w:w="1981"/>
          </w:tcPr>
          <w:p>
            <w:r/>
            <w:r>
              <w:rPr>
                <w:sz w:val="18"/>
              </w:rPr>
              <w:t>N/A</w:t>
            </w:r>
          </w:p>
        </w:tc>
      </w:tr>
      <w:tr>
        <w:tc>
          <w:tcPr>
            <w:tcW w:type="dxa" w:w="1981"/>
          </w:tcPr>
          <w:p>
            <w:r/>
            <w:r>
              <w:rPr>
                <w:sz w:val="18"/>
              </w:rPr>
              <w:t>FR2</w:t>
            </w:r>
          </w:p>
        </w:tc>
        <w:tc>
          <w:tcPr>
            <w:tcW w:type="dxa" w:w="1981"/>
          </w:tcPr>
          <w:p>
            <w:r/>
            <w:r>
              <w:rPr>
                <w:sz w:val="18"/>
              </w:rPr>
              <w:t>COND-15</w:t>
            </w:r>
          </w:p>
        </w:tc>
        <w:tc>
          <w:tcPr>
            <w:tcW w:type="dxa" w:w="1981"/>
          </w:tcPr>
          <w:p>
            <w:r/>
            <w:r>
              <w:rPr>
                <w:sz w:val="18"/>
              </w:rPr>
              <w:t>fr2-fr3-delivery.test.ts (integration)</w:t>
            </w:r>
          </w:p>
        </w:tc>
        <w:tc>
          <w:tcPr>
            <w:tcW w:type="dxa" w:w="1981"/>
          </w:tcPr>
          <w:p>
            <w:r/>
            <w:r>
              <w:rPr>
                <w:sz w:val="18"/>
              </w:rPr>
              <w:t>PASSED</w:t>
            </w:r>
          </w:p>
        </w:tc>
        <w:tc>
          <w:tcPr>
            <w:tcW w:type="dxa" w:w="1981"/>
          </w:tcPr>
          <w:p>
            <w:r/>
            <w:r>
              <w:rPr>
                <w:sz w:val="18"/>
              </w:rPr>
              <w:t>N/A</w:t>
            </w:r>
          </w:p>
        </w:tc>
      </w:tr>
      <w:tr>
        <w:tc>
          <w:tcPr>
            <w:tcW w:type="dxa" w:w="1981"/>
          </w:tcPr>
          <w:p>
            <w:r/>
            <w:r>
              <w:rPr>
                <w:sz w:val="18"/>
              </w:rPr>
              <w:t>FR2</w:t>
            </w:r>
          </w:p>
        </w:tc>
        <w:tc>
          <w:tcPr>
            <w:tcW w:type="dxa" w:w="1981"/>
          </w:tcPr>
          <w:p>
            <w:r/>
            <w:r>
              <w:rPr>
                <w:sz w:val="18"/>
              </w:rPr>
              <w:t>COND-16</w:t>
            </w:r>
          </w:p>
        </w:tc>
        <w:tc>
          <w:tcPr>
            <w:tcW w:type="dxa" w:w="1981"/>
          </w:tcPr>
          <w:p>
            <w:r/>
            <w:r>
              <w:rPr>
                <w:sz w:val="18"/>
              </w:rPr>
              <w:t>TC-06</w:t>
            </w:r>
          </w:p>
        </w:tc>
        <w:tc>
          <w:tcPr>
            <w:tcW w:type="dxa" w:w="1981"/>
          </w:tcPr>
          <w:p>
            <w:r/>
            <w:r>
              <w:rPr>
                <w:sz w:val="18"/>
              </w:rPr>
              <w:t>PASSED</w:t>
            </w:r>
          </w:p>
        </w:tc>
        <w:tc>
          <w:tcPr>
            <w:tcW w:type="dxa" w:w="1981"/>
          </w:tcPr>
          <w:p>
            <w:r/>
            <w:r>
              <w:rPr>
                <w:sz w:val="18"/>
              </w:rPr>
              <w:t>N/A</w:t>
            </w:r>
          </w:p>
        </w:tc>
      </w:tr>
      <w:tr>
        <w:tc>
          <w:tcPr>
            <w:tcW w:type="dxa" w:w="1981"/>
          </w:tcPr>
          <w:p>
            <w:r/>
            <w:r>
              <w:rPr>
                <w:sz w:val="18"/>
              </w:rPr>
              <w:t>FR2</w:t>
            </w:r>
          </w:p>
        </w:tc>
        <w:tc>
          <w:tcPr>
            <w:tcW w:type="dxa" w:w="1981"/>
          </w:tcPr>
          <w:p>
            <w:r/>
            <w:r>
              <w:rPr>
                <w:sz w:val="18"/>
              </w:rPr>
              <w:t>COND-17</w:t>
            </w:r>
          </w:p>
        </w:tc>
        <w:tc>
          <w:tcPr>
            <w:tcW w:type="dxa" w:w="1981"/>
          </w:tcPr>
          <w:p>
            <w:r/>
            <w:r>
              <w:rPr>
                <w:sz w:val="18"/>
              </w:rPr>
              <w:t>TC-04</w:t>
            </w:r>
          </w:p>
        </w:tc>
        <w:tc>
          <w:tcPr>
            <w:tcW w:type="dxa" w:w="1981"/>
          </w:tcPr>
          <w:p>
            <w:r/>
            <w:r>
              <w:rPr>
                <w:sz w:val="18"/>
              </w:rPr>
              <w:t>PASSED</w:t>
            </w:r>
          </w:p>
        </w:tc>
        <w:tc>
          <w:tcPr>
            <w:tcW w:type="dxa" w:w="1981"/>
          </w:tcPr>
          <w:p>
            <w:r/>
            <w:r>
              <w:rPr>
                <w:sz w:val="18"/>
              </w:rPr>
              <w:t>N/A</w:t>
            </w:r>
          </w:p>
        </w:tc>
      </w:tr>
      <w:tr>
        <w:tc>
          <w:tcPr>
            <w:tcW w:type="dxa" w:w="1981"/>
          </w:tcPr>
          <w:p>
            <w:r/>
            <w:r>
              <w:rPr>
                <w:sz w:val="18"/>
              </w:rPr>
              <w:t>FR2</w:t>
            </w:r>
          </w:p>
        </w:tc>
        <w:tc>
          <w:tcPr>
            <w:tcW w:type="dxa" w:w="1981"/>
          </w:tcPr>
          <w:p>
            <w:r/>
            <w:r>
              <w:rPr>
                <w:sz w:val="18"/>
              </w:rPr>
              <w:t>COND-18</w:t>
            </w:r>
          </w:p>
        </w:tc>
        <w:tc>
          <w:tcPr>
            <w:tcW w:type="dxa" w:w="1981"/>
          </w:tcPr>
          <w:p>
            <w:r/>
            <w:r>
              <w:rPr>
                <w:sz w:val="18"/>
              </w:rPr>
              <w:t>TC-05</w:t>
            </w:r>
          </w:p>
        </w:tc>
        <w:tc>
          <w:tcPr>
            <w:tcW w:type="dxa" w:w="1981"/>
          </w:tcPr>
          <w:p>
            <w:r/>
            <w:r>
              <w:rPr>
                <w:sz w:val="18"/>
              </w:rPr>
              <w:t>PASSED</w:t>
            </w:r>
          </w:p>
        </w:tc>
        <w:tc>
          <w:tcPr>
            <w:tcW w:type="dxa" w:w="1981"/>
          </w:tcPr>
          <w:p>
            <w:r/>
            <w:r>
              <w:rPr>
                <w:sz w:val="18"/>
              </w:rPr>
              <w:t>N/A</w:t>
            </w:r>
          </w:p>
        </w:tc>
      </w:tr>
      <w:tr>
        <w:tc>
          <w:tcPr>
            <w:tcW w:type="dxa" w:w="1981"/>
          </w:tcPr>
          <w:p>
            <w:r/>
            <w:r>
              <w:rPr>
                <w:sz w:val="18"/>
              </w:rPr>
              <w:t>FR3 — 3.2.2.1, .2, .7, .8</w:t>
            </w:r>
          </w:p>
        </w:tc>
        <w:tc>
          <w:tcPr>
            <w:tcW w:type="dxa" w:w="1981"/>
          </w:tcPr>
          <w:p>
            <w:r/>
            <w:r>
              <w:rPr>
                <w:sz w:val="18"/>
              </w:rPr>
              <w:t>COND-19, 25</w:t>
            </w:r>
          </w:p>
        </w:tc>
        <w:tc>
          <w:tcPr>
            <w:tcW w:type="dxa" w:w="1981"/>
          </w:tcPr>
          <w:p>
            <w:r/>
            <w:r>
              <w:rPr>
                <w:sz w:val="18"/>
              </w:rPr>
              <w:t>framing.test.ts (unit)</w:t>
            </w:r>
          </w:p>
        </w:tc>
        <w:tc>
          <w:tcPr>
            <w:tcW w:type="dxa" w:w="1981"/>
          </w:tcPr>
          <w:p>
            <w:r/>
            <w:r>
              <w:rPr>
                <w:sz w:val="18"/>
              </w:rPr>
              <w:t>PASSED</w:t>
            </w:r>
          </w:p>
        </w:tc>
        <w:tc>
          <w:tcPr>
            <w:tcW w:type="dxa" w:w="1981"/>
          </w:tcPr>
          <w:p>
            <w:r/>
            <w:r>
              <w:rPr>
                <w:sz w:val="18"/>
              </w:rPr>
              <w:t>N/A</w:t>
            </w:r>
          </w:p>
        </w:tc>
      </w:tr>
      <w:tr>
        <w:tc>
          <w:tcPr>
            <w:tcW w:type="dxa" w:w="1981"/>
          </w:tcPr>
          <w:p>
            <w:r/>
            <w:r>
              <w:rPr>
                <w:sz w:val="18"/>
              </w:rPr>
              <w:t>FR3</w:t>
            </w:r>
          </w:p>
        </w:tc>
        <w:tc>
          <w:tcPr>
            <w:tcW w:type="dxa" w:w="1981"/>
          </w:tcPr>
          <w:p>
            <w:r/>
            <w:r>
              <w:rPr>
                <w:sz w:val="18"/>
              </w:rPr>
              <w:t>COND-20</w:t>
            </w:r>
          </w:p>
        </w:tc>
        <w:tc>
          <w:tcPr>
            <w:tcW w:type="dxa" w:w="1981"/>
          </w:tcPr>
          <w:p>
            <w:r/>
            <w:r>
              <w:rPr>
                <w:sz w:val="18"/>
              </w:rPr>
              <w:t>membership-and-multicast.test.ts (component)</w:t>
            </w:r>
          </w:p>
        </w:tc>
        <w:tc>
          <w:tcPr>
            <w:tcW w:type="dxa" w:w="1981"/>
          </w:tcPr>
          <w:p>
            <w:r/>
            <w:r>
              <w:rPr>
                <w:sz w:val="18"/>
              </w:rPr>
              <w:t>PASSED</w:t>
            </w:r>
          </w:p>
        </w:tc>
        <w:tc>
          <w:tcPr>
            <w:tcW w:type="dxa" w:w="1981"/>
          </w:tcPr>
          <w:p>
            <w:r/>
            <w:r>
              <w:rPr>
                <w:sz w:val="18"/>
              </w:rPr>
              <w:t>N/A</w:t>
            </w:r>
          </w:p>
        </w:tc>
      </w:tr>
      <w:tr>
        <w:tc>
          <w:tcPr>
            <w:tcW w:type="dxa" w:w="1981"/>
          </w:tcPr>
          <w:p>
            <w:r/>
            <w:r>
              <w:rPr>
                <w:sz w:val="18"/>
              </w:rPr>
              <w:t>FR3</w:t>
            </w:r>
          </w:p>
        </w:tc>
        <w:tc>
          <w:tcPr>
            <w:tcW w:type="dxa" w:w="1981"/>
          </w:tcPr>
          <w:p>
            <w:r/>
            <w:r>
              <w:rPr>
                <w:sz w:val="18"/>
              </w:rPr>
              <w:t>COND-21</w:t>
            </w:r>
          </w:p>
        </w:tc>
        <w:tc>
          <w:tcPr>
            <w:tcW w:type="dxa" w:w="1981"/>
          </w:tcPr>
          <w:p>
            <w:r/>
            <w:r>
              <w:rPr>
                <w:sz w:val="18"/>
              </w:rPr>
              <w:t>TC-07</w:t>
            </w:r>
          </w:p>
        </w:tc>
        <w:tc>
          <w:tcPr>
            <w:tcW w:type="dxa" w:w="1981"/>
          </w:tcPr>
          <w:p>
            <w:r/>
            <w:r>
              <w:rPr>
                <w:sz w:val="18"/>
              </w:rPr>
              <w:t>PASSED</w:t>
            </w:r>
          </w:p>
        </w:tc>
        <w:tc>
          <w:tcPr>
            <w:tcW w:type="dxa" w:w="1981"/>
          </w:tcPr>
          <w:p>
            <w:r/>
            <w:r>
              <w:rPr>
                <w:sz w:val="18"/>
              </w:rPr>
              <w:t>N/A</w:t>
            </w:r>
          </w:p>
        </w:tc>
      </w:tr>
      <w:tr>
        <w:tc>
          <w:tcPr>
            <w:tcW w:type="dxa" w:w="1981"/>
          </w:tcPr>
          <w:p>
            <w:r/>
            <w:r>
              <w:rPr>
                <w:sz w:val="18"/>
              </w:rPr>
              <w:t>FR3</w:t>
            </w:r>
          </w:p>
        </w:tc>
        <w:tc>
          <w:tcPr>
            <w:tcW w:type="dxa" w:w="1981"/>
          </w:tcPr>
          <w:p>
            <w:r/>
            <w:r>
              <w:rPr>
                <w:sz w:val="18"/>
              </w:rPr>
              <w:t>COND-22</w:t>
            </w:r>
          </w:p>
        </w:tc>
        <w:tc>
          <w:tcPr>
            <w:tcW w:type="dxa" w:w="1981"/>
          </w:tcPr>
          <w:p>
            <w:r/>
            <w:r>
              <w:rPr>
                <w:sz w:val="18"/>
              </w:rPr>
              <w:t>TC-08</w:t>
            </w:r>
          </w:p>
        </w:tc>
        <w:tc>
          <w:tcPr>
            <w:tcW w:type="dxa" w:w="1981"/>
          </w:tcPr>
          <w:p>
            <w:r/>
            <w:r>
              <w:rPr>
                <w:sz w:val="18"/>
              </w:rPr>
              <w:t>FAILED (expected — environment limitation)</w:t>
            </w:r>
          </w:p>
        </w:tc>
        <w:tc>
          <w:tcPr>
            <w:tcW w:type="dxa" w:w="1981"/>
          </w:tcPr>
          <w:p>
            <w:r/>
            <w:r>
              <w:rPr>
                <w:sz w:val="18"/>
              </w:rPr>
              <w:t>N/A — see Part 4 §5.2</w:t>
            </w:r>
          </w:p>
        </w:tc>
      </w:tr>
      <w:tr>
        <w:tc>
          <w:tcPr>
            <w:tcW w:type="dxa" w:w="1981"/>
          </w:tcPr>
          <w:p>
            <w:r/>
            <w:r>
              <w:rPr>
                <w:sz w:val="18"/>
              </w:rPr>
              <w:t>FR3</w:t>
            </w:r>
          </w:p>
        </w:tc>
        <w:tc>
          <w:tcPr>
            <w:tcW w:type="dxa" w:w="1981"/>
          </w:tcPr>
          <w:p>
            <w:r/>
            <w:r>
              <w:rPr>
                <w:sz w:val="18"/>
              </w:rPr>
              <w:t>COND-23</w:t>
            </w:r>
          </w:p>
        </w:tc>
        <w:tc>
          <w:tcPr>
            <w:tcW w:type="dxa" w:w="1981"/>
          </w:tcPr>
          <w:p>
            <w:r/>
            <w:r>
              <w:rPr>
                <w:sz w:val="18"/>
              </w:rPr>
              <w:t>security-and-config.test.ts (component)</w:t>
            </w:r>
          </w:p>
        </w:tc>
        <w:tc>
          <w:tcPr>
            <w:tcW w:type="dxa" w:w="1981"/>
          </w:tcPr>
          <w:p>
            <w:r/>
            <w:r>
              <w:rPr>
                <w:sz w:val="18"/>
              </w:rPr>
              <w:t>PASSED</w:t>
            </w:r>
          </w:p>
        </w:tc>
        <w:tc>
          <w:tcPr>
            <w:tcW w:type="dxa" w:w="1981"/>
          </w:tcPr>
          <w:p>
            <w:r/>
            <w:r>
              <w:rPr>
                <w:sz w:val="18"/>
              </w:rPr>
              <w:t>N/A</w:t>
            </w:r>
          </w:p>
        </w:tc>
      </w:tr>
      <w:tr>
        <w:tc>
          <w:tcPr>
            <w:tcW w:type="dxa" w:w="1981"/>
          </w:tcPr>
          <w:p>
            <w:r/>
            <w:r>
              <w:rPr>
                <w:sz w:val="18"/>
              </w:rPr>
              <w:t>FR3</w:t>
            </w:r>
          </w:p>
        </w:tc>
        <w:tc>
          <w:tcPr>
            <w:tcW w:type="dxa" w:w="1981"/>
          </w:tcPr>
          <w:p>
            <w:r/>
            <w:r>
              <w:rPr>
                <w:sz w:val="18"/>
              </w:rPr>
              <w:t>COND-24</w:t>
            </w:r>
          </w:p>
        </w:tc>
        <w:tc>
          <w:tcPr>
            <w:tcW w:type="dxa" w:w="1981"/>
          </w:tcPr>
          <w:p>
            <w:r/>
            <w:r>
              <w:rPr>
                <w:sz w:val="18"/>
              </w:rPr>
              <w:t>TC-09</w:t>
            </w:r>
          </w:p>
        </w:tc>
        <w:tc>
          <w:tcPr>
            <w:tcW w:type="dxa" w:w="1981"/>
          </w:tcPr>
          <w:p>
            <w:r/>
            <w:r>
              <w:rPr>
                <w:sz w:val="18"/>
              </w:rPr>
              <w:t>PASSED</w:t>
            </w:r>
          </w:p>
        </w:tc>
        <w:tc>
          <w:tcPr>
            <w:tcW w:type="dxa" w:w="1981"/>
          </w:tcPr>
          <w:p>
            <w:r/>
            <w:r>
              <w:rPr>
                <w:sz w:val="18"/>
              </w:rPr>
              <w:t>N/A</w:t>
            </w:r>
          </w:p>
        </w:tc>
      </w:tr>
      <w:tr>
        <w:tc>
          <w:tcPr>
            <w:tcW w:type="dxa" w:w="1981"/>
          </w:tcPr>
          <w:p>
            <w:r/>
            <w:r>
              <w:rPr>
                <w:sz w:val="18"/>
              </w:rPr>
              <w:t>FR3</w:t>
            </w:r>
          </w:p>
        </w:tc>
        <w:tc>
          <w:tcPr>
            <w:tcW w:type="dxa" w:w="1981"/>
          </w:tcPr>
          <w:p>
            <w:r/>
            <w:r>
              <w:rPr>
                <w:sz w:val="18"/>
              </w:rPr>
              <w:t>COND-26</w:t>
            </w:r>
          </w:p>
        </w:tc>
        <w:tc>
          <w:tcPr>
            <w:tcW w:type="dxa" w:w="1981"/>
          </w:tcPr>
          <w:p>
            <w:r/>
            <w:r>
              <w:rPr>
                <w:sz w:val="18"/>
              </w:rPr>
              <w:t>fr2-fr3-delivery.test.ts (integration)</w:t>
            </w:r>
          </w:p>
        </w:tc>
        <w:tc>
          <w:tcPr>
            <w:tcW w:type="dxa" w:w="1981"/>
          </w:tcPr>
          <w:p>
            <w:r/>
            <w:r>
              <w:rPr>
                <w:sz w:val="18"/>
              </w:rPr>
              <w:t>PASSED</w:t>
            </w:r>
          </w:p>
        </w:tc>
        <w:tc>
          <w:tcPr>
            <w:tcW w:type="dxa" w:w="1981"/>
          </w:tcPr>
          <w:p>
            <w:r/>
            <w:r>
              <w:rPr>
                <w:sz w:val="18"/>
              </w:rPr>
              <w:t>N/A</w:t>
            </w:r>
          </w:p>
        </w:tc>
      </w:tr>
      <w:tr>
        <w:tc>
          <w:tcPr>
            <w:tcW w:type="dxa" w:w="1981"/>
          </w:tcPr>
          <w:p>
            <w:r/>
            <w:r>
              <w:rPr>
                <w:sz w:val="18"/>
              </w:rPr>
              <w:t>FR3</w:t>
            </w:r>
          </w:p>
        </w:tc>
        <w:tc>
          <w:tcPr>
            <w:tcW w:type="dxa" w:w="1981"/>
          </w:tcPr>
          <w:p>
            <w:r/>
            <w:r>
              <w:rPr>
                <w:sz w:val="18"/>
              </w:rPr>
              <w:t>COND-27</w:t>
            </w:r>
          </w:p>
        </w:tc>
        <w:tc>
          <w:tcPr>
            <w:tcW w:type="dxa" w:w="1981"/>
          </w:tcPr>
          <w:p>
            <w:r/>
            <w:r>
              <w:rPr>
                <w:sz w:val="18"/>
              </w:rPr>
              <w:t>observed during TC-04 multicast walkthrough</w:t>
            </w:r>
          </w:p>
        </w:tc>
        <w:tc>
          <w:tcPr>
            <w:tcW w:type="dxa" w:w="1981"/>
          </w:tcPr>
          <w:p>
            <w:r/>
            <w:r>
              <w:rPr>
                <w:sz w:val="18"/>
              </w:rPr>
              <w:t>PASSED (observed)</w:t>
            </w:r>
          </w:p>
        </w:tc>
        <w:tc>
          <w:tcPr>
            <w:tcW w:type="dxa" w:w="1981"/>
          </w:tcPr>
          <w:p>
            <w:r/>
            <w:r>
              <w:rPr>
                <w:sz w:val="18"/>
              </w:rPr>
              <w:t>N/A</w:t>
            </w:r>
          </w:p>
        </w:tc>
      </w:tr>
      <w:tr>
        <w:tc>
          <w:tcPr>
            <w:tcW w:type="dxa" w:w="1981"/>
          </w:tcPr>
          <w:p>
            <w:r/>
            <w:r>
              <w:rPr>
                <w:sz w:val="18"/>
              </w:rPr>
              <w:t>FR4 — 3.2.3.1–.3</w:t>
            </w:r>
          </w:p>
        </w:tc>
        <w:tc>
          <w:tcPr>
            <w:tcW w:type="dxa" w:w="1981"/>
          </w:tcPr>
          <w:p>
            <w:r/>
            <w:r>
              <w:rPr>
                <w:sz w:val="18"/>
              </w:rPr>
              <w:t>COND-28, 31, 32</w:t>
            </w:r>
          </w:p>
        </w:tc>
        <w:tc>
          <w:tcPr>
            <w:tcW w:type="dxa" w:w="1981"/>
          </w:tcPr>
          <w:p>
            <w:r/>
            <w:r>
              <w:rPr>
                <w:sz w:val="18"/>
              </w:rPr>
              <w:t>broadcast-keyholder-misc.test.ts (component)</w:t>
            </w:r>
          </w:p>
        </w:tc>
        <w:tc>
          <w:tcPr>
            <w:tcW w:type="dxa" w:w="1981"/>
          </w:tcPr>
          <w:p>
            <w:r/>
            <w:r>
              <w:rPr>
                <w:sz w:val="18"/>
              </w:rPr>
              <w:t>PASSED</w:t>
            </w:r>
          </w:p>
        </w:tc>
        <w:tc>
          <w:tcPr>
            <w:tcW w:type="dxa" w:w="1981"/>
          </w:tcPr>
          <w:p>
            <w:r/>
            <w:r>
              <w:rPr>
                <w:sz w:val="18"/>
              </w:rPr>
              <w:t>N/A</w:t>
            </w:r>
          </w:p>
        </w:tc>
      </w:tr>
      <w:tr>
        <w:tc>
          <w:tcPr>
            <w:tcW w:type="dxa" w:w="1981"/>
          </w:tcPr>
          <w:p>
            <w:r/>
            <w:r>
              <w:rPr>
                <w:sz w:val="18"/>
              </w:rPr>
              <w:t>FR4</w:t>
            </w:r>
          </w:p>
        </w:tc>
        <w:tc>
          <w:tcPr>
            <w:tcW w:type="dxa" w:w="1981"/>
          </w:tcPr>
          <w:p>
            <w:r/>
            <w:r>
              <w:rPr>
                <w:sz w:val="18"/>
              </w:rPr>
              <w:t>COND-29</w:t>
            </w:r>
          </w:p>
        </w:tc>
        <w:tc>
          <w:tcPr>
            <w:tcW w:type="dxa" w:w="1981"/>
          </w:tcPr>
          <w:p>
            <w:r/>
            <w:r>
              <w:rPr>
                <w:sz w:val="18"/>
              </w:rPr>
              <w:t>TC-10</w:t>
            </w:r>
          </w:p>
        </w:tc>
        <w:tc>
          <w:tcPr>
            <w:tcW w:type="dxa" w:w="1981"/>
          </w:tcPr>
          <w:p>
            <w:r/>
            <w:r>
              <w:rPr>
                <w:sz w:val="18"/>
              </w:rPr>
              <w:t>PASSED</w:t>
            </w:r>
          </w:p>
        </w:tc>
        <w:tc>
          <w:tcPr>
            <w:tcW w:type="dxa" w:w="1981"/>
          </w:tcPr>
          <w:p>
            <w:r/>
            <w:r>
              <w:rPr>
                <w:sz w:val="18"/>
              </w:rPr>
              <w:t>N/A</w:t>
            </w:r>
          </w:p>
        </w:tc>
      </w:tr>
      <w:tr>
        <w:tc>
          <w:tcPr>
            <w:tcW w:type="dxa" w:w="1981"/>
          </w:tcPr>
          <w:p>
            <w:r/>
            <w:r>
              <w:rPr>
                <w:sz w:val="18"/>
              </w:rPr>
              <w:t>FR4</w:t>
            </w:r>
          </w:p>
        </w:tc>
        <w:tc>
          <w:tcPr>
            <w:tcW w:type="dxa" w:w="1981"/>
          </w:tcPr>
          <w:p>
            <w:r/>
            <w:r>
              <w:rPr>
                <w:sz w:val="18"/>
              </w:rPr>
              <w:t>COND-30</w:t>
            </w:r>
          </w:p>
        </w:tc>
        <w:tc>
          <w:tcPr>
            <w:tcW w:type="dxa" w:w="1981"/>
          </w:tcPr>
          <w:p>
            <w:r/>
            <w:r>
              <w:rPr>
                <w:sz w:val="18"/>
              </w:rPr>
              <w:t>TC-11</w:t>
            </w:r>
          </w:p>
        </w:tc>
        <w:tc>
          <w:tcPr>
            <w:tcW w:type="dxa" w:w="1981"/>
          </w:tcPr>
          <w:p>
            <w:r/>
            <w:r>
              <w:rPr>
                <w:sz w:val="18"/>
              </w:rPr>
              <w:t>BLOCKED (single-host precondition unmet)</w:t>
            </w:r>
          </w:p>
        </w:tc>
        <w:tc>
          <w:tcPr>
            <w:tcW w:type="dxa" w:w="1981"/>
          </w:tcPr>
          <w:p>
            <w:r/>
            <w:r>
              <w:rPr>
                <w:sz w:val="18"/>
              </w:rPr>
              <w:t>N/A — see Part 4 §5.2</w:t>
            </w:r>
          </w:p>
        </w:tc>
      </w:tr>
      <w:tr>
        <w:tc>
          <w:tcPr>
            <w:tcW w:type="dxa" w:w="1981"/>
          </w:tcPr>
          <w:p>
            <w:r/>
            <w:r>
              <w:rPr>
                <w:sz w:val="18"/>
              </w:rPr>
              <w:t>FR4</w:t>
            </w:r>
          </w:p>
        </w:tc>
        <w:tc>
          <w:tcPr>
            <w:tcW w:type="dxa" w:w="1981"/>
          </w:tcPr>
          <w:p>
            <w:r/>
            <w:r>
              <w:rPr>
                <w:sz w:val="18"/>
              </w:rPr>
              <w:t>COND-33</w:t>
            </w:r>
          </w:p>
        </w:tc>
        <w:tc>
          <w:tcPr>
            <w:tcW w:type="dxa" w:w="1981"/>
          </w:tcPr>
          <w:p>
            <w:r/>
            <w:r>
              <w:rPr>
                <w:sz w:val="18"/>
              </w:rPr>
              <w:t>folded into TC-10 (UC4 walkthrough)</w:t>
            </w:r>
          </w:p>
        </w:tc>
        <w:tc>
          <w:tcPr>
            <w:tcW w:type="dxa" w:w="1981"/>
          </w:tcPr>
          <w:p>
            <w:r/>
            <w:r>
              <w:rPr>
                <w:sz w:val="18"/>
              </w:rPr>
              <w:t>PASSED</w:t>
            </w:r>
          </w:p>
        </w:tc>
        <w:tc>
          <w:tcPr>
            <w:tcW w:type="dxa" w:w="1981"/>
          </w:tcPr>
          <w:p>
            <w:r/>
            <w:r>
              <w:rPr>
                <w:sz w:val="18"/>
              </w:rPr>
              <w:t>N/A</w:t>
            </w:r>
          </w:p>
        </w:tc>
      </w:tr>
      <w:tr>
        <w:tc>
          <w:tcPr>
            <w:tcW w:type="dxa" w:w="1981"/>
          </w:tcPr>
          <w:p>
            <w:r/>
            <w:r>
              <w:rPr>
                <w:sz w:val="18"/>
              </w:rPr>
              <w:t>FR5 — 3.2.4.1–.4</w:t>
            </w:r>
          </w:p>
        </w:tc>
        <w:tc>
          <w:tcPr>
            <w:tcW w:type="dxa" w:w="1981"/>
          </w:tcPr>
          <w:p>
            <w:r/>
            <w:r>
              <w:rPr>
                <w:sz w:val="18"/>
              </w:rPr>
              <w:t>COND-34, 35, 36, 54</w:t>
            </w:r>
          </w:p>
        </w:tc>
        <w:tc>
          <w:tcPr>
            <w:tcW w:type="dxa" w:w="1981"/>
          </w:tcPr>
          <w:p>
            <w:r/>
            <w:r>
              <w:rPr>
                <w:sz w:val="18"/>
              </w:rPr>
              <w:t>crypto.test.ts (unit)</w:t>
            </w:r>
          </w:p>
        </w:tc>
        <w:tc>
          <w:tcPr>
            <w:tcW w:type="dxa" w:w="1981"/>
          </w:tcPr>
          <w:p>
            <w:r/>
            <w:r>
              <w:rPr>
                <w:sz w:val="18"/>
              </w:rPr>
              <w:t>PASSED</w:t>
            </w:r>
          </w:p>
        </w:tc>
        <w:tc>
          <w:tcPr>
            <w:tcW w:type="dxa" w:w="1981"/>
          </w:tcPr>
          <w:p>
            <w:r/>
            <w:r>
              <w:rPr>
                <w:sz w:val="18"/>
              </w:rPr>
              <w:t>N/A</w:t>
            </w:r>
          </w:p>
        </w:tc>
      </w:tr>
      <w:tr>
        <w:tc>
          <w:tcPr>
            <w:tcW w:type="dxa" w:w="1981"/>
          </w:tcPr>
          <w:p>
            <w:r/>
            <w:r>
              <w:rPr>
                <w:sz w:val="18"/>
              </w:rPr>
              <w:t>FR5</w:t>
            </w:r>
          </w:p>
        </w:tc>
        <w:tc>
          <w:tcPr>
            <w:tcW w:type="dxa" w:w="1981"/>
          </w:tcPr>
          <w:p>
            <w:r/>
            <w:r>
              <w:rPr>
                <w:sz w:val="18"/>
              </w:rPr>
              <w:t>COND-37</w:t>
            </w:r>
          </w:p>
        </w:tc>
        <w:tc>
          <w:tcPr>
            <w:tcW w:type="dxa" w:w="1981"/>
          </w:tcPr>
          <w:p>
            <w:r/>
            <w:r>
              <w:rPr>
                <w:sz w:val="18"/>
              </w:rPr>
              <w:t>TC-12</w:t>
            </w:r>
          </w:p>
        </w:tc>
        <w:tc>
          <w:tcPr>
            <w:tcW w:type="dxa" w:w="1981"/>
          </w:tcPr>
          <w:p>
            <w:r/>
            <w:r>
              <w:rPr>
                <w:sz w:val="18"/>
              </w:rPr>
              <w:t>PASSED</w:t>
            </w:r>
          </w:p>
        </w:tc>
        <w:tc>
          <w:tcPr>
            <w:tcW w:type="dxa" w:w="1981"/>
          </w:tcPr>
          <w:p>
            <w:r/>
            <w:r>
              <w:rPr>
                <w:sz w:val="18"/>
              </w:rPr>
              <w:t>N/A</w:t>
            </w:r>
          </w:p>
        </w:tc>
      </w:tr>
      <w:tr>
        <w:tc>
          <w:tcPr>
            <w:tcW w:type="dxa" w:w="1981"/>
          </w:tcPr>
          <w:p>
            <w:r/>
            <w:r>
              <w:rPr>
                <w:sz w:val="18"/>
              </w:rPr>
              <w:t>FR5</w:t>
            </w:r>
          </w:p>
        </w:tc>
        <w:tc>
          <w:tcPr>
            <w:tcW w:type="dxa" w:w="1981"/>
          </w:tcPr>
          <w:p>
            <w:r/>
            <w:r>
              <w:rPr>
                <w:sz w:val="18"/>
              </w:rPr>
              <w:t>COND-38, 39</w:t>
            </w:r>
          </w:p>
        </w:tc>
        <w:tc>
          <w:tcPr>
            <w:tcW w:type="dxa" w:w="1981"/>
          </w:tcPr>
          <w:p>
            <w:r/>
            <w:r>
              <w:rPr>
                <w:sz w:val="18"/>
              </w:rPr>
              <w:t>TC-13</w:t>
            </w:r>
          </w:p>
        </w:tc>
        <w:tc>
          <w:tcPr>
            <w:tcW w:type="dxa" w:w="1981"/>
          </w:tcPr>
          <w:p>
            <w:r/>
            <w:r>
              <w:rPr>
                <w:sz w:val="18"/>
              </w:rPr>
              <w:t>PASSED</w:t>
            </w:r>
          </w:p>
        </w:tc>
        <w:tc>
          <w:tcPr>
            <w:tcW w:type="dxa" w:w="1981"/>
          </w:tcPr>
          <w:p>
            <w:r/>
            <w:r>
              <w:rPr>
                <w:sz w:val="18"/>
              </w:rPr>
              <w:t>N/A</w:t>
            </w:r>
          </w:p>
        </w:tc>
      </w:tr>
      <w:tr>
        <w:tc>
          <w:tcPr>
            <w:tcW w:type="dxa" w:w="1981"/>
          </w:tcPr>
          <w:p>
            <w:r/>
            <w:r>
              <w:rPr>
                <w:sz w:val="18"/>
              </w:rPr>
              <w:t>FR5</w:t>
            </w:r>
          </w:p>
        </w:tc>
        <w:tc>
          <w:tcPr>
            <w:tcW w:type="dxa" w:w="1981"/>
          </w:tcPr>
          <w:p>
            <w:r/>
            <w:r>
              <w:rPr>
                <w:sz w:val="18"/>
              </w:rPr>
              <w:t>COND-40</w:t>
            </w:r>
          </w:p>
        </w:tc>
        <w:tc>
          <w:tcPr>
            <w:tcW w:type="dxa" w:w="1981"/>
          </w:tcPr>
          <w:p>
            <w:r/>
            <w:r>
              <w:rPr>
                <w:sz w:val="18"/>
              </w:rPr>
              <w:t>crypto.test.ts + security-and-config.test.ts</w:t>
            </w:r>
          </w:p>
        </w:tc>
        <w:tc>
          <w:tcPr>
            <w:tcW w:type="dxa" w:w="1981"/>
          </w:tcPr>
          <w:p>
            <w:r/>
            <w:r>
              <w:rPr>
                <w:sz w:val="18"/>
              </w:rPr>
              <w:t>PASSED</w:t>
            </w:r>
          </w:p>
        </w:tc>
        <w:tc>
          <w:tcPr>
            <w:tcW w:type="dxa" w:w="1981"/>
          </w:tcPr>
          <w:p>
            <w:r/>
            <w:r>
              <w:rPr>
                <w:sz w:val="18"/>
              </w:rPr>
              <w:t>N/A</w:t>
            </w:r>
          </w:p>
        </w:tc>
      </w:tr>
      <w:tr>
        <w:tc>
          <w:tcPr>
            <w:tcW w:type="dxa" w:w="1981"/>
          </w:tcPr>
          <w:p>
            <w:r/>
            <w:r>
              <w:rPr>
                <w:sz w:val="18"/>
              </w:rPr>
              <w:t>FR6 — 3.2.4.5, .6</w:t>
            </w:r>
          </w:p>
        </w:tc>
        <w:tc>
          <w:tcPr>
            <w:tcW w:type="dxa" w:w="1981"/>
          </w:tcPr>
          <w:p>
            <w:r/>
            <w:r>
              <w:rPr>
                <w:sz w:val="18"/>
              </w:rPr>
              <w:t>COND-41, 42</w:t>
            </w:r>
          </w:p>
        </w:tc>
        <w:tc>
          <w:tcPr>
            <w:tcW w:type="dxa" w:w="1981"/>
          </w:tcPr>
          <w:p>
            <w:r/>
            <w:r>
              <w:rPr>
                <w:sz w:val="18"/>
              </w:rPr>
              <w:t>TC-14</w:t>
            </w:r>
          </w:p>
        </w:tc>
        <w:tc>
          <w:tcPr>
            <w:tcW w:type="dxa" w:w="1981"/>
          </w:tcPr>
          <w:p>
            <w:r/>
            <w:r>
              <w:rPr>
                <w:sz w:val="18"/>
              </w:rPr>
              <w:t>PASSED</w:t>
            </w:r>
          </w:p>
        </w:tc>
        <w:tc>
          <w:tcPr>
            <w:tcW w:type="dxa" w:w="1981"/>
          </w:tcPr>
          <w:p>
            <w:r/>
            <w:r>
              <w:rPr>
                <w:sz w:val="18"/>
              </w:rPr>
              <w:t>N/A</w:t>
            </w:r>
          </w:p>
        </w:tc>
      </w:tr>
      <w:tr>
        <w:tc>
          <w:tcPr>
            <w:tcW w:type="dxa" w:w="1981"/>
          </w:tcPr>
          <w:p>
            <w:r/>
            <w:r>
              <w:rPr>
                <w:sz w:val="18"/>
              </w:rPr>
              <w:t>FR6</w:t>
            </w:r>
          </w:p>
        </w:tc>
        <w:tc>
          <w:tcPr>
            <w:tcW w:type="dxa" w:w="1981"/>
          </w:tcPr>
          <w:p>
            <w:r/>
            <w:r>
              <w:rPr>
                <w:sz w:val="18"/>
              </w:rPr>
              <w:t>COND-43, 44, 45</w:t>
            </w:r>
          </w:p>
        </w:tc>
        <w:tc>
          <w:tcPr>
            <w:tcW w:type="dxa" w:w="1981"/>
          </w:tcPr>
          <w:p>
            <w:r/>
            <w:r>
              <w:rPr>
                <w:sz w:val="18"/>
              </w:rPr>
              <w:t>fr5-fr6-security.test.ts (integration)</w:t>
            </w:r>
          </w:p>
        </w:tc>
        <w:tc>
          <w:tcPr>
            <w:tcW w:type="dxa" w:w="1981"/>
          </w:tcPr>
          <w:p>
            <w:r/>
            <w:r>
              <w:rPr>
                <w:sz w:val="18"/>
              </w:rPr>
              <w:t>PASSED</w:t>
            </w:r>
          </w:p>
        </w:tc>
        <w:tc>
          <w:tcPr>
            <w:tcW w:type="dxa" w:w="1981"/>
          </w:tcPr>
          <w:p>
            <w:r/>
            <w:r>
              <w:rPr>
                <w:sz w:val="18"/>
              </w:rPr>
              <w:t>N/A</w:t>
            </w:r>
          </w:p>
        </w:tc>
      </w:tr>
      <w:tr>
        <w:tc>
          <w:tcPr>
            <w:tcW w:type="dxa" w:w="1981"/>
          </w:tcPr>
          <w:p>
            <w:r/>
            <w:r>
              <w:rPr>
                <w:sz w:val="18"/>
              </w:rPr>
              <w:t>FR7 — 3.2.5.1, .2</w:t>
            </w:r>
          </w:p>
        </w:tc>
        <w:tc>
          <w:tcPr>
            <w:tcW w:type="dxa" w:w="1981"/>
          </w:tcPr>
          <w:p>
            <w:r/>
            <w:r>
              <w:rPr>
                <w:sz w:val="18"/>
              </w:rPr>
              <w:t>COND-46</w:t>
            </w:r>
          </w:p>
        </w:tc>
        <w:tc>
          <w:tcPr>
            <w:tcW w:type="dxa" w:w="1981"/>
          </w:tcPr>
          <w:p>
            <w:r/>
            <w:r>
              <w:rPr>
                <w:sz w:val="18"/>
              </w:rPr>
              <w:t>broadcast-keyholder-misc.test.ts (component)</w:t>
            </w:r>
          </w:p>
        </w:tc>
        <w:tc>
          <w:tcPr>
            <w:tcW w:type="dxa" w:w="1981"/>
          </w:tcPr>
          <w:p>
            <w:r/>
            <w:r>
              <w:rPr>
                <w:sz w:val="18"/>
              </w:rPr>
              <w:t>PASSED</w:t>
            </w:r>
          </w:p>
        </w:tc>
        <w:tc>
          <w:tcPr>
            <w:tcW w:type="dxa" w:w="1981"/>
          </w:tcPr>
          <w:p>
            <w:r/>
            <w:r>
              <w:rPr>
                <w:sz w:val="18"/>
              </w:rPr>
              <w:t>N/A</w:t>
            </w:r>
          </w:p>
        </w:tc>
      </w:tr>
      <w:tr>
        <w:tc>
          <w:tcPr>
            <w:tcW w:type="dxa" w:w="1981"/>
          </w:tcPr>
          <w:p>
            <w:r/>
            <w:r>
              <w:rPr>
                <w:sz w:val="18"/>
              </w:rPr>
              <w:t>FR7</w:t>
            </w:r>
          </w:p>
        </w:tc>
        <w:tc>
          <w:tcPr>
            <w:tcW w:type="dxa" w:w="1981"/>
          </w:tcPr>
          <w:p>
            <w:r/>
            <w:r>
              <w:rPr>
                <w:sz w:val="18"/>
              </w:rPr>
              <w:t>COND-47, 48</w:t>
            </w:r>
          </w:p>
        </w:tc>
        <w:tc>
          <w:tcPr>
            <w:tcW w:type="dxa" w:w="1981"/>
          </w:tcPr>
          <w:p>
            <w:r/>
            <w:r>
              <w:rPr>
                <w:sz w:val="18"/>
              </w:rPr>
              <w:t>fr7-architecture.test.ts (integration)</w:t>
            </w:r>
          </w:p>
        </w:tc>
        <w:tc>
          <w:tcPr>
            <w:tcW w:type="dxa" w:w="1981"/>
          </w:tcPr>
          <w:p>
            <w:r/>
            <w:r>
              <w:rPr>
                <w:sz w:val="18"/>
              </w:rPr>
              <w:t>PASSED</w:t>
            </w:r>
          </w:p>
        </w:tc>
        <w:tc>
          <w:tcPr>
            <w:tcW w:type="dxa" w:w="1981"/>
          </w:tcPr>
          <w:p>
            <w:r/>
            <w:r>
              <w:rPr>
                <w:sz w:val="18"/>
              </w:rPr>
              <w:t>N/A</w:t>
            </w:r>
          </w:p>
        </w:tc>
      </w:tr>
      <w:tr>
        <w:tc>
          <w:tcPr>
            <w:tcW w:type="dxa" w:w="1981"/>
          </w:tcPr>
          <w:p>
            <w:r/>
            <w:r>
              <w:rPr>
                <w:sz w:val="18"/>
              </w:rPr>
              <w:t>FR7</w:t>
            </w:r>
          </w:p>
        </w:tc>
        <w:tc>
          <w:tcPr>
            <w:tcW w:type="dxa" w:w="1981"/>
          </w:tcPr>
          <w:p>
            <w:r/>
            <w:r>
              <w:rPr>
                <w:sz w:val="18"/>
              </w:rPr>
              <w:t>COND-49</w:t>
            </w:r>
          </w:p>
        </w:tc>
        <w:tc>
          <w:tcPr>
            <w:tcW w:type="dxa" w:w="1981"/>
          </w:tcPr>
          <w:p>
            <w:r/>
            <w:r>
              <w:rPr>
                <w:sz w:val="18"/>
              </w:rPr>
              <w:t>TC-15</w:t>
            </w:r>
          </w:p>
        </w:tc>
        <w:tc>
          <w:tcPr>
            <w:tcW w:type="dxa" w:w="1981"/>
          </w:tcPr>
          <w:p>
            <w:r/>
            <w:r>
              <w:rPr>
                <w:sz w:val="18"/>
              </w:rPr>
              <w:t>PASSED</w:t>
            </w:r>
          </w:p>
        </w:tc>
        <w:tc>
          <w:tcPr>
            <w:tcW w:type="dxa" w:w="1981"/>
          </w:tcPr>
          <w:p>
            <w:r/>
            <w:r>
              <w:rPr>
                <w:sz w:val="18"/>
              </w:rPr>
              <w:t>N/A</w:t>
            </w:r>
          </w:p>
        </w:tc>
      </w:tr>
      <w:tr>
        <w:tc>
          <w:tcPr>
            <w:tcW w:type="dxa" w:w="1981"/>
          </w:tcPr>
          <w:p>
            <w:r/>
            <w:r>
              <w:rPr>
                <w:sz w:val="18"/>
              </w:rPr>
              <w:t>NFR8 — 3.2.6.1</w:t>
            </w:r>
          </w:p>
        </w:tc>
        <w:tc>
          <w:tcPr>
            <w:tcW w:type="dxa" w:w="1981"/>
          </w:tcPr>
          <w:p>
            <w:r/>
            <w:r>
              <w:rPr>
                <w:sz w:val="18"/>
              </w:rPr>
              <w:t>COND-50</w:t>
            </w:r>
          </w:p>
        </w:tc>
        <w:tc>
          <w:tcPr>
            <w:tcW w:type="dxa" w:w="1981"/>
          </w:tcPr>
          <w:p>
            <w:r/>
            <w:r>
              <w:rPr>
                <w:sz w:val="18"/>
              </w:rPr>
              <w:t>broadcast-keyholder-misc.test.ts (component)</w:t>
            </w:r>
          </w:p>
        </w:tc>
        <w:tc>
          <w:tcPr>
            <w:tcW w:type="dxa" w:w="1981"/>
          </w:tcPr>
          <w:p>
            <w:r/>
            <w:r>
              <w:rPr>
                <w:sz w:val="18"/>
              </w:rPr>
              <w:t>PASSED</w:t>
            </w:r>
          </w:p>
        </w:tc>
        <w:tc>
          <w:tcPr>
            <w:tcW w:type="dxa" w:w="1981"/>
          </w:tcPr>
          <w:p>
            <w:r/>
            <w:r>
              <w:rPr>
                <w:sz w:val="18"/>
              </w:rPr>
              <w:t>N/A</w:t>
            </w:r>
          </w:p>
        </w:tc>
      </w:tr>
      <w:tr>
        <w:tc>
          <w:tcPr>
            <w:tcW w:type="dxa" w:w="1981"/>
          </w:tcPr>
          <w:p>
            <w:r/>
            <w:r>
              <w:rPr>
                <w:sz w:val="18"/>
              </w:rPr>
              <w:t>NFR8</w:t>
            </w:r>
          </w:p>
        </w:tc>
        <w:tc>
          <w:tcPr>
            <w:tcW w:type="dxa" w:w="1981"/>
          </w:tcPr>
          <w:p>
            <w:r/>
            <w:r>
              <w:rPr>
                <w:sz w:val="18"/>
              </w:rPr>
              <w:t>COND-51</w:t>
            </w:r>
          </w:p>
        </w:tc>
        <w:tc>
          <w:tcPr>
            <w:tcW w:type="dxa" w:w="1981"/>
          </w:tcPr>
          <w:p>
            <w:r/>
            <w:r>
              <w:rPr>
                <w:sz w:val="18"/>
              </w:rPr>
              <w:t>manual — Compatibility page, live</w:t>
            </w:r>
          </w:p>
        </w:tc>
        <w:tc>
          <w:tcPr>
            <w:tcW w:type="dxa" w:w="1981"/>
          </w:tcPr>
          <w:p>
            <w:r/>
            <w:r>
              <w:rPr>
                <w:sz w:val="18"/>
              </w:rPr>
              <w:t>PASSED</w:t>
            </w:r>
          </w:p>
        </w:tc>
        <w:tc>
          <w:tcPr>
            <w:tcW w:type="dxa" w:w="1981"/>
          </w:tcPr>
          <w:p>
            <w:r/>
            <w:r>
              <w:rPr>
                <w:sz w:val="18"/>
              </w:rPr>
              <w:t>N/A</w:t>
            </w:r>
          </w:p>
        </w:tc>
      </w:tr>
      <w:tr>
        <w:tc>
          <w:tcPr>
            <w:tcW w:type="dxa" w:w="1981"/>
          </w:tcPr>
          <w:p>
            <w:r/>
            <w:r>
              <w:rPr>
                <w:sz w:val="18"/>
              </w:rPr>
              <w:t>NFR9 — 2.4.1</w:t>
            </w:r>
          </w:p>
        </w:tc>
        <w:tc>
          <w:tcPr>
            <w:tcW w:type="dxa" w:w="1981"/>
          </w:tcPr>
          <w:p>
            <w:r/>
            <w:r>
              <w:rPr>
                <w:sz w:val="18"/>
              </w:rPr>
              <w:t>COND-52</w:t>
            </w:r>
          </w:p>
        </w:tc>
        <w:tc>
          <w:tcPr>
            <w:tcW w:type="dxa" w:w="1981"/>
          </w:tcPr>
          <w:p>
            <w:r/>
            <w:r>
              <w:rPr>
                <w:sz w:val="18"/>
              </w:rPr>
              <w:t>traceability.test.ts (static inspection)</w:t>
            </w:r>
          </w:p>
        </w:tc>
        <w:tc>
          <w:tcPr>
            <w:tcW w:type="dxa" w:w="1981"/>
          </w:tcPr>
          <w:p>
            <w:r/>
            <w:r>
              <w:rPr>
                <w:sz w:val="18"/>
              </w:rPr>
              <w:t>PASSED</w:t>
            </w:r>
          </w:p>
        </w:tc>
        <w:tc>
          <w:tcPr>
            <w:tcW w:type="dxa" w:w="1981"/>
          </w:tcPr>
          <w:p>
            <w:r/>
            <w:r>
              <w:rPr>
                <w:sz w:val="18"/>
              </w:rPr>
              <w:t>N/A</w:t>
            </w:r>
          </w:p>
        </w:tc>
      </w:tr>
      <w:tr>
        <w:tc>
          <w:tcPr>
            <w:tcW w:type="dxa" w:w="1981"/>
          </w:tcPr>
          <w:p>
            <w:r/>
            <w:r>
              <w:rPr>
                <w:sz w:val="18"/>
              </w:rPr>
              <w:t>NFR9</w:t>
            </w:r>
          </w:p>
        </w:tc>
        <w:tc>
          <w:tcPr>
            <w:tcW w:type="dxa" w:w="1981"/>
          </w:tcPr>
          <w:p>
            <w:r/>
            <w:r>
              <w:rPr>
                <w:sz w:val="18"/>
              </w:rPr>
              <w:t>COND-53</w:t>
            </w:r>
          </w:p>
        </w:tc>
        <w:tc>
          <w:tcPr>
            <w:tcW w:type="dxa" w:w="1981"/>
          </w:tcPr>
          <w:p>
            <w:r/>
            <w:r>
              <w:rPr>
                <w:sz w:val="18"/>
              </w:rPr>
              <w:t>fr2-fr3-delivery.test.ts (integration)</w:t>
            </w:r>
          </w:p>
        </w:tc>
        <w:tc>
          <w:tcPr>
            <w:tcW w:type="dxa" w:w="1981"/>
          </w:tcPr>
          <w:p>
            <w:r/>
            <w:r>
              <w:rPr>
                <w:sz w:val="18"/>
              </w:rPr>
              <w:t>PASSED</w:t>
            </w:r>
          </w:p>
        </w:tc>
        <w:tc>
          <w:tcPr>
            <w:tcW w:type="dxa" w:w="1981"/>
          </w:tcPr>
          <w:p>
            <w:r/>
            <w:r>
              <w:rPr>
                <w:sz w:val="18"/>
              </w:rPr>
              <w:t>N/A</w:t>
            </w:r>
          </w:p>
        </w:tc>
      </w:tr>
      <w:tr>
        <w:tc>
          <w:tcPr>
            <w:tcW w:type="dxa" w:w="1981"/>
          </w:tcPr>
          <w:p>
            <w:r/>
            <w:r>
              <w:rPr>
                <w:sz w:val="18"/>
              </w:rPr>
              <w:t>NFR10 — 2.4.2</w:t>
            </w:r>
          </w:p>
        </w:tc>
        <w:tc>
          <w:tcPr>
            <w:tcW w:type="dxa" w:w="1981"/>
          </w:tcPr>
          <w:p>
            <w:r/>
            <w:r>
              <w:rPr>
                <w:sz w:val="18"/>
              </w:rPr>
              <w:t>COND-54</w:t>
            </w:r>
          </w:p>
        </w:tc>
        <w:tc>
          <w:tcPr>
            <w:tcW w:type="dxa" w:w="1981"/>
          </w:tcPr>
          <w:p>
            <w:r/>
            <w:r>
              <w:rPr>
                <w:sz w:val="18"/>
              </w:rPr>
              <w:t>crypto.test.ts + fr5-fr6-security.test.ts</w:t>
            </w:r>
          </w:p>
        </w:tc>
        <w:tc>
          <w:tcPr>
            <w:tcW w:type="dxa" w:w="1981"/>
          </w:tcPr>
          <w:p>
            <w:r/>
            <w:r>
              <w:rPr>
                <w:sz w:val="18"/>
              </w:rPr>
              <w:t>PASSED</w:t>
            </w:r>
          </w:p>
        </w:tc>
        <w:tc>
          <w:tcPr>
            <w:tcW w:type="dxa" w:w="1981"/>
          </w:tcPr>
          <w:p>
            <w:r/>
            <w:r>
              <w:rPr>
                <w:sz w:val="18"/>
              </w:rPr>
              <w:t>N/A</w:t>
            </w:r>
          </w:p>
        </w:tc>
      </w:tr>
    </w:tbl>
    <w:p/>
    <w:p>
      <w:r>
        <w:rPr>
          <w:b w:val="0"/>
          <w:i/>
        </w:rPr>
        <w:t>52 of 54 conditions PASSED; 1 FAILED (COND-22 / TC-08, deliberate, environment-caused); 1 BLOCKED (COND-30 / TC-11, deliberate, precondition-caused). Zero produced a confirmed implementation defect; see the investigation in Part 4.</w:t>
      </w:r>
    </w:p>
    <w:p>
      <w:pPr>
        <w:pStyle w:val="Heading1"/>
        <w:spacing w:after="160" w:before="280"/>
      </w:pPr>
      <w:r>
        <w:t xml:space="preserve">Part 4: Defect Reporting and Final Quality Judgment</w:t>
      </w:r>
    </w:p>
    <w:p>
      <w:r>
        <w:rPr>
          <w:b/>
          <w:i w:val="0"/>
        </w:rPr>
        <w:t>5.1 The FAILED/BLOCKED-vs-defect distinction, applied to TC-08</w:t>
      </w:r>
    </w:p>
    <w:p>
      <w:r>
        <w:rPr>
          <w:b w:val="0"/>
          <w:i w:val="0"/>
        </w:rPr>
        <w:t>Vitest's own report shows fr3-ttl.test.ts passing. That's because the test's assertion is about the observation itself (recording which agents received the confinement-violating datagram), not about confinement actually occurring. The SRS-level verdict is separate: judged against SRS §1.3's own definition of TTL (router hops before discard), confinement did not occur, so TC-08 is FAILED against the SRS's expected result, regardless of what the test runner's exit code says.</w:t>
      </w:r>
    </w:p>
    <w:p>
      <w:r>
        <w:rPr>
          <w:b/>
          <w:i w:val="0"/>
        </w:rPr>
        <w:t>5.2 Investigation of every FAILED/BLOCKED case</w:t>
      </w:r>
    </w:p>
    <w:p>
      <w:r>
        <w:rPr>
          <w:b/>
        </w:rPr>
        <w:t>TC-08 — FAILED.</w:t>
      </w:r>
      <w:r>
        <w:t xml:space="preserve"> Test setup, data, and environment checked: single physical machine, no router in the network path. Reproduced: yes, deterministically, every run (3 of 3 in this session, consistent with prior CI history). Root cause: SRS §1.3 defines TTL as a router-hop counter, and on same-host delivery no router is traversed, so the mechanism the SRS describes has nothing to act on. socket.setMulticastTTL() is called correctly (verified by code inspection). Verdict: not a defect, already declared in advance in DEVIATIONS.md D-5. The implementation matches the SRS; the test bed simply cannot exercise its router-hop scope.</w:t>
      </w:r>
    </w:p>
    <w:p>
      <w:r>
        <w:rPr>
          <w:b/>
        </w:rPr>
        <w:t>TC-11 — BLOCKED.</w:t>
      </w:r>
      <w:r>
        <w:t xml:space="preserve"> Precondition checked: verify-preconditions.sh confirms exactly one host, no peer reachable. Reproduced: not applicable, since a BLOCKED case cannot execute and there is nothing to reproduce. Root cause: the required precondition ('all possible hosts under the same local network' as an enumerable, testable set) does not exist on a single development machine. Verdict: not a defect, already declared in advance in ASSUMPTIONS.md A4.1/A4.2. TC-10 already confirms the send/receive logic is correct at the scale this test bed can exercise.</w:t>
      </w:r>
    </w:p>
    <w:p>
      <w:r>
        <w:rPr>
          <w:b/>
        </w:rPr>
        <w:t>F1 (SonarQube, Part 3.A) — symmetric.ts:59 implicit Array.sort().</w:t>
      </w:r>
      <w:r>
        <w:t xml:space="preserve"> Checked whether the sort feeds a hash: yes, derivePairwiseKey() sorts [agentA, agentB], joins them, and hashes the result. Investigated what 'implicit sort' means for ASCII agent-ID strings: JavaScript's default comparator sorts by UTF-16 code-unit order, which is deterministic and locale-independent (confirmed by crypto.test.ts COND-36, order-independence, passing every run). SonarQube's suggested fix (localeCompare) would actually make ordering locale-dependent, the opposite of what a hash canonicalization step needs. Verdict: not a defect. It's a true-positive static pattern that is functionally correct for this specific usage.</w:t>
      </w:r>
    </w:p>
    <w:p>
      <w:r>
        <w:rPr>
          <w:b/>
        </w:rPr>
        <w:t>F4 (SonarQube, Part 3.A) — ambiguous JSX spacing, 12 occurrences.</w:t>
      </w:r>
      <w:r>
        <w:t xml:space="preserve"> Checked whether the flagged label/input pairs render with the space Sonar cannot confirm is intentional. Manually inspected the rendered harness on every affected page during TC-01, TC-04, TC-10, TC-15, and the COND-51 walkthrough: every flagged label ('TTL', 'port', 'from', 'to') renders with a clear, correctly spaced value. Verdict: not a defect. It's a genuine static-analysis flag with no observable rendering failure.</w:t>
      </w:r>
    </w:p>
    <w:p>
      <w:r>
        <w:rPr>
          <w:b/>
          <w:i w:val="0"/>
        </w:rPr>
        <w:t>5.3 Jira</w:t>
      </w:r>
    </w:p>
    <w:p>
      <w:r>
        <w:rPr>
          <w:b w:val="0"/>
          <w:i w:val="0"/>
        </w:rPr>
        <w:t>Outcome of triage: zero confirmed, reproducible implementation defects. Every FAILED/BLOCKED test case, and every SonarQube finding with a plausible functional angle (F1, F4), resolved to 'not a defect' for a specific, evidenced reason (see §5.2). Per the assignment's own wording ('not every failure or blocker should become a Jira bug'), none of the four investigated candidates was logged as an open Bug, because none satisfies all four defect criteria: executed test, actual result different from expected, reproduced at least twice, and not already explained by a declared assumption or limitation. Each was instead logged in Jira as a closed, fully-documented investigation record (Task type; this project defines no Bug issue type), so the audit trail is verifiable in the tool the assignment requires, not only in this report.</w:t>
      </w:r>
    </w:p>
    <w:p>
      <w:r>
        <w:rPr>
          <w:b w:val="0"/>
          <w:i w:val="0"/>
        </w:rPr>
        <w:t>Jira project: Vexa Testing (KAN), https://muhammadbilaltahir.atlassian.net/jira/software/projects/KAN. Epic KAN-9 'SE3002 Assignment 01 — Defect Triage (Part 4)' groups four investigation records, each Done / Low priority, each carrying environment/build, preconditions, numbered reproduction steps, expected vs. actual result, reproducibility, severity/priority, the full investigation writeup, verdict, related test-case ID, and a comment linking to the exact source evidence in the repository: KAN-5 (TC-08), KAN-6 (TC-11), KAN-7 (SonarQube F1), KAN-8 (SonarQube F4). The same investigation content is mirrored in evidence/jira/DEFECT-TRIAGE.md for reviewers without Jira access.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Pr>
          <w:p>
            <w:r/>
            <w:r>
              <w:rPr>
                <w:b/>
                <w:sz w:val="18"/>
              </w:rPr>
              <w:t>Candidate</w:t>
            </w:r>
          </w:p>
        </w:tc>
        <w:tc>
          <w:tcPr>
            <w:tcW w:type="dxa" w:w="3302"/>
          </w:tcPr>
          <w:p>
            <w:r/>
            <w:r>
              <w:rPr>
                <w:b/>
                <w:sz w:val="18"/>
              </w:rPr>
              <w:t>Status</w:t>
            </w:r>
          </w:p>
        </w:tc>
        <w:tc>
          <w:tcPr>
            <w:tcW w:type="dxa" w:w="3302"/>
          </w:tcPr>
          <w:p>
            <w:r/>
            <w:r>
              <w:rPr>
                <w:b/>
                <w:sz w:val="18"/>
              </w:rPr>
              <w:t>Jira issue</w:t>
            </w:r>
          </w:p>
        </w:tc>
      </w:tr>
      <w:tr>
        <w:tc>
          <w:tcPr>
            <w:tcW w:type="dxa" w:w="3302"/>
          </w:tcPr>
          <w:p>
            <w:r/>
            <w:r>
              <w:rPr>
                <w:sz w:val="18"/>
              </w:rPr>
              <w:t>TC-08 (COND-22)</w:t>
            </w:r>
          </w:p>
        </w:tc>
        <w:tc>
          <w:tcPr>
            <w:tcW w:type="dxa" w:w="3302"/>
          </w:tcPr>
          <w:p>
            <w:r/>
            <w:r>
              <w:rPr>
                <w:sz w:val="18"/>
              </w:rPr>
              <w:t>FAILED (expected, environment)</w:t>
            </w:r>
          </w:p>
        </w:tc>
        <w:tc>
          <w:tcPr>
            <w:tcW w:type="dxa" w:w="3302"/>
          </w:tcPr>
          <w:p>
            <w:r/>
            <w:r>
              <w:rPr>
                <w:sz w:val="18"/>
              </w:rPr>
              <w:t>Not logged — not a defect</w:t>
            </w:r>
          </w:p>
        </w:tc>
      </w:tr>
      <w:tr>
        <w:tc>
          <w:tcPr>
            <w:tcW w:type="dxa" w:w="3302"/>
          </w:tcPr>
          <w:p>
            <w:r/>
            <w:r>
              <w:rPr>
                <w:sz w:val="18"/>
              </w:rPr>
              <w:t>TC-11 (COND-30)</w:t>
            </w:r>
          </w:p>
        </w:tc>
        <w:tc>
          <w:tcPr>
            <w:tcW w:type="dxa" w:w="3302"/>
          </w:tcPr>
          <w:p>
            <w:r/>
            <w:r>
              <w:rPr>
                <w:sz w:val="18"/>
              </w:rPr>
              <w:t>BLOCKED (expected, precondition)</w:t>
            </w:r>
          </w:p>
        </w:tc>
        <w:tc>
          <w:tcPr>
            <w:tcW w:type="dxa" w:w="3302"/>
          </w:tcPr>
          <w:p>
            <w:r/>
            <w:r>
              <w:rPr>
                <w:sz w:val="18"/>
              </w:rPr>
              <w:t>Not logged — not a defect</w:t>
            </w:r>
          </w:p>
        </w:tc>
      </w:tr>
      <w:tr>
        <w:tc>
          <w:tcPr>
            <w:tcW w:type="dxa" w:w="3302"/>
          </w:tcPr>
          <w:p>
            <w:r/>
            <w:r>
              <w:rPr>
                <w:sz w:val="18"/>
              </w:rPr>
              <w:t>SonarQube F1</w:t>
            </w:r>
          </w:p>
        </w:tc>
        <w:tc>
          <w:tcPr>
            <w:tcW w:type="dxa" w:w="3302"/>
          </w:tcPr>
          <w:p>
            <w:r/>
            <w:r>
              <w:rPr>
                <w:sz w:val="18"/>
              </w:rPr>
              <w:t>Investigated</w:t>
            </w:r>
          </w:p>
        </w:tc>
        <w:tc>
          <w:tcPr>
            <w:tcW w:type="dxa" w:w="3302"/>
          </w:tcPr>
          <w:p>
            <w:r/>
            <w:r>
              <w:rPr>
                <w:sz w:val="18"/>
              </w:rPr>
              <w:t>Not logged — not a defect</w:t>
            </w:r>
          </w:p>
        </w:tc>
      </w:tr>
      <w:tr>
        <w:tc>
          <w:tcPr>
            <w:tcW w:type="dxa" w:w="3302"/>
          </w:tcPr>
          <w:p>
            <w:r/>
            <w:r>
              <w:rPr>
                <w:sz w:val="18"/>
              </w:rPr>
              <w:t>SonarQube F4</w:t>
            </w:r>
          </w:p>
        </w:tc>
        <w:tc>
          <w:tcPr>
            <w:tcW w:type="dxa" w:w="3302"/>
          </w:tcPr>
          <w:p>
            <w:r/>
            <w:r>
              <w:rPr>
                <w:sz w:val="18"/>
              </w:rPr>
              <w:t>Investigated</w:t>
            </w:r>
          </w:p>
        </w:tc>
        <w:tc>
          <w:tcPr>
            <w:tcW w:type="dxa" w:w="3302"/>
          </w:tcPr>
          <w:p>
            <w:r/>
            <w:r>
              <w:rPr>
                <w:sz w:val="18"/>
              </w:rPr>
              <w:t>Not logged — not a defect</w:t>
            </w:r>
          </w:p>
        </w:tc>
      </w:tr>
    </w:tbl>
    <w:p/>
    <w:p>
      <w:r>
        <w:rPr>
          <w:b w:val="0"/>
          <w:i/>
        </w:rPr>
        <w:t>0 of 4 investigated candidates met all four defect criteria: 0 open Bugs, 4 closed and fully-evidenced investigation records logged in Jira (KAN-5 through KAN-8) under Epic KAN-9.</w:t>
      </w:r>
    </w:p>
    <w:p>
      <w:r>
        <w:rPr>
          <w:b/>
          <w:i w:val="0"/>
        </w:rPr>
        <w:t>5.4 Final Quality Judgment</w:t>
      </w:r>
    </w:p>
    <w:p>
      <w:r>
        <w:rPr>
          <w:b w:val="0"/>
          <w:i w:val="0"/>
        </w:rPr>
        <w:t>The combined evidence supports a working implementation of the ten selected requirements. All 217 automated tests pass (unit, component, and integration, ~99.7% line coverage). SonarQube's Quality Gate passed against the complete frozen codebase, with the Reliability D rating driven almost entirely by one justified finding and a JSX-spacing pattern confirmed cosmetic, and Security effectively clean once the single repeated multicast-address pattern is discounted. All 15 designed test cases were executed with every required category met, including two genuine, investigated FAILED/BLOCKED results that were neither manufactured nor hidden.</w:t>
      </w:r>
    </w:p>
    <w:p>
      <w:r>
        <w:rPr>
          <w:b w:val="0"/>
          <w:i w:val="0"/>
        </w:rPr>
        <w:t>What remains unsupported is scoped and specific, not general doubt. NFR8 (1.2 compatibility) cannot be validated against a real agentMom 1.2 artifact, since none exists to compare against, and the implementation runs on Node rather than the SRS-specified Java 1.4. So the compatibility check is necessarily against a self-authored reconstruction (A8.2), not a limitation testing can close. NFR9's 'all or none' delivery wording admits no falsifiable pass/fail rate. NFR10 explicitly disclaims any decryption-resistance guarantee, so nothing was promised to test against there either. Three further assumptions are declared design-time stand-ins, not SRS-derived guarantees: deterministic pairwise unicast keys with no handshake (A5.2), no group-key rotation on leave (A6.2), and the limited-broadcast address choice (A4.1).</w:t>
      </w:r>
    </w:p>
    <w:p>
      <w:r>
        <w:rPr>
          <w:b w:val="0"/>
          <w:i w:val="0"/>
        </w:rPr>
        <w:t>AI-introduced assumptions materially shaped where confidence can and cannot be placed. A5.2 in particular is a real security-relevant design gap: a deterministic, handshake-free key. Neither SonarQube (which flagged the sort, not the absence of a handshake) nor functional testing (which only confirms the derivation is consistent, not that it is secure) can detect this, because it is a protocol-design choice rather than a code-level defect. This is a boundary functional testing cannot cross by design.</w:t>
      </w:r>
    </w:p>
    <w:p>
      <w:r>
        <w:rPr>
          <w:b w:val="0"/>
          <w:i w:val="0"/>
        </w:rPr>
        <w:t>Scoped strictly to the ten requirements evaluated, on this single-host test bed, against this frozen baseline, the implementation is acceptable. FR1–FR7 are supported by executed, reproducible evidence at every category the assignment requires. NFR8–NFR10 are evaluated as far as their own wording permits, with every remaining gap named rather than glossed over. This is not a claim about production readiness, real agentMom-1.2 interoperability, or LAN-scale broadcast; those remain explicitly out of evidence, not silently assumed.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sz w:val="32"/>
      <w:szCs w:val="32"/>
    </w:rPr>
  </w:style>
  <w:style w:type="paragraph" w:styleId="Heading2">
    <w:name w:val="Heading 2"/>
    <w:basedOn w:val="Normal"/>
    <w:next w:val="Normal"/>
    <w:qFormat/>
    <w:rPr>
      <w:sz w:val="26"/>
      <w:szCs w:val="26"/>
    </w:rPr>
  </w:style>
  <w:style w:type="paragraph" w:styleId="Heading3">
    <w:name w:val="Heading 3"/>
    <w:basedOn w:val="Normal"/>
    <w:next w:val="Normal"/>
    <w:qFormat/>
    <w:rPr>
      <w:sz w:val="24"/>
      <w:szCs w:val="24"/>
    </w:rPr>
  </w:style>
  <w:style w:type="paragraph" w:styleId="Heading4">
    <w:name w:val="Heading 4"/>
    <w:basedOn w:val="Normal"/>
    <w:next w:val="Normal"/>
    <w:qFormat/>
    <w:rPr>
      <w:i/>
      <w:iCs/>
    </w:rPr>
  </w:style>
  <w:style w:type="paragraph" w:styleId="Heading5">
    <w:name w:val="Heading 5"/>
    <w:basedOn w:val="Normal"/>
    <w:next w:val="Normal"/>
    <w:qFormat/>
    <w:rPr/>
  </w:style>
  <w:style w:type="paragraph" w:styleId="Heading6">
    <w:name w:val="Heading 6"/>
    <w:basedOn w:val="Normal"/>
    <w:next w:val="Normal"/>
    <w:qFormat/>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uto" w:sz="6" w:space="4"/>
      </w:pBdr>
      <w:spacing w:after="160" w:before="320"/>
    </w:pPr>
    <w:rPr>
      <w:b/>
      <w:bCs/>
      <w:sz w:val="28"/>
      <w:szCs w:val="28"/>
    </w:rPr>
  </w:style>
  <w:style w:type="paragraph" w:styleId="Heading2">
    <w:name w:val="Heading 2"/>
    <w:basedOn w:val="Normal"/>
    <w:next w:val="Normal"/>
    <w:qFormat/>
    <w:pPr>
      <w:spacing w:after="120" w:before="260"/>
    </w:pPr>
    <w:rPr>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2026-09-05T14:57:50.344Z</dcterms:created>
  <dcterms:modified xsi:type="dcterms:W3CDTF">2026-09-05T14:57:50.344Z</dcterms:modified>
</cp:coreProperties>
</file>

<file path=docProps/custom.xml><?xml version="1.0" encoding="utf-8"?>
<Properties xmlns="http://schemas.openxmlformats.org/officeDocument/2006/custom-properties" xmlns:vt="http://schemas.openxmlformats.org/officeDocument/2006/docPropsVTypes"/>
</file>