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D163" w14:textId="77777777" w:rsidR="005018C7" w:rsidRDefault="001C54F8" w:rsidP="00CD5F4A">
      <w:pPr>
        <w:spacing w:after="160"/>
      </w:pPr>
      <w:r>
        <w:rPr>
          <w:rFonts w:ascii="Aptos Display" w:hAnsi="Aptos Display"/>
          <w:b/>
          <w:color w:val="17365D"/>
          <w:sz w:val="48"/>
        </w:rPr>
        <w:t>DS23 Module 4 - The Pipeline Assignment</w:t>
      </w:r>
    </w:p>
    <w:p w14:paraId="0AA8A5E0" w14:textId="77777777" w:rsidR="005018C7" w:rsidRDefault="001C54F8">
      <w:pPr>
        <w:jc w:val="center"/>
      </w:pPr>
      <w:r>
        <w:rPr>
          <w:b/>
          <w:color w:val="505050"/>
          <w:sz w:val="26"/>
        </w:rPr>
        <w:t>Justification Template - Olist Benchmark Track</w:t>
      </w:r>
    </w:p>
    <w:p w14:paraId="02F02CDD" w14:textId="77777777" w:rsidR="005018C7" w:rsidRDefault="001C54F8">
      <w:pPr>
        <w:jc w:val="center"/>
      </w:pPr>
      <w:r>
        <w:rPr>
          <w:color w:val="646464"/>
          <w:sz w:val="20"/>
        </w:rPr>
        <w:t>Final model: LogisticRegression(max_iter=1000) | Primary metric: ROC-AUC</w:t>
      </w:r>
    </w:p>
    <w:tbl>
      <w:tblPr>
        <w:tblW w:w="0" w:type="auto"/>
        <w:jc w:val="center"/>
        <w:tblLayout w:type="fixed"/>
        <w:tblLook w:val="04A0" w:firstRow="1" w:lastRow="0" w:firstColumn="1" w:lastColumn="0" w:noHBand="0" w:noVBand="1"/>
      </w:tblPr>
      <w:tblGrid>
        <w:gridCol w:w="10080"/>
      </w:tblGrid>
      <w:tr w:rsidR="005018C7" w14:paraId="3AD52429" w14:textId="77777777">
        <w:trPr>
          <w:jc w:val="center"/>
        </w:trPr>
        <w:tc>
          <w:tcPr>
            <w:tcW w:w="10080" w:type="dxa"/>
            <w:shd w:val="clear" w:color="auto" w:fill="EAF2F8"/>
            <w:tcMar>
              <w:top w:w="140" w:type="dxa"/>
              <w:left w:w="160" w:type="dxa"/>
              <w:bottom w:w="140" w:type="dxa"/>
              <w:right w:w="160" w:type="dxa"/>
            </w:tcMar>
          </w:tcPr>
          <w:p w14:paraId="52F5CD63" w14:textId="77777777" w:rsidR="005018C7" w:rsidRDefault="001C54F8">
            <w:pPr>
              <w:spacing w:after="0"/>
            </w:pPr>
            <w:r>
              <w:rPr>
                <w:b/>
              </w:rPr>
              <w:t xml:space="preserve">Frozen comparison protocol: </w:t>
            </w:r>
            <w:r>
              <w:t>StratifiedKFold(5, shuffle=True, random_state=42); same model, seed, metric, row set and row order. Only justified preprocessing/data representation choices were changed.</w:t>
            </w:r>
          </w:p>
        </w:tc>
      </w:tr>
    </w:tbl>
    <w:p w14:paraId="1DD91788" w14:textId="77777777" w:rsidR="005018C7" w:rsidRDefault="005018C7"/>
    <w:p w14:paraId="2C687FB2" w14:textId="77777777" w:rsidR="005018C7" w:rsidRDefault="001C54F8">
      <w:pPr>
        <w:pStyle w:val="1"/>
      </w:pPr>
      <w:r>
        <w:t>1. Missing Values</w:t>
      </w:r>
    </w:p>
    <w:tbl>
      <w:tblPr>
        <w:tblStyle w:val="aff2"/>
        <w:tblW w:w="0" w:type="auto"/>
        <w:jc w:val="center"/>
        <w:tblLayout w:type="fixed"/>
        <w:tblLook w:val="04A0" w:firstRow="1" w:lastRow="0" w:firstColumn="1" w:lastColumn="0" w:noHBand="0" w:noVBand="1"/>
      </w:tblPr>
      <w:tblGrid>
        <w:gridCol w:w="2232"/>
        <w:gridCol w:w="7992"/>
      </w:tblGrid>
      <w:tr w:rsidR="005018C7" w14:paraId="52CC15CC" w14:textId="77777777">
        <w:trPr>
          <w:cantSplit/>
          <w:jc w:val="center"/>
        </w:trPr>
        <w:tc>
          <w:tcPr>
            <w:tcW w:w="2232" w:type="dxa"/>
            <w:shd w:val="clear" w:color="auto" w:fill="D9EAF7"/>
            <w:tcMar>
              <w:top w:w="110" w:type="dxa"/>
              <w:left w:w="120" w:type="dxa"/>
              <w:bottom w:w="110" w:type="dxa"/>
              <w:right w:w="120" w:type="dxa"/>
            </w:tcMar>
            <w:vAlign w:val="center"/>
          </w:tcPr>
          <w:p w14:paraId="3FF7877C" w14:textId="77777777" w:rsidR="005018C7" w:rsidRDefault="001C54F8">
            <w:r>
              <w:rPr>
                <w:b/>
                <w:color w:val="17365D"/>
                <w:sz w:val="19"/>
              </w:rPr>
              <w:t>What I did</w:t>
            </w:r>
          </w:p>
        </w:tc>
        <w:tc>
          <w:tcPr>
            <w:tcW w:w="7992" w:type="dxa"/>
            <w:tcMar>
              <w:top w:w="110" w:type="dxa"/>
              <w:left w:w="120" w:type="dxa"/>
              <w:bottom w:w="110" w:type="dxa"/>
              <w:right w:w="120" w:type="dxa"/>
            </w:tcMar>
            <w:vAlign w:val="center"/>
          </w:tcPr>
          <w:p w14:paraId="16158640" w14:textId="77777777" w:rsidR="005018C7" w:rsidRDefault="001C54F8">
            <w:pPr>
              <w:spacing w:line="254" w:lineRule="auto"/>
            </w:pPr>
            <w:r>
              <w:rPr>
                <w:sz w:val="19"/>
              </w:rPr>
              <w:t>Profiled missingness before treatment. Only one modeling row out of 110,774 had missing numeric product dimensions, and product_weight_g, product_length_cm, product_height_cm and product_width_cm were all missing together. I classified MAR as the most plausible mechanism and used median imputation for numeric variables inside the Pipeline.</w:t>
            </w:r>
          </w:p>
        </w:tc>
      </w:tr>
      <w:tr w:rsidR="005018C7" w14:paraId="0771F5FC" w14:textId="77777777">
        <w:trPr>
          <w:cantSplit/>
          <w:jc w:val="center"/>
        </w:trPr>
        <w:tc>
          <w:tcPr>
            <w:tcW w:w="2232" w:type="dxa"/>
            <w:shd w:val="clear" w:color="auto" w:fill="D9EAF7"/>
            <w:tcMar>
              <w:top w:w="110" w:type="dxa"/>
              <w:left w:w="120" w:type="dxa"/>
              <w:bottom w:w="110" w:type="dxa"/>
              <w:right w:w="120" w:type="dxa"/>
            </w:tcMar>
            <w:vAlign w:val="center"/>
          </w:tcPr>
          <w:p w14:paraId="7A6D170F" w14:textId="77777777" w:rsidR="005018C7" w:rsidRDefault="001C54F8">
            <w:r>
              <w:rPr>
                <w:b/>
                <w:color w:val="17365D"/>
                <w:sz w:val="19"/>
              </w:rPr>
              <w:t>Why</w:t>
            </w:r>
          </w:p>
        </w:tc>
        <w:tc>
          <w:tcPr>
            <w:tcW w:w="7992" w:type="dxa"/>
            <w:tcMar>
              <w:top w:w="110" w:type="dxa"/>
              <w:left w:w="120" w:type="dxa"/>
              <w:bottom w:w="110" w:type="dxa"/>
              <w:right w:w="120" w:type="dxa"/>
            </w:tcMar>
            <w:vAlign w:val="center"/>
          </w:tcPr>
          <w:p w14:paraId="461AA67D" w14:textId="77777777" w:rsidR="005018C7" w:rsidRDefault="001C54F8">
            <w:pPr>
              <w:spacing w:line="254" w:lineRule="auto"/>
            </w:pPr>
            <w:r>
              <w:rPr>
                <w:sz w:val="19"/>
              </w:rPr>
              <w:t>The four dimensions disappear as a block, which is consistent with a shared measurement or data-entry process rather than four independent missing events. The mechanism cannot be proven from one row, so MAR is stated as the most plausible classification rather than a certainty. Median imputation is simple and robust to extreme values.</w:t>
            </w:r>
          </w:p>
        </w:tc>
      </w:tr>
      <w:tr w:rsidR="005018C7" w14:paraId="7B36FE8A" w14:textId="77777777">
        <w:trPr>
          <w:cantSplit/>
          <w:jc w:val="center"/>
        </w:trPr>
        <w:tc>
          <w:tcPr>
            <w:tcW w:w="2232" w:type="dxa"/>
            <w:shd w:val="clear" w:color="auto" w:fill="D9EAF7"/>
            <w:tcMar>
              <w:top w:w="110" w:type="dxa"/>
              <w:left w:w="120" w:type="dxa"/>
              <w:bottom w:w="110" w:type="dxa"/>
              <w:right w:w="120" w:type="dxa"/>
            </w:tcMar>
            <w:vAlign w:val="center"/>
          </w:tcPr>
          <w:p w14:paraId="39F67F97" w14:textId="77777777" w:rsidR="005018C7" w:rsidRDefault="001C54F8">
            <w:r>
              <w:rPr>
                <w:b/>
                <w:color w:val="17365D"/>
                <w:sz w:val="19"/>
              </w:rPr>
              <w:t>Alternative considered / rejected</w:t>
            </w:r>
          </w:p>
        </w:tc>
        <w:tc>
          <w:tcPr>
            <w:tcW w:w="7992" w:type="dxa"/>
            <w:tcMar>
              <w:top w:w="110" w:type="dxa"/>
              <w:left w:w="120" w:type="dxa"/>
              <w:bottom w:w="110" w:type="dxa"/>
              <w:right w:w="120" w:type="dxa"/>
            </w:tcMar>
            <w:vAlign w:val="center"/>
          </w:tcPr>
          <w:p w14:paraId="4089A2CA" w14:textId="77777777" w:rsidR="005018C7" w:rsidRDefault="001C54F8">
            <w:pPr>
              <w:spacing w:line="254" w:lineRule="auto"/>
            </w:pPr>
            <w:r>
              <w:rPr>
                <w:sz w:val="19"/>
              </w:rPr>
              <w:t>Mean imputation was tested and rejected as the final choice. It produced a very slightly higher CV score, but the difference was too small to justify preferring a less robust statistic.</w:t>
            </w:r>
          </w:p>
        </w:tc>
      </w:tr>
      <w:tr w:rsidR="005018C7" w14:paraId="311CBFFB" w14:textId="77777777">
        <w:trPr>
          <w:cantSplit/>
          <w:jc w:val="center"/>
        </w:trPr>
        <w:tc>
          <w:tcPr>
            <w:tcW w:w="2232" w:type="dxa"/>
            <w:shd w:val="clear" w:color="auto" w:fill="D9EAF7"/>
            <w:tcMar>
              <w:top w:w="110" w:type="dxa"/>
              <w:left w:w="120" w:type="dxa"/>
              <w:bottom w:w="110" w:type="dxa"/>
              <w:right w:w="120" w:type="dxa"/>
            </w:tcMar>
            <w:vAlign w:val="center"/>
          </w:tcPr>
          <w:p w14:paraId="07CFE833" w14:textId="77777777" w:rsidR="005018C7" w:rsidRDefault="001C54F8">
            <w:r>
              <w:rPr>
                <w:b/>
                <w:color w:val="17365D"/>
                <w:sz w:val="19"/>
              </w:rPr>
              <w:t>Numerical CV evidence</w:t>
            </w:r>
          </w:p>
        </w:tc>
        <w:tc>
          <w:tcPr>
            <w:tcW w:w="7992" w:type="dxa"/>
            <w:tcMar>
              <w:top w:w="110" w:type="dxa"/>
              <w:left w:w="120" w:type="dxa"/>
              <w:bottom w:w="110" w:type="dxa"/>
              <w:right w:w="120" w:type="dxa"/>
            </w:tcMar>
            <w:vAlign w:val="center"/>
          </w:tcPr>
          <w:p w14:paraId="4E0BADF0" w14:textId="77777777" w:rsidR="005018C7" w:rsidRDefault="001C54F8">
            <w:pPr>
              <w:spacing w:line="254" w:lineRule="auto"/>
            </w:pPr>
            <w:r>
              <w:rPr>
                <w:sz w:val="19"/>
              </w:rPr>
              <w:t>Median imputation ROC-AUC = 0.5586; mean imputation ROC-AUC = 0.5588; difference = -0.000148 for median versus mean. The difference is practically negligible.</w:t>
            </w:r>
          </w:p>
        </w:tc>
      </w:tr>
    </w:tbl>
    <w:p w14:paraId="36FDDA53" w14:textId="77777777" w:rsidR="005018C7" w:rsidRDefault="005018C7">
      <w:pPr>
        <w:spacing w:after="40"/>
      </w:pPr>
    </w:p>
    <w:p w14:paraId="43AD6956" w14:textId="77777777" w:rsidR="005018C7" w:rsidRDefault="001C54F8">
      <w:pPr>
        <w:pStyle w:val="1"/>
      </w:pPr>
      <w:r>
        <w:t>2. Outliers</w:t>
      </w:r>
    </w:p>
    <w:tbl>
      <w:tblPr>
        <w:tblStyle w:val="aff2"/>
        <w:tblW w:w="0" w:type="auto"/>
        <w:jc w:val="center"/>
        <w:tblLayout w:type="fixed"/>
        <w:tblLook w:val="04A0" w:firstRow="1" w:lastRow="0" w:firstColumn="1" w:lastColumn="0" w:noHBand="0" w:noVBand="1"/>
      </w:tblPr>
      <w:tblGrid>
        <w:gridCol w:w="2232"/>
        <w:gridCol w:w="7992"/>
      </w:tblGrid>
      <w:tr w:rsidR="005018C7" w14:paraId="168F1513" w14:textId="77777777">
        <w:trPr>
          <w:cantSplit/>
          <w:jc w:val="center"/>
        </w:trPr>
        <w:tc>
          <w:tcPr>
            <w:tcW w:w="2232" w:type="dxa"/>
            <w:shd w:val="clear" w:color="auto" w:fill="D9EAF7"/>
            <w:tcMar>
              <w:top w:w="110" w:type="dxa"/>
              <w:left w:w="120" w:type="dxa"/>
              <w:bottom w:w="110" w:type="dxa"/>
              <w:right w:w="120" w:type="dxa"/>
            </w:tcMar>
            <w:vAlign w:val="center"/>
          </w:tcPr>
          <w:p w14:paraId="6EAED125" w14:textId="77777777" w:rsidR="005018C7" w:rsidRDefault="001C54F8">
            <w:r>
              <w:rPr>
                <w:b/>
                <w:color w:val="17365D"/>
                <w:sz w:val="19"/>
              </w:rPr>
              <w:t>What I did</w:t>
            </w:r>
          </w:p>
        </w:tc>
        <w:tc>
          <w:tcPr>
            <w:tcW w:w="7992" w:type="dxa"/>
            <w:tcMar>
              <w:top w:w="110" w:type="dxa"/>
              <w:left w:w="120" w:type="dxa"/>
              <w:bottom w:w="110" w:type="dxa"/>
              <w:right w:w="120" w:type="dxa"/>
            </w:tcMar>
            <w:vAlign w:val="center"/>
          </w:tcPr>
          <w:p w14:paraId="439A6E87" w14:textId="77777777" w:rsidR="005018C7" w:rsidRDefault="001C54F8">
            <w:pPr>
              <w:spacing w:line="254" w:lineRule="auto"/>
            </w:pPr>
            <w:r>
              <w:rPr>
                <w:sz w:val="19"/>
              </w:rPr>
              <w:t>Detected univariate outliers using the 1.5 x IQR rule across the six numeric predictors. I kept all rows and applied log1p to price, freight_value and product_weight_g inside the Pipeline. Product length, height and width were kept on their original scale.</w:t>
            </w:r>
          </w:p>
        </w:tc>
      </w:tr>
      <w:tr w:rsidR="005018C7" w14:paraId="58499D97" w14:textId="77777777">
        <w:trPr>
          <w:cantSplit/>
          <w:jc w:val="center"/>
        </w:trPr>
        <w:tc>
          <w:tcPr>
            <w:tcW w:w="2232" w:type="dxa"/>
            <w:shd w:val="clear" w:color="auto" w:fill="D9EAF7"/>
            <w:tcMar>
              <w:top w:w="110" w:type="dxa"/>
              <w:left w:w="120" w:type="dxa"/>
              <w:bottom w:w="110" w:type="dxa"/>
              <w:right w:w="120" w:type="dxa"/>
            </w:tcMar>
            <w:vAlign w:val="center"/>
          </w:tcPr>
          <w:p w14:paraId="0A284030" w14:textId="77777777" w:rsidR="005018C7" w:rsidRDefault="001C54F8">
            <w:r>
              <w:rPr>
                <w:b/>
                <w:color w:val="17365D"/>
                <w:sz w:val="19"/>
              </w:rPr>
              <w:t>Why</w:t>
            </w:r>
          </w:p>
        </w:tc>
        <w:tc>
          <w:tcPr>
            <w:tcW w:w="7992" w:type="dxa"/>
            <w:tcMar>
              <w:top w:w="110" w:type="dxa"/>
              <w:left w:w="120" w:type="dxa"/>
              <w:bottom w:w="110" w:type="dxa"/>
              <w:right w:w="120" w:type="dxa"/>
            </w:tcMar>
            <w:vAlign w:val="center"/>
          </w:tcPr>
          <w:p w14:paraId="45333373" w14:textId="77777777" w:rsidR="005018C7" w:rsidRDefault="001C54F8">
            <w:pPr>
              <w:spacing w:line="254" w:lineRule="auto"/>
            </w:pPr>
            <w:r>
              <w:rPr>
                <w:sz w:val="19"/>
              </w:rPr>
              <w:t>IQR flagged many observations, but statistical extremeness does not imply a data error. High-priced products, expensive freight and heavy products can be valid marketplace cases. The three selected variables also had strong right skew, so log1p reduces the influence of the long right tail without deleting valid transactions or changing the frozen benchmark row set.</w:t>
            </w:r>
          </w:p>
        </w:tc>
      </w:tr>
      <w:tr w:rsidR="005018C7" w14:paraId="3B12CD53" w14:textId="77777777">
        <w:trPr>
          <w:cantSplit/>
          <w:jc w:val="center"/>
        </w:trPr>
        <w:tc>
          <w:tcPr>
            <w:tcW w:w="2232" w:type="dxa"/>
            <w:shd w:val="clear" w:color="auto" w:fill="D9EAF7"/>
            <w:tcMar>
              <w:top w:w="110" w:type="dxa"/>
              <w:left w:w="120" w:type="dxa"/>
              <w:bottom w:w="110" w:type="dxa"/>
              <w:right w:w="120" w:type="dxa"/>
            </w:tcMar>
            <w:vAlign w:val="center"/>
          </w:tcPr>
          <w:p w14:paraId="1B2F8964" w14:textId="77777777" w:rsidR="005018C7" w:rsidRDefault="001C54F8">
            <w:r>
              <w:rPr>
                <w:b/>
                <w:color w:val="17365D"/>
                <w:sz w:val="19"/>
              </w:rPr>
              <w:t>Alternative considered / rejected</w:t>
            </w:r>
          </w:p>
        </w:tc>
        <w:tc>
          <w:tcPr>
            <w:tcW w:w="7992" w:type="dxa"/>
            <w:tcMar>
              <w:top w:w="110" w:type="dxa"/>
              <w:left w:w="120" w:type="dxa"/>
              <w:bottom w:w="110" w:type="dxa"/>
              <w:right w:w="120" w:type="dxa"/>
            </w:tcMar>
            <w:vAlign w:val="center"/>
          </w:tcPr>
          <w:p w14:paraId="09B68B83" w14:textId="77777777" w:rsidR="005018C7" w:rsidRDefault="001C54F8">
            <w:pPr>
              <w:spacing w:line="254" w:lineRule="auto"/>
            </w:pPr>
            <w:r>
              <w:rPr>
                <w:sz w:val="19"/>
              </w:rPr>
              <w:t>Keeping all six numeric variables on the raw scale was tested. Row deletion and automatic IQR clipping were not selected because there was no evidence that the extreme values were erroneous; row deletion would also break the fixed row-set comparison.</w:t>
            </w:r>
          </w:p>
        </w:tc>
      </w:tr>
      <w:tr w:rsidR="005018C7" w14:paraId="206775AF" w14:textId="77777777">
        <w:trPr>
          <w:cantSplit/>
          <w:jc w:val="center"/>
        </w:trPr>
        <w:tc>
          <w:tcPr>
            <w:tcW w:w="2232" w:type="dxa"/>
            <w:shd w:val="clear" w:color="auto" w:fill="D9EAF7"/>
            <w:tcMar>
              <w:top w:w="110" w:type="dxa"/>
              <w:left w:w="120" w:type="dxa"/>
              <w:bottom w:w="110" w:type="dxa"/>
              <w:right w:w="120" w:type="dxa"/>
            </w:tcMar>
            <w:vAlign w:val="center"/>
          </w:tcPr>
          <w:p w14:paraId="5B5BAD7C" w14:textId="77777777" w:rsidR="005018C7" w:rsidRDefault="001C54F8">
            <w:r>
              <w:rPr>
                <w:b/>
                <w:color w:val="17365D"/>
                <w:sz w:val="19"/>
              </w:rPr>
              <w:t>Numerical CV evidence</w:t>
            </w:r>
          </w:p>
        </w:tc>
        <w:tc>
          <w:tcPr>
            <w:tcW w:w="7992" w:type="dxa"/>
            <w:tcMar>
              <w:top w:w="110" w:type="dxa"/>
              <w:left w:w="120" w:type="dxa"/>
              <w:bottom w:w="110" w:type="dxa"/>
              <w:right w:w="120" w:type="dxa"/>
            </w:tcMar>
            <w:vAlign w:val="center"/>
          </w:tcPr>
          <w:p w14:paraId="671B610F" w14:textId="77777777" w:rsidR="005018C7" w:rsidRDefault="001C54F8">
            <w:pPr>
              <w:spacing w:line="254" w:lineRule="auto"/>
            </w:pPr>
            <w:r>
              <w:rPr>
                <w:sz w:val="19"/>
              </w:rPr>
              <w:t>IQR outlier rates: price 7.49%, freight_value 10.79%, product_weight_g 14.07%. Skewness: price 7.63, freight_value 5.65, product_weight_g 3.59. Raw ROC-AUC = 0.5586; log-transformed ROC-AUC = 0.5590; lift from log treatment = +0.000354.</w:t>
            </w:r>
          </w:p>
        </w:tc>
      </w:tr>
    </w:tbl>
    <w:p w14:paraId="3C1A905E" w14:textId="77777777" w:rsidR="005018C7" w:rsidRDefault="005018C7">
      <w:pPr>
        <w:spacing w:after="40"/>
      </w:pPr>
    </w:p>
    <w:p w14:paraId="62213F29" w14:textId="77777777" w:rsidR="005018C7" w:rsidRDefault="001C54F8">
      <w:pPr>
        <w:pStyle w:val="1"/>
      </w:pPr>
      <w:r>
        <w:t>3. Scaling and Encoding</w:t>
      </w:r>
    </w:p>
    <w:tbl>
      <w:tblPr>
        <w:tblStyle w:val="aff2"/>
        <w:tblW w:w="0" w:type="auto"/>
        <w:jc w:val="center"/>
        <w:tblLayout w:type="fixed"/>
        <w:tblLook w:val="04A0" w:firstRow="1" w:lastRow="0" w:firstColumn="1" w:lastColumn="0" w:noHBand="0" w:noVBand="1"/>
      </w:tblPr>
      <w:tblGrid>
        <w:gridCol w:w="2232"/>
        <w:gridCol w:w="7992"/>
      </w:tblGrid>
      <w:tr w:rsidR="005018C7" w14:paraId="3010B150" w14:textId="77777777">
        <w:trPr>
          <w:cantSplit/>
          <w:jc w:val="center"/>
        </w:trPr>
        <w:tc>
          <w:tcPr>
            <w:tcW w:w="2232" w:type="dxa"/>
            <w:shd w:val="clear" w:color="auto" w:fill="D9EAF7"/>
            <w:tcMar>
              <w:top w:w="110" w:type="dxa"/>
              <w:left w:w="120" w:type="dxa"/>
              <w:bottom w:w="110" w:type="dxa"/>
              <w:right w:w="120" w:type="dxa"/>
            </w:tcMar>
            <w:vAlign w:val="center"/>
          </w:tcPr>
          <w:p w14:paraId="30810001" w14:textId="77777777" w:rsidR="005018C7" w:rsidRDefault="001C54F8">
            <w:r>
              <w:rPr>
                <w:b/>
                <w:color w:val="17365D"/>
                <w:sz w:val="19"/>
              </w:rPr>
              <w:t>What I did</w:t>
            </w:r>
          </w:p>
        </w:tc>
        <w:tc>
          <w:tcPr>
            <w:tcW w:w="7992" w:type="dxa"/>
            <w:tcMar>
              <w:top w:w="110" w:type="dxa"/>
              <w:left w:w="120" w:type="dxa"/>
              <w:bottom w:w="110" w:type="dxa"/>
              <w:right w:w="120" w:type="dxa"/>
            </w:tcMar>
            <w:vAlign w:val="center"/>
          </w:tcPr>
          <w:p w14:paraId="5FEA06B8" w14:textId="77777777" w:rsidR="005018C7" w:rsidRDefault="001C54F8">
            <w:pPr>
              <w:spacing w:line="254" w:lineRule="auto"/>
            </w:pPr>
            <w:r>
              <w:rPr>
                <w:sz w:val="19"/>
              </w:rPr>
              <w:t>Applied StandardScaler to numeric routes and OneHotEncoder(handle_unknown="ignore") to product_category_name. The categorical route also contains an imputer for robustness. All learned preprocessing is inside a ColumnTransformer wrapped by the final Pipeline.</w:t>
            </w:r>
          </w:p>
        </w:tc>
      </w:tr>
      <w:tr w:rsidR="005018C7" w14:paraId="559C9641" w14:textId="77777777">
        <w:trPr>
          <w:cantSplit/>
          <w:jc w:val="center"/>
        </w:trPr>
        <w:tc>
          <w:tcPr>
            <w:tcW w:w="2232" w:type="dxa"/>
            <w:shd w:val="clear" w:color="auto" w:fill="D9EAF7"/>
            <w:tcMar>
              <w:top w:w="110" w:type="dxa"/>
              <w:left w:w="120" w:type="dxa"/>
              <w:bottom w:w="110" w:type="dxa"/>
              <w:right w:w="120" w:type="dxa"/>
            </w:tcMar>
            <w:vAlign w:val="center"/>
          </w:tcPr>
          <w:p w14:paraId="0B6F1631" w14:textId="77777777" w:rsidR="005018C7" w:rsidRDefault="001C54F8">
            <w:r>
              <w:rPr>
                <w:b/>
                <w:color w:val="17365D"/>
                <w:sz w:val="19"/>
              </w:rPr>
              <w:t>Why</w:t>
            </w:r>
          </w:p>
        </w:tc>
        <w:tc>
          <w:tcPr>
            <w:tcW w:w="7992" w:type="dxa"/>
            <w:tcMar>
              <w:top w:w="110" w:type="dxa"/>
              <w:left w:w="120" w:type="dxa"/>
              <w:bottom w:w="110" w:type="dxa"/>
              <w:right w:w="120" w:type="dxa"/>
            </w:tcMar>
            <w:vAlign w:val="center"/>
          </w:tcPr>
          <w:p w14:paraId="3FB31E42" w14:textId="77777777" w:rsidR="005018C7" w:rsidRDefault="001C54F8">
            <w:pPr>
              <w:spacing w:line="254" w:lineRule="auto"/>
            </w:pPr>
            <w:r>
              <w:rPr>
                <w:sz w:val="19"/>
              </w:rPr>
              <w:t>Logistic regression is sensitive to feature scale under regularization, while the numeric variables use very different units. Standardizing places them on comparable scales. product_category_name is nominal, with no meaningful natural ordering, so one-hot encoding is appropriate.</w:t>
            </w:r>
          </w:p>
        </w:tc>
      </w:tr>
      <w:tr w:rsidR="005018C7" w14:paraId="5E8601FB" w14:textId="77777777">
        <w:trPr>
          <w:cantSplit/>
          <w:jc w:val="center"/>
        </w:trPr>
        <w:tc>
          <w:tcPr>
            <w:tcW w:w="2232" w:type="dxa"/>
            <w:shd w:val="clear" w:color="auto" w:fill="D9EAF7"/>
            <w:tcMar>
              <w:top w:w="110" w:type="dxa"/>
              <w:left w:w="120" w:type="dxa"/>
              <w:bottom w:w="110" w:type="dxa"/>
              <w:right w:w="120" w:type="dxa"/>
            </w:tcMar>
            <w:vAlign w:val="center"/>
          </w:tcPr>
          <w:p w14:paraId="733D1201" w14:textId="77777777" w:rsidR="005018C7" w:rsidRDefault="001C54F8">
            <w:r>
              <w:rPr>
                <w:b/>
                <w:color w:val="17365D"/>
                <w:sz w:val="19"/>
              </w:rPr>
              <w:t>Alternative considered / rejected</w:t>
            </w:r>
          </w:p>
        </w:tc>
        <w:tc>
          <w:tcPr>
            <w:tcW w:w="7992" w:type="dxa"/>
            <w:tcMar>
              <w:top w:w="110" w:type="dxa"/>
              <w:left w:w="120" w:type="dxa"/>
              <w:bottom w:w="110" w:type="dxa"/>
              <w:right w:w="120" w:type="dxa"/>
            </w:tcMar>
            <w:vAlign w:val="center"/>
          </w:tcPr>
          <w:p w14:paraId="08E89AC4" w14:textId="77777777" w:rsidR="005018C7" w:rsidRDefault="001C54F8">
            <w:pPr>
              <w:spacing w:line="254" w:lineRule="auto"/>
            </w:pPr>
            <w:r>
              <w:rPr>
                <w:sz w:val="19"/>
              </w:rPr>
              <w:t>No scaling was tested as the numeric alternative. OrdinalEncoder was tested as the categorical alternative and rejected because it imposes an artificial numeric order on nominal product categories.</w:t>
            </w:r>
          </w:p>
        </w:tc>
      </w:tr>
      <w:tr w:rsidR="005018C7" w14:paraId="6F21FBB2" w14:textId="77777777">
        <w:trPr>
          <w:cantSplit/>
          <w:jc w:val="center"/>
        </w:trPr>
        <w:tc>
          <w:tcPr>
            <w:tcW w:w="2232" w:type="dxa"/>
            <w:shd w:val="clear" w:color="auto" w:fill="D9EAF7"/>
            <w:tcMar>
              <w:top w:w="110" w:type="dxa"/>
              <w:left w:w="120" w:type="dxa"/>
              <w:bottom w:w="110" w:type="dxa"/>
              <w:right w:w="120" w:type="dxa"/>
            </w:tcMar>
            <w:vAlign w:val="center"/>
          </w:tcPr>
          <w:p w14:paraId="5606DD8A" w14:textId="77777777" w:rsidR="005018C7" w:rsidRDefault="001C54F8">
            <w:r>
              <w:rPr>
                <w:b/>
                <w:color w:val="17365D"/>
                <w:sz w:val="19"/>
              </w:rPr>
              <w:t>Numerical CV evidence</w:t>
            </w:r>
          </w:p>
        </w:tc>
        <w:tc>
          <w:tcPr>
            <w:tcW w:w="7992" w:type="dxa"/>
            <w:tcMar>
              <w:top w:w="110" w:type="dxa"/>
              <w:left w:w="120" w:type="dxa"/>
              <w:bottom w:w="110" w:type="dxa"/>
              <w:right w:w="120" w:type="dxa"/>
            </w:tcMar>
            <w:vAlign w:val="center"/>
          </w:tcPr>
          <w:p w14:paraId="606DCB6D" w14:textId="77777777" w:rsidR="005018C7" w:rsidRDefault="001C54F8">
            <w:pPr>
              <w:spacing w:line="254" w:lineRule="auto"/>
            </w:pPr>
            <w:r>
              <w:rPr>
                <w:sz w:val="19"/>
              </w:rPr>
              <w:t>With StandardScaler ROC-AUC = 0.5590; without scaling = 0.5588; difference = +0.000138. One-Hot ROC-AUC = 0.5590; Ordinal ROC-AUC = 0.5243; difference = +0.0347 in favor of One-Hot.</w:t>
            </w:r>
          </w:p>
        </w:tc>
      </w:tr>
    </w:tbl>
    <w:p w14:paraId="05C1D979" w14:textId="77777777" w:rsidR="005018C7" w:rsidRDefault="005018C7">
      <w:pPr>
        <w:spacing w:after="40"/>
      </w:pPr>
    </w:p>
    <w:p w14:paraId="78C0A988" w14:textId="77777777" w:rsidR="005018C7" w:rsidRDefault="001C54F8">
      <w:pPr>
        <w:pStyle w:val="1"/>
      </w:pPr>
      <w:r>
        <w:t>4. Class Imbalance and Metric</w:t>
      </w:r>
    </w:p>
    <w:tbl>
      <w:tblPr>
        <w:tblStyle w:val="aff2"/>
        <w:tblW w:w="0" w:type="auto"/>
        <w:jc w:val="center"/>
        <w:tblLayout w:type="fixed"/>
        <w:tblLook w:val="04A0" w:firstRow="1" w:lastRow="0" w:firstColumn="1" w:lastColumn="0" w:noHBand="0" w:noVBand="1"/>
      </w:tblPr>
      <w:tblGrid>
        <w:gridCol w:w="2232"/>
        <w:gridCol w:w="7992"/>
      </w:tblGrid>
      <w:tr w:rsidR="005018C7" w14:paraId="3D064514" w14:textId="77777777">
        <w:trPr>
          <w:cantSplit/>
          <w:jc w:val="center"/>
        </w:trPr>
        <w:tc>
          <w:tcPr>
            <w:tcW w:w="2232" w:type="dxa"/>
            <w:shd w:val="clear" w:color="auto" w:fill="D9EAF7"/>
            <w:tcMar>
              <w:top w:w="110" w:type="dxa"/>
              <w:left w:w="120" w:type="dxa"/>
              <w:bottom w:w="110" w:type="dxa"/>
              <w:right w:w="120" w:type="dxa"/>
            </w:tcMar>
            <w:vAlign w:val="center"/>
          </w:tcPr>
          <w:p w14:paraId="1234B78D" w14:textId="77777777" w:rsidR="005018C7" w:rsidRDefault="001C54F8">
            <w:r>
              <w:rPr>
                <w:b/>
                <w:color w:val="17365D"/>
                <w:sz w:val="19"/>
              </w:rPr>
              <w:t>What I did</w:t>
            </w:r>
          </w:p>
        </w:tc>
        <w:tc>
          <w:tcPr>
            <w:tcW w:w="7992" w:type="dxa"/>
            <w:tcMar>
              <w:top w:w="110" w:type="dxa"/>
              <w:left w:w="120" w:type="dxa"/>
              <w:bottom w:w="110" w:type="dxa"/>
              <w:right w:w="120" w:type="dxa"/>
            </w:tcMar>
            <w:vAlign w:val="center"/>
          </w:tcPr>
          <w:p w14:paraId="0B725A7E" w14:textId="77777777" w:rsidR="005018C7" w:rsidRDefault="001C54F8">
            <w:pPr>
              <w:spacing w:line="254" w:lineRule="auto"/>
            </w:pPr>
            <w:r>
              <w:rPr>
                <w:sz w:val="19"/>
              </w:rPr>
              <w:t>Kept ROC-AUC as the primary evaluation metric and used threshold tuning as the operational imbalance strategy. The negative class represents 16.03% of observations. The final operational threshold selected from out-of-fold probabilities was 0.14.</w:t>
            </w:r>
          </w:p>
        </w:tc>
      </w:tr>
      <w:tr w:rsidR="005018C7" w14:paraId="491189F8" w14:textId="77777777">
        <w:trPr>
          <w:cantSplit/>
          <w:jc w:val="center"/>
        </w:trPr>
        <w:tc>
          <w:tcPr>
            <w:tcW w:w="2232" w:type="dxa"/>
            <w:shd w:val="clear" w:color="auto" w:fill="D9EAF7"/>
            <w:tcMar>
              <w:top w:w="110" w:type="dxa"/>
              <w:left w:w="120" w:type="dxa"/>
              <w:bottom w:w="110" w:type="dxa"/>
              <w:right w:w="120" w:type="dxa"/>
            </w:tcMar>
            <w:vAlign w:val="center"/>
          </w:tcPr>
          <w:p w14:paraId="3494D7AC" w14:textId="77777777" w:rsidR="005018C7" w:rsidRDefault="001C54F8">
            <w:r>
              <w:rPr>
                <w:b/>
                <w:color w:val="17365D"/>
                <w:sz w:val="19"/>
              </w:rPr>
              <w:t>Why</w:t>
            </w:r>
          </w:p>
        </w:tc>
        <w:tc>
          <w:tcPr>
            <w:tcW w:w="7992" w:type="dxa"/>
            <w:tcMar>
              <w:top w:w="110" w:type="dxa"/>
              <w:left w:w="120" w:type="dxa"/>
              <w:bottom w:w="110" w:type="dxa"/>
              <w:right w:w="120" w:type="dxa"/>
            </w:tcMar>
            <w:vAlign w:val="center"/>
          </w:tcPr>
          <w:p w14:paraId="4D22BF4B" w14:textId="77777777" w:rsidR="005018C7" w:rsidRDefault="001C54F8">
            <w:pPr>
              <w:spacing w:line="254" w:lineRule="auto"/>
            </w:pPr>
            <w:r>
              <w:rPr>
                <w:sz w:val="19"/>
              </w:rPr>
              <w:t>Accuracy is misleading for this target: a classifier predicting the majority class for every row would achieve 83.97% accuracy while detecting zero negative reviews. ROC-AUC is threshold-independent and matches the frozen benchmark protocol. For an operational cutoff, recall and F1 were used because negative reviews are the important minority class.</w:t>
            </w:r>
          </w:p>
        </w:tc>
      </w:tr>
      <w:tr w:rsidR="005018C7" w14:paraId="4E3A3904" w14:textId="77777777">
        <w:trPr>
          <w:cantSplit/>
          <w:jc w:val="center"/>
        </w:trPr>
        <w:tc>
          <w:tcPr>
            <w:tcW w:w="2232" w:type="dxa"/>
            <w:shd w:val="clear" w:color="auto" w:fill="D9EAF7"/>
            <w:tcMar>
              <w:top w:w="110" w:type="dxa"/>
              <w:left w:w="120" w:type="dxa"/>
              <w:bottom w:w="110" w:type="dxa"/>
              <w:right w:w="120" w:type="dxa"/>
            </w:tcMar>
            <w:vAlign w:val="center"/>
          </w:tcPr>
          <w:p w14:paraId="40E6D43F" w14:textId="77777777" w:rsidR="005018C7" w:rsidRDefault="001C54F8">
            <w:r>
              <w:rPr>
                <w:b/>
                <w:color w:val="17365D"/>
                <w:sz w:val="19"/>
              </w:rPr>
              <w:t>Alternative considered / rejected</w:t>
            </w:r>
          </w:p>
        </w:tc>
        <w:tc>
          <w:tcPr>
            <w:tcW w:w="7992" w:type="dxa"/>
            <w:tcMar>
              <w:top w:w="110" w:type="dxa"/>
              <w:left w:w="120" w:type="dxa"/>
              <w:bottom w:w="110" w:type="dxa"/>
              <w:right w:w="120" w:type="dxa"/>
            </w:tcMar>
            <w:vAlign w:val="center"/>
          </w:tcPr>
          <w:p w14:paraId="726956F7" w14:textId="77777777" w:rsidR="005018C7" w:rsidRDefault="001C54F8">
            <w:pPr>
              <w:spacing w:line="254" w:lineRule="auto"/>
            </w:pPr>
            <w:r>
              <w:rPr>
                <w:sz w:val="19"/>
              </w:rPr>
              <w:t>The default threshold of 0.5 was rejected because the model predicted no positive cases at that cutoff. Class weighting and resampling were not used in the final benchmark comparison because they would alter the frozen model specification or training distribution.</w:t>
            </w:r>
          </w:p>
        </w:tc>
      </w:tr>
      <w:tr w:rsidR="005018C7" w14:paraId="6456F523" w14:textId="77777777">
        <w:trPr>
          <w:cantSplit/>
          <w:jc w:val="center"/>
        </w:trPr>
        <w:tc>
          <w:tcPr>
            <w:tcW w:w="2232" w:type="dxa"/>
            <w:shd w:val="clear" w:color="auto" w:fill="D9EAF7"/>
            <w:tcMar>
              <w:top w:w="110" w:type="dxa"/>
              <w:left w:w="120" w:type="dxa"/>
              <w:bottom w:w="110" w:type="dxa"/>
              <w:right w:w="120" w:type="dxa"/>
            </w:tcMar>
            <w:vAlign w:val="center"/>
          </w:tcPr>
          <w:p w14:paraId="2AAA2EE3" w14:textId="77777777" w:rsidR="005018C7" w:rsidRDefault="001C54F8">
            <w:r>
              <w:rPr>
                <w:b/>
                <w:color w:val="17365D"/>
                <w:sz w:val="19"/>
              </w:rPr>
              <w:t>Numerical CV evidence</w:t>
            </w:r>
          </w:p>
        </w:tc>
        <w:tc>
          <w:tcPr>
            <w:tcW w:w="7992" w:type="dxa"/>
            <w:tcMar>
              <w:top w:w="110" w:type="dxa"/>
              <w:left w:w="120" w:type="dxa"/>
              <w:bottom w:w="110" w:type="dxa"/>
              <w:right w:w="120" w:type="dxa"/>
            </w:tcMar>
            <w:vAlign w:val="center"/>
          </w:tcPr>
          <w:p w14:paraId="5DD58B89" w14:textId="77777777" w:rsidR="005018C7" w:rsidRDefault="001C54F8">
            <w:pPr>
              <w:spacing w:line="254" w:lineRule="auto"/>
            </w:pPr>
            <w:r>
              <w:rPr>
                <w:sz w:val="19"/>
              </w:rPr>
              <w:t>Class distribution: 93,018 non-negative (83.97%) and 17,756 negative (16.03%). At threshold 0.5: precision = 0, recall = 0, F1 = 0. At threshold 0.14: precision = 0.1716, recall = 0.7795, F1 = 0.2812, predicted positive rate = 72.82%. OOF ROC-AUC = 0.5587. The 0.14 threshold was the best F1 among the tested candidate thresholds.</w:t>
            </w:r>
          </w:p>
        </w:tc>
      </w:tr>
    </w:tbl>
    <w:p w14:paraId="77072EE8" w14:textId="77777777" w:rsidR="005018C7" w:rsidRDefault="005018C7">
      <w:pPr>
        <w:spacing w:after="40"/>
      </w:pPr>
    </w:p>
    <w:p w14:paraId="699F6966" w14:textId="77777777" w:rsidR="005018C7" w:rsidRDefault="001C54F8">
      <w:pPr>
        <w:pStyle w:val="1"/>
      </w:pPr>
      <w:r>
        <w:lastRenderedPageBreak/>
        <w:t>5. Leakage Prevention</w:t>
      </w:r>
    </w:p>
    <w:tbl>
      <w:tblPr>
        <w:tblStyle w:val="aff2"/>
        <w:tblW w:w="0" w:type="auto"/>
        <w:jc w:val="center"/>
        <w:tblLayout w:type="fixed"/>
        <w:tblLook w:val="04A0" w:firstRow="1" w:lastRow="0" w:firstColumn="1" w:lastColumn="0" w:noHBand="0" w:noVBand="1"/>
      </w:tblPr>
      <w:tblGrid>
        <w:gridCol w:w="2232"/>
        <w:gridCol w:w="7992"/>
      </w:tblGrid>
      <w:tr w:rsidR="005018C7" w14:paraId="407E7BAF" w14:textId="77777777">
        <w:trPr>
          <w:cantSplit/>
          <w:jc w:val="center"/>
        </w:trPr>
        <w:tc>
          <w:tcPr>
            <w:tcW w:w="2232" w:type="dxa"/>
            <w:shd w:val="clear" w:color="auto" w:fill="D9EAF7"/>
            <w:tcMar>
              <w:top w:w="110" w:type="dxa"/>
              <w:left w:w="120" w:type="dxa"/>
              <w:bottom w:w="110" w:type="dxa"/>
              <w:right w:w="120" w:type="dxa"/>
            </w:tcMar>
            <w:vAlign w:val="center"/>
          </w:tcPr>
          <w:p w14:paraId="239B5648" w14:textId="77777777" w:rsidR="005018C7" w:rsidRDefault="001C54F8">
            <w:r>
              <w:rPr>
                <w:b/>
                <w:color w:val="17365D"/>
                <w:sz w:val="19"/>
              </w:rPr>
              <w:t>What I did</w:t>
            </w:r>
          </w:p>
        </w:tc>
        <w:tc>
          <w:tcPr>
            <w:tcW w:w="7992" w:type="dxa"/>
            <w:tcMar>
              <w:top w:w="110" w:type="dxa"/>
              <w:left w:w="120" w:type="dxa"/>
              <w:bottom w:w="110" w:type="dxa"/>
              <w:right w:w="120" w:type="dxa"/>
            </w:tcMar>
            <w:vAlign w:val="center"/>
          </w:tcPr>
          <w:p w14:paraId="1949D509" w14:textId="77777777" w:rsidR="005018C7" w:rsidRDefault="001C54F8">
            <w:pPr>
              <w:spacing w:line="254" w:lineRule="auto"/>
            </w:pPr>
            <w:r>
              <w:rPr>
                <w:sz w:val="19"/>
              </w:rPr>
              <w:t>Kept every data-learned preprocessing step inside the Pipeline: median imputation, StandardScaler and OneHotEncoder. The log1p transformation is also executed inside the Pipeline, although it does not learn parameters from the data. Model evaluation uses the same 5-fold StratifiedKFold protocol through cross_val_score.</w:t>
            </w:r>
          </w:p>
        </w:tc>
      </w:tr>
      <w:tr w:rsidR="005018C7" w14:paraId="2C41DE0C" w14:textId="77777777">
        <w:trPr>
          <w:cantSplit/>
          <w:jc w:val="center"/>
        </w:trPr>
        <w:tc>
          <w:tcPr>
            <w:tcW w:w="2232" w:type="dxa"/>
            <w:shd w:val="clear" w:color="auto" w:fill="D9EAF7"/>
            <w:tcMar>
              <w:top w:w="110" w:type="dxa"/>
              <w:left w:w="120" w:type="dxa"/>
              <w:bottom w:w="110" w:type="dxa"/>
              <w:right w:w="120" w:type="dxa"/>
            </w:tcMar>
            <w:vAlign w:val="center"/>
          </w:tcPr>
          <w:p w14:paraId="4F5BB201" w14:textId="77777777" w:rsidR="005018C7" w:rsidRDefault="001C54F8">
            <w:r>
              <w:rPr>
                <w:b/>
                <w:color w:val="17365D"/>
                <w:sz w:val="19"/>
              </w:rPr>
              <w:t>Why</w:t>
            </w:r>
          </w:p>
        </w:tc>
        <w:tc>
          <w:tcPr>
            <w:tcW w:w="7992" w:type="dxa"/>
            <w:tcMar>
              <w:top w:w="110" w:type="dxa"/>
              <w:left w:w="120" w:type="dxa"/>
              <w:bottom w:w="110" w:type="dxa"/>
              <w:right w:w="120" w:type="dxa"/>
            </w:tcMar>
            <w:vAlign w:val="center"/>
          </w:tcPr>
          <w:p w14:paraId="0BC8AA81" w14:textId="77777777" w:rsidR="005018C7" w:rsidRDefault="001C54F8">
            <w:pPr>
              <w:spacing w:line="254" w:lineRule="auto"/>
            </w:pPr>
            <w:r>
              <w:rPr>
                <w:sz w:val="19"/>
              </w:rPr>
              <w:t>Fitting preprocessing on the full dataset before cross-validation would expose validation-fold information to training and inflate performance estimates. Putting preprocessing inside the Pipeline ensures that learned parameters are fitted only on each training fold.</w:t>
            </w:r>
          </w:p>
        </w:tc>
      </w:tr>
      <w:tr w:rsidR="005018C7" w14:paraId="56A58CA0" w14:textId="77777777">
        <w:trPr>
          <w:cantSplit/>
          <w:jc w:val="center"/>
        </w:trPr>
        <w:tc>
          <w:tcPr>
            <w:tcW w:w="2232" w:type="dxa"/>
            <w:shd w:val="clear" w:color="auto" w:fill="D9EAF7"/>
            <w:tcMar>
              <w:top w:w="110" w:type="dxa"/>
              <w:left w:w="120" w:type="dxa"/>
              <w:bottom w:w="110" w:type="dxa"/>
              <w:right w:w="120" w:type="dxa"/>
            </w:tcMar>
            <w:vAlign w:val="center"/>
          </w:tcPr>
          <w:p w14:paraId="75F03B43" w14:textId="77777777" w:rsidR="005018C7" w:rsidRDefault="001C54F8">
            <w:r>
              <w:rPr>
                <w:b/>
                <w:color w:val="17365D"/>
                <w:sz w:val="19"/>
              </w:rPr>
              <w:t>Alternative considered / rejected</w:t>
            </w:r>
          </w:p>
        </w:tc>
        <w:tc>
          <w:tcPr>
            <w:tcW w:w="7992" w:type="dxa"/>
            <w:tcMar>
              <w:top w:w="110" w:type="dxa"/>
              <w:left w:w="120" w:type="dxa"/>
              <w:bottom w:w="110" w:type="dxa"/>
              <w:right w:w="120" w:type="dxa"/>
            </w:tcMar>
            <w:vAlign w:val="center"/>
          </w:tcPr>
          <w:p w14:paraId="1C1E6F6E" w14:textId="77777777" w:rsidR="005018C7" w:rsidRDefault="001C54F8">
            <w:pPr>
              <w:spacing w:line="254" w:lineRule="auto"/>
            </w:pPr>
            <w:r>
              <w:rPr>
                <w:sz w:val="19"/>
              </w:rPr>
              <w:t>Rejected precomputing imputation values, scaling parameters or category encodings on the full modeling table before CV. I also avoided deleting outlier rows, which would have changed the fixed comparison population.</w:t>
            </w:r>
          </w:p>
        </w:tc>
      </w:tr>
      <w:tr w:rsidR="005018C7" w14:paraId="582AE35D" w14:textId="77777777">
        <w:trPr>
          <w:cantSplit/>
          <w:jc w:val="center"/>
        </w:trPr>
        <w:tc>
          <w:tcPr>
            <w:tcW w:w="2232" w:type="dxa"/>
            <w:shd w:val="clear" w:color="auto" w:fill="D9EAF7"/>
            <w:tcMar>
              <w:top w:w="110" w:type="dxa"/>
              <w:left w:w="120" w:type="dxa"/>
              <w:bottom w:w="110" w:type="dxa"/>
              <w:right w:w="120" w:type="dxa"/>
            </w:tcMar>
            <w:vAlign w:val="center"/>
          </w:tcPr>
          <w:p w14:paraId="2810C2C6" w14:textId="77777777" w:rsidR="005018C7" w:rsidRDefault="001C54F8">
            <w:r>
              <w:rPr>
                <w:b/>
                <w:color w:val="17365D"/>
                <w:sz w:val="19"/>
              </w:rPr>
              <w:t>Numerical CV evidence</w:t>
            </w:r>
          </w:p>
        </w:tc>
        <w:tc>
          <w:tcPr>
            <w:tcW w:w="7992" w:type="dxa"/>
            <w:tcMar>
              <w:top w:w="110" w:type="dxa"/>
              <w:left w:w="120" w:type="dxa"/>
              <w:bottom w:w="110" w:type="dxa"/>
              <w:right w:w="120" w:type="dxa"/>
            </w:tcMar>
            <w:vAlign w:val="center"/>
          </w:tcPr>
          <w:p w14:paraId="260CE7F2" w14:textId="77777777" w:rsidR="005018C7" w:rsidRDefault="001C54F8">
            <w:pPr>
              <w:spacing w:line="254" w:lineRule="auto"/>
            </w:pPr>
            <w:r>
              <w:rPr>
                <w:sz w:val="19"/>
              </w:rPr>
              <w:t>The final Pipeline was evaluated directly with StratifiedKFold(5, shuffle=True, random_state=42) and ROC-AUC. Final mean CV ROC-AUC = 0.5590 on the same 110,774-row benchmark population.</w:t>
            </w:r>
          </w:p>
        </w:tc>
      </w:tr>
    </w:tbl>
    <w:p w14:paraId="68589806" w14:textId="77777777" w:rsidR="00CD5F4A" w:rsidRDefault="00CD5F4A"/>
    <w:p w14:paraId="5EA18AAB" w14:textId="77777777" w:rsidR="00CD5F4A" w:rsidRDefault="00CD5F4A" w:rsidP="00CD5F4A">
      <w:pPr>
        <w:pStyle w:val="1"/>
      </w:pPr>
      <w:r>
        <w:t>Final Benchmark Comparison</w:t>
      </w:r>
      <w:r>
        <w:t xml:space="preserve"> </w:t>
      </w:r>
    </w:p>
    <w:tbl>
      <w:tblPr>
        <w:tblStyle w:val="aff2"/>
        <w:tblW w:w="0" w:type="auto"/>
        <w:jc w:val="center"/>
        <w:tblLayout w:type="fixed"/>
        <w:tblLook w:val="04A0" w:firstRow="1" w:lastRow="0" w:firstColumn="1" w:lastColumn="0" w:noHBand="0" w:noVBand="1"/>
      </w:tblPr>
      <w:tblGrid>
        <w:gridCol w:w="5040"/>
        <w:gridCol w:w="5040"/>
      </w:tblGrid>
      <w:tr w:rsidR="00CD5F4A" w14:paraId="182E5CB1" w14:textId="77777777" w:rsidTr="00834BB9">
        <w:trPr>
          <w:cantSplit/>
          <w:jc w:val="center"/>
        </w:trPr>
        <w:tc>
          <w:tcPr>
            <w:tcW w:w="5040" w:type="dxa"/>
            <w:shd w:val="clear" w:color="auto" w:fill="D9EAF7"/>
            <w:tcMar>
              <w:top w:w="110" w:type="dxa"/>
              <w:left w:w="130" w:type="dxa"/>
              <w:bottom w:w="110" w:type="dxa"/>
              <w:right w:w="130" w:type="dxa"/>
            </w:tcMar>
            <w:vAlign w:val="center"/>
          </w:tcPr>
          <w:p w14:paraId="7651B4E9" w14:textId="77777777" w:rsidR="00CD5F4A" w:rsidRDefault="00CD5F4A" w:rsidP="00834BB9">
            <w:r>
              <w:rPr>
                <w:b/>
                <w:sz w:val="20"/>
              </w:rPr>
              <w:t>Frozen benchmark ROC-AUC</w:t>
            </w:r>
          </w:p>
        </w:tc>
        <w:tc>
          <w:tcPr>
            <w:tcW w:w="5040" w:type="dxa"/>
            <w:tcMar>
              <w:top w:w="110" w:type="dxa"/>
              <w:left w:w="130" w:type="dxa"/>
              <w:bottom w:w="110" w:type="dxa"/>
              <w:right w:w="130" w:type="dxa"/>
            </w:tcMar>
            <w:vAlign w:val="center"/>
          </w:tcPr>
          <w:p w14:paraId="379632F9" w14:textId="77777777" w:rsidR="00CD5F4A" w:rsidRDefault="00CD5F4A" w:rsidP="00834BB9">
            <w:r>
              <w:rPr>
                <w:sz w:val="20"/>
              </w:rPr>
              <w:t>0.5586</w:t>
            </w:r>
          </w:p>
        </w:tc>
      </w:tr>
      <w:tr w:rsidR="00CD5F4A" w14:paraId="7CF757CA" w14:textId="77777777" w:rsidTr="00834BB9">
        <w:trPr>
          <w:cantSplit/>
          <w:jc w:val="center"/>
        </w:trPr>
        <w:tc>
          <w:tcPr>
            <w:tcW w:w="5040" w:type="dxa"/>
            <w:shd w:val="clear" w:color="auto" w:fill="D9EAF7"/>
            <w:tcMar>
              <w:top w:w="110" w:type="dxa"/>
              <w:left w:w="130" w:type="dxa"/>
              <w:bottom w:w="110" w:type="dxa"/>
              <w:right w:w="130" w:type="dxa"/>
            </w:tcMar>
            <w:vAlign w:val="center"/>
          </w:tcPr>
          <w:p w14:paraId="45A6AACC" w14:textId="77777777" w:rsidR="00CD5F4A" w:rsidRDefault="00CD5F4A" w:rsidP="00834BB9">
            <w:r>
              <w:rPr>
                <w:b/>
                <w:sz w:val="20"/>
              </w:rPr>
              <w:t>Final pipeline ROC-AUC</w:t>
            </w:r>
          </w:p>
        </w:tc>
        <w:tc>
          <w:tcPr>
            <w:tcW w:w="5040" w:type="dxa"/>
            <w:tcMar>
              <w:top w:w="110" w:type="dxa"/>
              <w:left w:w="130" w:type="dxa"/>
              <w:bottom w:w="110" w:type="dxa"/>
              <w:right w:w="130" w:type="dxa"/>
            </w:tcMar>
            <w:vAlign w:val="center"/>
          </w:tcPr>
          <w:p w14:paraId="25F32C4D" w14:textId="77777777" w:rsidR="00CD5F4A" w:rsidRDefault="00CD5F4A" w:rsidP="00834BB9">
            <w:r>
              <w:rPr>
                <w:sz w:val="20"/>
              </w:rPr>
              <w:t>0.5590</w:t>
            </w:r>
          </w:p>
        </w:tc>
      </w:tr>
      <w:tr w:rsidR="00CD5F4A" w14:paraId="6169F4D6" w14:textId="77777777" w:rsidTr="00834BB9">
        <w:trPr>
          <w:cantSplit/>
          <w:jc w:val="center"/>
        </w:trPr>
        <w:tc>
          <w:tcPr>
            <w:tcW w:w="5040" w:type="dxa"/>
            <w:shd w:val="clear" w:color="auto" w:fill="D9EAF7"/>
            <w:tcMar>
              <w:top w:w="110" w:type="dxa"/>
              <w:left w:w="130" w:type="dxa"/>
              <w:bottom w:w="110" w:type="dxa"/>
              <w:right w:w="130" w:type="dxa"/>
            </w:tcMar>
            <w:vAlign w:val="center"/>
          </w:tcPr>
          <w:p w14:paraId="37EFEE13" w14:textId="77777777" w:rsidR="00CD5F4A" w:rsidRDefault="00CD5F4A" w:rsidP="00834BB9">
            <w:r>
              <w:rPr>
                <w:b/>
                <w:sz w:val="20"/>
              </w:rPr>
              <w:t>Lift</w:t>
            </w:r>
          </w:p>
        </w:tc>
        <w:tc>
          <w:tcPr>
            <w:tcW w:w="5040" w:type="dxa"/>
            <w:tcMar>
              <w:top w:w="110" w:type="dxa"/>
              <w:left w:w="130" w:type="dxa"/>
              <w:bottom w:w="110" w:type="dxa"/>
              <w:right w:w="130" w:type="dxa"/>
            </w:tcMar>
            <w:vAlign w:val="center"/>
          </w:tcPr>
          <w:p w14:paraId="0A8D14F7" w14:textId="77777777" w:rsidR="00CD5F4A" w:rsidRDefault="00CD5F4A" w:rsidP="00834BB9">
            <w:r>
              <w:rPr>
                <w:sz w:val="20"/>
              </w:rPr>
              <w:t>+0.0004</w:t>
            </w:r>
          </w:p>
        </w:tc>
      </w:tr>
      <w:tr w:rsidR="00CD5F4A" w14:paraId="79D8EA66" w14:textId="77777777" w:rsidTr="00834BB9">
        <w:trPr>
          <w:cantSplit/>
          <w:jc w:val="center"/>
        </w:trPr>
        <w:tc>
          <w:tcPr>
            <w:tcW w:w="5040" w:type="dxa"/>
            <w:shd w:val="clear" w:color="auto" w:fill="D9EAF7"/>
            <w:tcMar>
              <w:top w:w="110" w:type="dxa"/>
              <w:left w:w="130" w:type="dxa"/>
              <w:bottom w:w="110" w:type="dxa"/>
              <w:right w:w="130" w:type="dxa"/>
            </w:tcMar>
            <w:vAlign w:val="center"/>
          </w:tcPr>
          <w:p w14:paraId="38E29CEB" w14:textId="77777777" w:rsidR="00CD5F4A" w:rsidRDefault="00CD5F4A" w:rsidP="00834BB9">
            <w:r>
              <w:rPr>
                <w:b/>
                <w:sz w:val="20"/>
              </w:rPr>
              <w:t>Interpretation</w:t>
            </w:r>
          </w:p>
        </w:tc>
        <w:tc>
          <w:tcPr>
            <w:tcW w:w="5040" w:type="dxa"/>
            <w:tcMar>
              <w:top w:w="110" w:type="dxa"/>
              <w:left w:w="130" w:type="dxa"/>
              <w:bottom w:w="110" w:type="dxa"/>
              <w:right w:w="130" w:type="dxa"/>
            </w:tcMar>
            <w:vAlign w:val="center"/>
          </w:tcPr>
          <w:p w14:paraId="68AAC1C7" w14:textId="77777777" w:rsidR="00CD5F4A" w:rsidRDefault="00CD5F4A" w:rsidP="00834BB9">
            <w:r>
              <w:rPr>
                <w:sz w:val="20"/>
              </w:rPr>
              <w:t>Small positive improvement; preprocessing modestly improved representation, but the baseline feature set still carries weak predictive signal.</w:t>
            </w:r>
          </w:p>
        </w:tc>
      </w:tr>
    </w:tbl>
    <w:p w14:paraId="79FF4A99" w14:textId="76B959CF" w:rsidR="005018C7" w:rsidRPr="00CD5F4A" w:rsidRDefault="001C54F8" w:rsidP="00CD5F4A">
      <w:pPr>
        <w:pStyle w:val="1"/>
        <w:rPr>
          <w:rFonts w:ascii="Aptos" w:eastAsiaTheme="minorEastAsia" w:hAnsi="Aptos" w:cstheme="minorBidi"/>
          <w:b w:val="0"/>
          <w:bCs w:val="0"/>
          <w:color w:val="auto"/>
          <w:sz w:val="20"/>
          <w:szCs w:val="22"/>
        </w:rPr>
      </w:pPr>
      <w:r w:rsidRPr="00CD5F4A">
        <w:rPr>
          <w:rFonts w:ascii="Aptos" w:eastAsiaTheme="minorEastAsia" w:hAnsi="Aptos" w:cstheme="minorBidi"/>
          <w:color w:val="auto"/>
          <w:sz w:val="20"/>
          <w:szCs w:val="22"/>
        </w:rPr>
        <w:t xml:space="preserve">Interpretation </w:t>
      </w:r>
      <w:proofErr w:type="gramStart"/>
      <w:r w:rsidRPr="00CD5F4A">
        <w:rPr>
          <w:rFonts w:ascii="Aptos" w:eastAsiaTheme="minorEastAsia" w:hAnsi="Aptos" w:cstheme="minorBidi"/>
          <w:color w:val="auto"/>
          <w:sz w:val="20"/>
          <w:szCs w:val="22"/>
        </w:rPr>
        <w:t>note</w:t>
      </w:r>
      <w:proofErr w:type="gramEnd"/>
      <w:r w:rsidRPr="00CD5F4A">
        <w:rPr>
          <w:rFonts w:ascii="Aptos" w:eastAsiaTheme="minorEastAsia" w:hAnsi="Aptos" w:cstheme="minorBidi"/>
          <w:b w:val="0"/>
          <w:bCs w:val="0"/>
          <w:color w:val="auto"/>
          <w:sz w:val="20"/>
          <w:szCs w:val="22"/>
        </w:rPr>
        <w:t>: The lift is intentionally reported without exaggeration. The final comparison preserved the frozen model, CV, seed, metric, row set and row order. Threshold tuning affects operational class decisions but does not change ROC-AUC or the benchmark lift.</w:t>
      </w:r>
    </w:p>
    <w:p w14:paraId="1351A2B8" w14:textId="5E3238EA" w:rsidR="005018C7" w:rsidRDefault="005018C7" w:rsidP="00CD5F4A">
      <w:pPr>
        <w:pStyle w:val="a0"/>
        <w:numPr>
          <w:ilvl w:val="0"/>
          <w:numId w:val="0"/>
        </w:numPr>
        <w:spacing w:after="60"/>
        <w:ind w:left="360" w:hanging="360"/>
      </w:pPr>
    </w:p>
    <w:sectPr w:rsidR="005018C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77631022">
    <w:abstractNumId w:val="8"/>
  </w:num>
  <w:num w:numId="2" w16cid:durableId="1946186398">
    <w:abstractNumId w:val="6"/>
  </w:num>
  <w:num w:numId="3" w16cid:durableId="776173420">
    <w:abstractNumId w:val="5"/>
  </w:num>
  <w:num w:numId="4" w16cid:durableId="877545896">
    <w:abstractNumId w:val="4"/>
  </w:num>
  <w:num w:numId="5" w16cid:durableId="2099793254">
    <w:abstractNumId w:val="7"/>
  </w:num>
  <w:num w:numId="6" w16cid:durableId="1718314588">
    <w:abstractNumId w:val="3"/>
  </w:num>
  <w:num w:numId="7" w16cid:durableId="1604680870">
    <w:abstractNumId w:val="2"/>
  </w:num>
  <w:num w:numId="8" w16cid:durableId="1516111976">
    <w:abstractNumId w:val="1"/>
  </w:num>
  <w:num w:numId="9" w16cid:durableId="937257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54F8"/>
    <w:rsid w:val="0029639D"/>
    <w:rsid w:val="00326F90"/>
    <w:rsid w:val="005018C7"/>
    <w:rsid w:val="00757F80"/>
    <w:rsid w:val="00AA1D8D"/>
    <w:rsid w:val="00B47730"/>
    <w:rsid w:val="00CB0664"/>
    <w:rsid w:val="00CD5F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DCB6E"/>
  <w14:defaultImageDpi w14:val="300"/>
  <w15:docId w15:val="{8FC3411B-7606-4B2A-9A8A-B875B14E4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Ifat Davidson</cp:lastModifiedBy>
  <cp:revision>2</cp:revision>
  <dcterms:created xsi:type="dcterms:W3CDTF">2026-08-26T08:28:00Z</dcterms:created>
  <dcterms:modified xsi:type="dcterms:W3CDTF">2026-08-26T08:28:00Z</dcterms:modified>
  <cp:category/>
</cp:coreProperties>
</file>