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Patients for early review · 29 Oct 2026</w:t>
      </w:r>
    </w:p>
    <w:p>
      <w:r>
        <w:t>Cases are ordered by the system's fixed ranking policy (1 = most urgent). The decision on every case is yours. Patients not on this list keep their regular appointment.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Priority</w:t>
            </w:r>
          </w:p>
        </w:tc>
        <w:tc>
          <w:tcPr>
            <w:tcW w:type="dxa" w:w="1440"/>
          </w:tcPr>
          <w:p>
            <w:r/>
            <w:r>
              <w:rPr>
                <w:b/>
              </w:rPr>
              <w:t>Patient</w:t>
            </w:r>
          </w:p>
        </w:tc>
        <w:tc>
          <w:tcPr>
            <w:tcW w:type="dxa" w:w="1440"/>
          </w:tcPr>
          <w:p>
            <w:r/>
            <w:r>
              <w:rPr>
                <w:b/>
              </w:rPr>
              <w:t>Risk band</w:t>
            </w:r>
          </w:p>
        </w:tc>
        <w:tc>
          <w:tcPr>
            <w:tcW w:type="dxa" w:w="1440"/>
          </w:tcPr>
          <w:p>
            <w:r/>
            <w:r>
              <w:rPr>
                <w:b/>
              </w:rPr>
              <w:t>Symptoms (yes)</w:t>
            </w:r>
          </w:p>
        </w:tc>
        <w:tc>
          <w:tcPr>
            <w:tcW w:type="dxa" w:w="1440"/>
          </w:tcPr>
          <w:p>
            <w:r/>
            <w:r>
              <w:rPr>
                <w:b/>
              </w:rPr>
              <w:t>Photo quality</w:t>
            </w:r>
          </w:p>
        </w:tc>
        <w:tc>
          <w:tcPr>
            <w:tcW w:type="dxa" w:w="1440"/>
          </w:tcPr>
          <w:p>
            <w:r/>
            <w:r>
              <w:rPr>
                <w:b/>
              </w:rPr>
              <w:t>Status</w:t>
            </w:r>
          </w:p>
        </w:tc>
      </w:tr>
      <w:tr>
        <w:tc>
          <w:tcPr>
            <w:tcW w:type="dxa" w:w="1440"/>
          </w:tcPr>
          <w:p>
            <w:r/>
            <w:r>
              <w:rPr>
                <w:b w:val="0"/>
              </w:rPr>
              <w:t>1</w:t>
            </w:r>
          </w:p>
        </w:tc>
        <w:tc>
          <w:tcPr>
            <w:tcW w:type="dxa" w:w="1440"/>
          </w:tcPr>
          <w:p>
            <w:r/>
            <w:r>
              <w:rPr>
                <w:b w:val="0"/>
              </w:rPr>
              <w:t>P-0193</w:t>
            </w:r>
          </w:p>
        </w:tc>
        <w:tc>
          <w:tcPr>
            <w:tcW w:type="dxa" w:w="1440"/>
          </w:tcPr>
          <w:p>
            <w:r/>
            <w:r>
              <w:rPr>
                <w:b w:val="0"/>
              </w:rPr>
              <w:t>very high</w:t>
            </w:r>
          </w:p>
        </w:tc>
        <w:tc>
          <w:tcPr>
            <w:tcW w:type="dxa" w:w="1440"/>
          </w:tcPr>
          <w:p>
            <w:r/>
            <w:r>
              <w:rPr>
                <w:b w:val="0"/>
              </w:rPr>
              <w:t>grew, changed, bleed</w:t>
            </w:r>
          </w:p>
        </w:tc>
        <w:tc>
          <w:tcPr>
            <w:tcW w:type="dxa" w:w="1440"/>
          </w:tcPr>
          <w:p>
            <w:r/>
            <w:r>
              <w:rPr>
                <w:b w:val="0"/>
              </w:rPr>
              <w:t>usable</w:t>
            </w:r>
          </w:p>
        </w:tc>
        <w:tc>
          <w:tcPr>
            <w:tcW w:type="dxa" w:w="1440"/>
          </w:tcPr>
          <w:p>
            <w:r/>
            <w:r>
              <w:rPr>
                <w:b w:val="0"/>
              </w:rPr>
              <w:t>Evidence ready</w:t>
            </w:r>
          </w:p>
        </w:tc>
      </w:tr>
      <w:tr>
        <w:tc>
          <w:tcPr>
            <w:tcW w:type="dxa" w:w="1440"/>
          </w:tcPr>
          <w:p>
            <w:r/>
            <w:r>
              <w:rPr>
                <w:b w:val="0"/>
              </w:rPr>
              <w:t>2</w:t>
            </w:r>
          </w:p>
        </w:tc>
        <w:tc>
          <w:tcPr>
            <w:tcW w:type="dxa" w:w="1440"/>
          </w:tcPr>
          <w:p>
            <w:r/>
            <w:r>
              <w:rPr>
                <w:b w:val="0"/>
              </w:rPr>
              <w:t>P-0274</w:t>
            </w:r>
          </w:p>
        </w:tc>
        <w:tc>
          <w:tcPr>
            <w:tcW w:type="dxa" w:w="1440"/>
          </w:tcPr>
          <w:p>
            <w:r/>
            <w:r>
              <w:rPr>
                <w:b w:val="0"/>
              </w:rPr>
              <w:t>very high</w:t>
            </w:r>
          </w:p>
        </w:tc>
        <w:tc>
          <w:tcPr>
            <w:tcW w:type="dxa" w:w="1440"/>
          </w:tcPr>
          <w:p>
            <w:r/>
            <w:r>
              <w:rPr>
                <w:b w:val="0"/>
              </w:rPr>
              <w:t>grew, changed</w:t>
            </w:r>
          </w:p>
        </w:tc>
        <w:tc>
          <w:tcPr>
            <w:tcW w:type="dxa" w:w="1440"/>
          </w:tcPr>
          <w:p>
            <w:r/>
            <w:r>
              <w:rPr>
                <w:b w:val="0"/>
              </w:rPr>
              <w:t>borderline</w:t>
            </w:r>
          </w:p>
        </w:tc>
        <w:tc>
          <w:tcPr>
            <w:tcW w:type="dxa" w:w="1440"/>
          </w:tcPr>
          <w:p>
            <w:r/>
            <w:r>
              <w:rPr>
                <w:b w:val="0"/>
              </w:rPr>
              <w:t>Evidence ready, flagged</w:t>
            </w:r>
          </w:p>
        </w:tc>
      </w:tr>
      <w:tr>
        <w:tc>
          <w:tcPr>
            <w:tcW w:type="dxa" w:w="1440"/>
          </w:tcPr>
          <w:p>
            <w:r/>
            <w:r>
              <w:rPr>
                <w:b w:val="0"/>
              </w:rPr>
              <w:t>3</w:t>
            </w:r>
          </w:p>
        </w:tc>
        <w:tc>
          <w:tcPr>
            <w:tcW w:type="dxa" w:w="1440"/>
          </w:tcPr>
          <w:p>
            <w:r/>
            <w:r>
              <w:rPr>
                <w:b w:val="0"/>
              </w:rPr>
              <w:t>P-0457</w:t>
            </w:r>
          </w:p>
        </w:tc>
        <w:tc>
          <w:tcPr>
            <w:tcW w:type="dxa" w:w="1440"/>
          </w:tcPr>
          <w:p>
            <w:r/>
            <w:r>
              <w:rPr>
                <w:b w:val="0"/>
              </w:rPr>
              <w:t>high</w:t>
            </w:r>
          </w:p>
        </w:tc>
        <w:tc>
          <w:tcPr>
            <w:tcW w:type="dxa" w:w="1440"/>
          </w:tcPr>
          <w:p>
            <w:r/>
            <w:r>
              <w:rPr>
                <w:b w:val="0"/>
              </w:rPr>
              <w:t>itch, grew</w:t>
            </w:r>
          </w:p>
        </w:tc>
        <w:tc>
          <w:tcPr>
            <w:tcW w:type="dxa" w:w="1440"/>
          </w:tcPr>
          <w:p>
            <w:r/>
            <w:r>
              <w:rPr>
                <w:b w:val="0"/>
              </w:rPr>
              <w:t>borderline</w:t>
            </w:r>
          </w:p>
        </w:tc>
        <w:tc>
          <w:tcPr>
            <w:tcW w:type="dxa" w:w="1440"/>
          </w:tcPr>
          <w:p>
            <w:r/>
            <w:r>
              <w:rPr>
                <w:b w:val="0"/>
              </w:rPr>
              <w:t>Photo retake requested</w:t>
            </w:r>
          </w:p>
        </w:tc>
      </w:tr>
      <w:tr>
        <w:tc>
          <w:tcPr>
            <w:tcW w:type="dxa" w:w="1440"/>
          </w:tcPr>
          <w:p>
            <w:r/>
            <w:r>
              <w:rPr>
                <w:b w:val="0"/>
              </w:rPr>
              <w:t>4</w:t>
            </w:r>
          </w:p>
        </w:tc>
        <w:tc>
          <w:tcPr>
            <w:tcW w:type="dxa" w:w="1440"/>
          </w:tcPr>
          <w:p>
            <w:r/>
            <w:r>
              <w:rPr>
                <w:b w:val="0"/>
              </w:rPr>
              <w:t>P-0530</w:t>
            </w:r>
          </w:p>
        </w:tc>
        <w:tc>
          <w:tcPr>
            <w:tcW w:type="dxa" w:w="1440"/>
          </w:tcPr>
          <w:p>
            <w:r/>
            <w:r>
              <w:rPr>
                <w:b w:val="0"/>
              </w:rPr>
              <w:t>high</w:t>
            </w:r>
          </w:p>
        </w:tc>
        <w:tc>
          <w:tcPr>
            <w:tcW w:type="dxa" w:w="1440"/>
          </w:tcPr>
          <w:p>
            <w:r/>
            <w:r>
              <w:rPr>
                <w:b w:val="0"/>
              </w:rPr>
              <w:t>-</w:t>
            </w:r>
          </w:p>
        </w:tc>
        <w:tc>
          <w:tcPr>
            <w:tcW w:type="dxa" w:w="1440"/>
          </w:tcPr>
          <w:p>
            <w:r/>
            <w:r>
              <w:rPr>
                <w:b w:val="0"/>
              </w:rPr>
              <w:t>usable</w:t>
            </w:r>
          </w:p>
        </w:tc>
        <w:tc>
          <w:tcPr>
            <w:tcW w:type="dxa" w:w="1440"/>
          </w:tcPr>
          <w:p>
            <w:r/>
            <w:r>
              <w:rPr>
                <w:b w:val="0"/>
              </w:rPr>
              <w:t>Follow-up question to patient</w:t>
            </w:r>
          </w:p>
        </w:tc>
      </w:tr>
      <w:tr>
        <w:tc>
          <w:tcPr>
            <w:tcW w:type="dxa" w:w="1440"/>
          </w:tcPr>
          <w:p>
            <w:r/>
            <w:r>
              <w:rPr>
                <w:b w:val="0"/>
              </w:rPr>
              <w:t>5</w:t>
            </w:r>
          </w:p>
        </w:tc>
        <w:tc>
          <w:tcPr>
            <w:tcW w:type="dxa" w:w="1440"/>
          </w:tcPr>
          <w:p>
            <w:r/>
            <w:r>
              <w:rPr>
                <w:b w:val="0"/>
              </w:rPr>
              <w:t>P-0812</w:t>
            </w:r>
          </w:p>
        </w:tc>
        <w:tc>
          <w:tcPr>
            <w:tcW w:type="dxa" w:w="1440"/>
          </w:tcPr>
          <w:p>
            <w:r/>
            <w:r>
              <w:rPr>
                <w:b w:val="0"/>
              </w:rPr>
              <w:t>high</w:t>
            </w:r>
          </w:p>
        </w:tc>
        <w:tc>
          <w:tcPr>
            <w:tcW w:type="dxa" w:w="1440"/>
          </w:tcPr>
          <w:p>
            <w:r/>
            <w:r>
              <w:rPr>
                <w:b w:val="0"/>
              </w:rPr>
              <w:t>changed</w:t>
            </w:r>
          </w:p>
        </w:tc>
        <w:tc>
          <w:tcPr>
            <w:tcW w:type="dxa" w:w="1440"/>
          </w:tcPr>
          <w:p>
            <w:r/>
            <w:r>
              <w:rPr>
                <w:b w:val="0"/>
              </w:rPr>
              <w:t>usable</w:t>
            </w:r>
          </w:p>
        </w:tc>
        <w:tc>
          <w:tcPr>
            <w:tcW w:type="dxa" w:w="1440"/>
          </w:tcPr>
          <w:p>
            <w:r/>
            <w:r>
              <w:rPr>
                <w:b w:val="0"/>
              </w:rPr>
              <w:t>Manual review required</w:t>
            </w:r>
          </w:p>
        </w:tc>
      </w:tr>
      <w:tr>
        <w:tc>
          <w:tcPr>
            <w:tcW w:type="dxa" w:w="1440"/>
          </w:tcPr>
          <w:p>
            <w:r/>
            <w:r>
              <w:rPr>
                <w:b w:val="0"/>
              </w:rPr>
              <w:t>6</w:t>
            </w:r>
          </w:p>
        </w:tc>
        <w:tc>
          <w:tcPr>
            <w:tcW w:type="dxa" w:w="1440"/>
          </w:tcPr>
          <w:p>
            <w:r/>
            <w:r>
              <w:rPr>
                <w:b w:val="0"/>
              </w:rPr>
              <w:t>P-0745</w:t>
            </w:r>
          </w:p>
        </w:tc>
        <w:tc>
          <w:tcPr>
            <w:tcW w:type="dxa" w:w="1440"/>
          </w:tcPr>
          <w:p>
            <w:r/>
            <w:r>
              <w:rPr>
                <w:b w:val="0"/>
              </w:rPr>
              <w:t>high</w:t>
            </w:r>
          </w:p>
        </w:tc>
        <w:tc>
          <w:tcPr>
            <w:tcW w:type="dxa" w:w="1440"/>
          </w:tcPr>
          <w:p>
            <w:r/>
            <w:r>
              <w:rPr>
                <w:b w:val="0"/>
              </w:rPr>
              <w:t>grew, changed</w:t>
            </w:r>
          </w:p>
        </w:tc>
        <w:tc>
          <w:tcPr>
            <w:tcW w:type="dxa" w:w="1440"/>
          </w:tcPr>
          <w:p>
            <w:r/>
            <w:r>
              <w:rPr>
                <w:b w:val="0"/>
              </w:rPr>
              <w:t>borderline</w:t>
            </w:r>
          </w:p>
        </w:tc>
        <w:tc>
          <w:tcPr>
            <w:tcW w:type="dxa" w:w="1440"/>
          </w:tcPr>
          <w:p>
            <w:r/>
            <w:r>
              <w:rPr>
                <w:b w:val="0"/>
              </w:rPr>
              <w:t>Evidence ready, flagged</w:t>
            </w:r>
          </w:p>
        </w:tc>
      </w:tr>
      <w:tr>
        <w:tc>
          <w:tcPr>
            <w:tcW w:type="dxa" w:w="1440"/>
          </w:tcPr>
          <w:p>
            <w:r/>
            <w:r>
              <w:rPr>
                <w:b w:val="0"/>
              </w:rPr>
              <w:t>7</w:t>
            </w:r>
          </w:p>
        </w:tc>
        <w:tc>
          <w:tcPr>
            <w:tcW w:type="dxa" w:w="1440"/>
          </w:tcPr>
          <w:p>
            <w:r/>
            <w:r>
              <w:rPr>
                <w:b w:val="0"/>
              </w:rPr>
              <w:t>P-0821</w:t>
            </w:r>
          </w:p>
        </w:tc>
        <w:tc>
          <w:tcPr>
            <w:tcW w:type="dxa" w:w="1440"/>
          </w:tcPr>
          <w:p>
            <w:r/>
            <w:r>
              <w:rPr>
                <w:b w:val="0"/>
              </w:rPr>
              <w:t>high</w:t>
            </w:r>
          </w:p>
        </w:tc>
        <w:tc>
          <w:tcPr>
            <w:tcW w:type="dxa" w:w="1440"/>
          </w:tcPr>
          <w:p>
            <w:r/>
            <w:r>
              <w:rPr>
                <w:b w:val="0"/>
              </w:rPr>
              <w:t>grew</w:t>
            </w:r>
          </w:p>
        </w:tc>
        <w:tc>
          <w:tcPr>
            <w:tcW w:type="dxa" w:w="1440"/>
          </w:tcPr>
          <w:p>
            <w:r/>
            <w:r>
              <w:rPr>
                <w:b w:val="0"/>
              </w:rPr>
              <w:t>usable</w:t>
            </w:r>
          </w:p>
        </w:tc>
        <w:tc>
          <w:tcPr>
            <w:tcW w:type="dxa" w:w="1440"/>
          </w:tcPr>
          <w:p>
            <w:r/>
            <w:r>
              <w:rPr>
                <w:b w:val="0"/>
              </w:rPr>
              <w:t>Follow-up question to patient</w:t>
            </w:r>
          </w:p>
        </w:tc>
      </w:tr>
      <w:tr>
        <w:tc>
          <w:tcPr>
            <w:tcW w:type="dxa" w:w="1440"/>
          </w:tcPr>
          <w:p>
            <w:r/>
            <w:r>
              <w:rPr>
                <w:b w:val="0"/>
              </w:rPr>
              <w:t>8</w:t>
            </w:r>
          </w:p>
        </w:tc>
        <w:tc>
          <w:tcPr>
            <w:tcW w:type="dxa" w:w="1440"/>
          </w:tcPr>
          <w:p>
            <w:r/>
            <w:r>
              <w:rPr>
                <w:b w:val="0"/>
              </w:rPr>
              <w:t>P-0866</w:t>
            </w:r>
          </w:p>
        </w:tc>
        <w:tc>
          <w:tcPr>
            <w:tcW w:type="dxa" w:w="1440"/>
          </w:tcPr>
          <w:p>
            <w:r/>
            <w:r>
              <w:rPr>
                <w:b w:val="0"/>
              </w:rPr>
              <w:t>high</w:t>
            </w:r>
          </w:p>
        </w:tc>
        <w:tc>
          <w:tcPr>
            <w:tcW w:type="dxa" w:w="1440"/>
          </w:tcPr>
          <w:p>
            <w:r/>
            <w:r>
              <w:rPr>
                <w:b w:val="0"/>
              </w:rPr>
              <w:t>grew, hurt, changed, bleed</w:t>
            </w:r>
          </w:p>
        </w:tc>
        <w:tc>
          <w:tcPr>
            <w:tcW w:type="dxa" w:w="1440"/>
          </w:tcPr>
          <w:p>
            <w:r/>
            <w:r>
              <w:rPr>
                <w:b w:val="0"/>
              </w:rPr>
              <w:t>usable</w:t>
            </w:r>
          </w:p>
        </w:tc>
        <w:tc>
          <w:tcPr>
            <w:tcW w:type="dxa" w:w="1440"/>
          </w:tcPr>
          <w:p>
            <w:r/>
            <w:r>
              <w:rPr>
                <w:b w:val="0"/>
              </w:rPr>
              <w:t>Follow-up question to patient</w:t>
            </w:r>
          </w:p>
        </w:tc>
      </w:tr>
      <w:tr>
        <w:tc>
          <w:tcPr>
            <w:tcW w:type="dxa" w:w="1440"/>
          </w:tcPr>
          <w:p>
            <w:r/>
            <w:r>
              <w:rPr>
                <w:b w:val="0"/>
              </w:rPr>
              <w:t>9</w:t>
            </w:r>
          </w:p>
        </w:tc>
        <w:tc>
          <w:tcPr>
            <w:tcW w:type="dxa" w:w="1440"/>
          </w:tcPr>
          <w:p>
            <w:r/>
            <w:r>
              <w:rPr>
                <w:b w:val="0"/>
              </w:rPr>
              <w:t>P-0903</w:t>
            </w:r>
          </w:p>
        </w:tc>
        <w:tc>
          <w:tcPr>
            <w:tcW w:type="dxa" w:w="1440"/>
          </w:tcPr>
          <w:p>
            <w:r/>
            <w:r>
              <w:rPr>
                <w:b w:val="0"/>
              </w:rPr>
              <w:t>high</w:t>
            </w:r>
          </w:p>
        </w:tc>
        <w:tc>
          <w:tcPr>
            <w:tcW w:type="dxa" w:w="1440"/>
          </w:tcPr>
          <w:p>
            <w:r/>
            <w:r>
              <w:rPr>
                <w:b w:val="0"/>
              </w:rPr>
              <w:t>changed</w:t>
            </w:r>
          </w:p>
        </w:tc>
        <w:tc>
          <w:tcPr>
            <w:tcW w:type="dxa" w:w="1440"/>
          </w:tcPr>
          <w:p>
            <w:r/>
            <w:r>
              <w:rPr>
                <w:b w:val="0"/>
              </w:rPr>
              <w:t>usable</w:t>
            </w:r>
          </w:p>
        </w:tc>
        <w:tc>
          <w:tcPr>
            <w:tcW w:type="dxa" w:w="1440"/>
          </w:tcPr>
          <w:p>
            <w:r/>
            <w:r>
              <w:rPr>
                <w:b w:val="0"/>
              </w:rPr>
              <w:t>Evidence ready, flagged</w:t>
            </w:r>
          </w:p>
        </w:tc>
      </w:tr>
      <w:tr>
        <w:tc>
          <w:tcPr>
            <w:tcW w:type="dxa" w:w="1440"/>
          </w:tcPr>
          <w:p>
            <w:r/>
            <w:r>
              <w:rPr>
                <w:b w:val="0"/>
              </w:rPr>
              <w:t>10</w:t>
            </w:r>
          </w:p>
        </w:tc>
        <w:tc>
          <w:tcPr>
            <w:tcW w:type="dxa" w:w="1440"/>
          </w:tcPr>
          <w:p>
            <w:r/>
            <w:r>
              <w:rPr>
                <w:b w:val="0"/>
              </w:rPr>
              <w:t>P-0988</w:t>
            </w:r>
          </w:p>
        </w:tc>
        <w:tc>
          <w:tcPr>
            <w:tcW w:type="dxa" w:w="1440"/>
          </w:tcPr>
          <w:p>
            <w:r/>
            <w:r>
              <w:rPr>
                <w:b w:val="0"/>
              </w:rPr>
              <w:t>high</w:t>
            </w:r>
          </w:p>
        </w:tc>
        <w:tc>
          <w:tcPr>
            <w:tcW w:type="dxa" w:w="1440"/>
          </w:tcPr>
          <w:p>
            <w:r/>
            <w:r>
              <w:rPr>
                <w:b w:val="0"/>
              </w:rPr>
              <w:t>itch</w:t>
            </w:r>
          </w:p>
        </w:tc>
        <w:tc>
          <w:tcPr>
            <w:tcW w:type="dxa" w:w="1440"/>
          </w:tcPr>
          <w:p>
            <w:r/>
            <w:r>
              <w:rPr>
                <w:b w:val="0"/>
              </w:rPr>
              <w:t>usable</w:t>
            </w:r>
          </w:p>
        </w:tc>
        <w:tc>
          <w:tcPr>
            <w:tcW w:type="dxa" w:w="1440"/>
          </w:tcPr>
          <w:p>
            <w:r/>
            <w:r>
              <w:rPr>
                <w:b w:val="0"/>
              </w:rPr>
              <w:t>Follow-up question to patient</w:t>
            </w:r>
          </w:p>
        </w:tc>
      </w:tr>
    </w:tbl>
    <w:p>
      <w:pPr>
        <w:pStyle w:val="Heading2"/>
      </w:pPr>
      <w:r>
        <w:t>Case details</w:t>
      </w:r>
    </w:p>
    <w:p>
      <w:pPr>
        <w:pStyle w:val="Heading3"/>
      </w:pPr>
      <w:r>
        <w:t>1. Patient P-0193 · age 64 · back</w:t>
      </w:r>
    </w:p>
    <w:p>
      <w:r>
        <w:t>Why on the list: Patient is on the urgent list with a very high risk band and symptoms answered yes including bleeding, change, and growth. (score 0.94; image model very high, symptom model high)</w:t>
      </w:r>
    </w:p>
    <w:p>
      <w:r>
        <w:t>Evidence: The patient is a 64-year-old with a lesion on the back, reporting bleeding, changes, and growth. The photo quality is usable, and the image risk band and symptom risk band are consistent. "Early signs in a nevus that would suggest a malignant change include: Darker or variable discoloration. An increase in size or the development of satellite lesions. Ulceration or bleeding (later signs)." [pdq:melanoma_tx:s05:c00]</w:t>
      </w:r>
    </w:p>
    <w:p>
      <w:r>
        <w:t>Why this status: The photo is usable, information is consistent, and nothing is missing.</w:t>
      </w:r>
    </w:p>
    <w:p>
      <w:pPr>
        <w:pStyle w:val="ListBullet"/>
      </w:pPr>
      <w:r>
        <w:t>“Early signs in a nevus that would suggest a malignant change include: Darker or variable discoloration. An increase in size or the development of satellite lesions. Ulceration or bleeding (later signs).” (Melanoma Treatment (PDQ) - HP, Clinical Features; pdq:melanoma_tx:s05:c00)</w:t>
      </w:r>
    </w:p>
    <w:p>
      <w:r>
        <w:t>Decision:  ☐ Move appointment earlier   ☐ Approve biopsy referral draft   ☐ Keep regular appointment</w:t>
      </w:r>
    </w:p>
    <w:p>
      <w:pPr>
        <w:pStyle w:val="Heading3"/>
      </w:pPr>
      <w:r>
        <w:t>2. Patient P-0274 · age 59 · scalp</w:t>
      </w:r>
    </w:p>
    <w:p>
      <w:r>
        <w:t>Why on the list: The patient is on the urgent list due to a very high risk band and positive answers for symptoms of change and growth on the scalp. (score 0.92; image model very high, symptom model high)</w:t>
      </w:r>
    </w:p>
    <w:p>
      <w:r>
        <w:t>Evidence: The form reports a lesion on the scalp that has changed and grown, with no patient note provided. The image quality is borderline because hair covers part of the lesion, but the risk band is very high. According to the guidance, "Early signs in a nevus that would suggest a malignant change include: Darker or variable discoloration. An increase in size or the development of satellite lesions. Ulceration or bleeding (later signs)."</w:t>
      </w:r>
    </w:p>
    <w:p>
      <w:r>
        <w:t>Why this status: The photo status is borderline due to hair covering part of the lesion, but since the risk band is very high, the case should not be delayed by a retake.</w:t>
      </w:r>
    </w:p>
    <w:p>
      <w:r>
        <w:t>Flags: borderline photo quality; hair covers part of the lesion</w:t>
      </w:r>
    </w:p>
    <w:p>
      <w:pPr>
        <w:pStyle w:val="ListBullet"/>
      </w:pPr>
      <w:r>
        <w:t>“Early signs in a nevus that would suggest a malignant change include: Darker or variable discoloration. An increase in size or the development of satellite lesions. Ulceration or bleeding (later signs).” (Melanoma Treatment (PDQ) - HP, Clinical Features; pdq:melanoma_tx:s05:c00)</w:t>
      </w:r>
    </w:p>
    <w:p>
      <w:r>
        <w:t>Decision:  ☐ Move appointment earlier   ☐ Approve biopsy referral draft   ☐ Keep regular appointment</w:t>
      </w:r>
    </w:p>
    <w:p>
      <w:pPr>
        <w:pStyle w:val="Heading3"/>
      </w:pPr>
      <w:r>
        <w:t>3. Patient P-0457 · age 71 · face</w:t>
      </w:r>
    </w:p>
    <w:p>
      <w:r>
        <w:t>Why on the list: The patient is on the urgent list due to a high combined risk score of 0.905 and risk band high, with symptoms answered yes for grew and itch. (score 0.91; image model high, symptom model moderate)</w:t>
      </w:r>
    </w:p>
    <w:p>
      <w:r>
        <w:t>Evidence: The patient form reports a lesion on the face that grew and itches, with no note provided. The photo status is borderline due to being too dark, and the symptom risk band is moderate while the image risk band is high. "Subsequent studies have noted a higher accuracy for dermatologists in the diagnosis of melanocytic lesions,[ 2, 3 ] yet there is a shortage of dermatologists to meet the demands of population-level screening." [pdq:screening:s06:c00]</w:t>
      </w:r>
    </w:p>
    <w:p>
      <w:r>
        <w:t>Why this status: The decision is proceed_with_flag because the photo status is borderline (too dark) but the risk band is high, and since the risk band is not very high, a borderline photo requires flagging rather than an automatic retake or manual review.</w:t>
      </w:r>
    </w:p>
    <w:p>
      <w:r>
        <w:t>Photo retake instruction: צלמו שוב באור יום, ליד חלון, בלי פלאש.</w:t>
      </w:r>
    </w:p>
    <w:p>
      <w:r>
        <w:t>Flags: borderline photo: too dark; guardrail: photo issue a retake can fix (too dark); decision set to request_retake</w:t>
      </w:r>
    </w:p>
    <w:p>
      <w:pPr>
        <w:pStyle w:val="ListBullet"/>
      </w:pPr>
      <w:r>
        <w:t>“Subsequent studies have noted a higher accuracy for dermatologists in the diagnosis of melanocytic lesions,[ 2, 3 ] yet there is a shortage of dermatologists to meet the demands of population-level screening.” (Skin Cancer Screening (PDQ) - HP, Accuracy of Making a Clinical Diagnosis of Melanoma; pdq:screening:s06:c00)</w:t>
      </w:r>
    </w:p>
    <w:p>
      <w:r>
        <w:t>Decision:  ☐ Move appointment earlier   ☐ Approve biopsy referral draft   ☐ Keep regular appointment</w:t>
      </w:r>
    </w:p>
    <w:p>
      <w:pPr>
        <w:pStyle w:val="Heading3"/>
      </w:pPr>
      <w:r>
        <w:t>4. Patient P-0530 · age 45 · arm</w:t>
      </w:r>
    </w:p>
    <w:p>
      <w:r>
        <w:t>Why on the list: The patient is on the list due to a combined high risk score (0.89) and high risk band, with form symptoms reported as no. (score 0.89; image model very high, symptom model low)</w:t>
      </w:r>
    </w:p>
    <w:p>
      <w:r>
        <w:t>Patient's note: “I have had this mole since I was a child, but this summer it got darker.”</w:t>
      </w:r>
    </w:p>
    <w:p>
      <w:r>
        <w:t>Evidence: The patient form reports no symptoms, while the patient note mentions that the mole got darker this summer. The photo status is usable, but there is a contradiction between the symptom answers and the patient note. According to verified guidance: "Observer variability among physicians has been noted in the evaluation of skin lesions and subsequent biopsy specimens." [pdq:screening:s06:c00]</w:t>
      </w:r>
    </w:p>
    <w:p>
      <w:r>
        <w:t>Why this status: The patient note states that the mole got darker, which directly contradicts the symptom form where 'changed' was answered as 'no', requiring clarification.</w:t>
      </w:r>
    </w:p>
    <w:p>
      <w:r>
        <w:t>Follow-up question sent: האם השמזן או נהיה כהה יותר בקיץ האחרון?</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5. Patient P-0812 · age 16 · arm</w:t>
      </w:r>
    </w:p>
    <w:p>
      <w:r>
        <w:t>Why on the list: The patient is on the list due to a high risk band and a symptom answer of changed. (score 0.88; image model high, symptom model high)</w:t>
      </w:r>
    </w:p>
    <w:p>
      <w:r>
        <w:t>Evidence: The patient is 16 years old with a lesion on the arm, presenting with a high risk score and a usable photo. The form reports that the lesion has changed, with no patient note provided. "Early signs in a nevus that would suggest a malignant change include: Darker or variable discoloration. An increase in size or the development of satellite lesions. Ulceration or bleeding (later signs). A common acronym used by medical professionals and the lay public to identify the suspicious features of pigmented lesions that may reflect malignant change is ABCDE:[ 5 ] A symmetry of the lesion. E volution or change in the lesion." [pdq:melanoma_tx:s05:c00]</w:t>
      </w:r>
    </w:p>
    <w:p>
      <w:r>
        <w:t>Why this status: Manual review is required because the patient is under 18.</w:t>
      </w:r>
    </w:p>
    <w:p>
      <w:r>
        <w:t>Flags: patient under 18</w:t>
      </w:r>
    </w:p>
    <w:p>
      <w:pPr>
        <w:pStyle w:val="ListBullet"/>
      </w:pPr>
      <w:r>
        <w:t>“Early signs in a nevus that would suggest a malignant change include: Darker or variable discoloration. An increase in size or the development of satellite lesions. Ulceration or bleeding (later signs). A common acronym used by medical professionals and the lay public to identify the suspicious features of pigmented lesions that may reflect malignant change is ABCDE:[ 5 ] A symmetry of the lesion. E volution or change in the lesion.” (Melanoma Treatment (PDQ) - HP, Clinical Features; pdq:melanoma_tx:s05:c00)</w:t>
      </w:r>
    </w:p>
    <w:p>
      <w:r>
        <w:t>Decision:  ☐ Move appointment earlier   ☐ Approve biopsy referral draft   ☐ Keep regular appointment</w:t>
      </w:r>
    </w:p>
    <w:p>
      <w:pPr>
        <w:pStyle w:val="Heading3"/>
      </w:pPr>
      <w:r>
        <w:t>6. Patient P-0745 · age 67 · behind the ear</w:t>
      </w:r>
    </w:p>
    <w:p>
      <w:r>
        <w:t>Why on the list: The patient is on the urgent list with a high risk band (0.86) and reported that the lesion has grown and changed. (score 0.86; image model high, symptom model high)</w:t>
      </w:r>
    </w:p>
    <w:p>
      <w:r>
        <w:t>Evidence: The patient reported that the lesion grew and changed, located behind the ear. The image quality is borderline due to the anatomical site being hard to photograph, while both symptom and image risk bands are high. "Observer variability among physicians has been noted in the evaluation of skin lesions and subsequent biopsy specimens." [pdq:screening:s06:c00]</w:t>
      </w:r>
    </w:p>
    <w:p>
      <w:r>
        <w:t>Why this status: The photo quality is borderline due to the body site behind the ear, but the risk band is high and a retake would not fix the difficulty of photographing this anatomical location.</w:t>
      </w:r>
    </w:p>
    <w:p>
      <w:r>
        <w:t>Flags: borderline photo quality</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7. Patient P-0821 · age 49 · chin</w:t>
      </w:r>
    </w:p>
    <w:p>
      <w:r>
        <w:t>Why on the list: The patient is on the urgent list with a high risk band (score 0.845) and reported that the lesion grew. (score 0.84; image model high, symptom model moderate)</w:t>
      </w:r>
    </w:p>
    <w:p>
      <w:r>
        <w:t>Patient's note: “It bleeds a little when I shave over it.”</w:t>
      </w:r>
    </w:p>
    <w:p>
      <w:r>
        <w:t>Evidence: The form reports that the lesion grew but did not bleed, whereas the patient note reports that it bleeds a little when shaving over it. The photo quality is usable and the visual risk band is high. According to the guidance, "Observer variability among physicians has been noted in the evaluation of skin lesions and subsequent biopsy specimens." [pdq:screening:s06:c00]</w:t>
      </w:r>
    </w:p>
    <w:p>
      <w:r>
        <w:t>Why this status: The patient_note states that the lesion bleeds when shaving, which contradicts the symptom answer of 'no' for bleeding.</w:t>
      </w:r>
    </w:p>
    <w:p>
      <w:r>
        <w:t>Follow-up question sent: האם הנגע מדמם גם כשאינך מתגלח?</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8. Patient P-0866 · age 61 · back</w:t>
      </w:r>
    </w:p>
    <w:p>
      <w:r>
        <w:t>Why on the list: The patient is in the high risk band with a risk score of 0.83, reporting symptoms of bleeding, changes, growth, and pain on the back. (score 0.83; image model low, symptom model very high)</w:t>
      </w:r>
    </w:p>
    <w:p>
      <w:r>
        <w:t>Evidence: The form reports bleeding, changes, growth, and pain on the back, while the photo quality is usable and shows a low risk band compared to the very high symptom risk band. "High-risk individuals, including first- and second-degree family members in melanoma-prone families, should be educated about sun safety and warning signs of melanoma.[ 67 ]" [pdq:genetics:s71:c00]</w:t>
      </w:r>
    </w:p>
    <w:p>
      <w:r>
        <w:t>Why this status: image_risk_band and symptom_risk_band are two or more levels apart, so ask_patient was chosen over proceed_with_flag.</w:t>
      </w:r>
    </w:p>
    <w:p>
      <w:r>
        <w:t>Follow-up question sent: האם תוכל לפרט מתי הבחנת בשינוי או בדימום בנגע בגב?</w:t>
      </w:r>
    </w:p>
    <w:p>
      <w:pPr>
        <w:pStyle w:val="ListBullet"/>
      </w:pPr>
      <w:r>
        <w:t>“High-risk individuals, including first- and second-degree family members in melanoma-prone families, should be educated about sun safety and warning signs of melanoma.[ 67 ]” (Genetics of Skin Cancer (PDQ) - HP, High-risk population; pdq:genetics:s71:c00)</w:t>
      </w:r>
    </w:p>
    <w:p>
      <w:r>
        <w:t>Decision:  ☐ Move appointment earlier   ☐ Approve biopsy referral draft   ☐ Keep regular appointment</w:t>
      </w:r>
    </w:p>
    <w:p>
      <w:pPr>
        <w:pStyle w:val="Heading3"/>
      </w:pPr>
      <w:r>
        <w:t>9. Patient P-0903 · age 42 · arm</w:t>
      </w:r>
    </w:p>
    <w:p>
      <w:r>
        <w:t>Why on the list: Patient is on the urgent list with a high risk band and a lesion reported as changed. (score 0.81; image model high, symptom model high)</w:t>
      </w:r>
    </w:p>
    <w:p>
      <w:r>
        <w:t>Patient's note: “My father had melanoma.”</w:t>
      </w:r>
    </w:p>
    <w:p>
      <w:r>
        <w:t>Evidence: The patient reports a lesion on the arm that has changed, with a patient note stating a family history of melanoma. The photo status is usable, and both image and symptom risk bands are high. "Melanoma occurs predominantly in adults, and more than 50% of the cases arise in apparently normal areas of the skin." [pdq:melanoma_tx:s05:c00]</w:t>
      </w:r>
    </w:p>
    <w:p>
      <w:r>
        <w:t>Why this status: The photo is usable, information is consistent, and the patient note adds relevant family history.</w:t>
      </w:r>
    </w:p>
    <w:p>
      <w:r>
        <w:t>Flags: family history of melanoma</w:t>
      </w:r>
    </w:p>
    <w:p>
      <w:pPr>
        <w:pStyle w:val="ListBullet"/>
      </w:pPr>
      <w:r>
        <w:t>“Melanoma occurs predominantly in adults, and more than 50% of the cases arise in apparently normal areas of the skin.” (Melanoma Treatment (PDQ) - HP, Clinical Features; pdq:melanoma_tx:s05:c00)</w:t>
      </w:r>
    </w:p>
    <w:p>
      <w:r>
        <w:t>Decision:  ☐ Move appointment earlier   ☐ Approve biopsy referral draft   ☐ Keep regular appointment</w:t>
      </w:r>
    </w:p>
    <w:p>
      <w:pPr>
        <w:pStyle w:val="Heading3"/>
      </w:pPr>
      <w:r>
        <w:t>10. Patient P-0988 · age 38 · leg</w:t>
      </w:r>
    </w:p>
    <w:p>
      <w:r>
        <w:t>Why on the list: The patient is on the urgent list with a high risk score and band, and reported itching on the leg. (score 0.80; image model high, symptom model moderate)</w:t>
      </w:r>
    </w:p>
    <w:p>
      <w:r>
        <w:t>Patient's note: “השומה גדלה מאוד בחודש האחרון”</w:t>
      </w:r>
    </w:p>
    <w:p>
      <w:r>
        <w:t>Evidence: Combined risk band high (score 0.80); image model high, symptom model moderate. Symptoms answered yes: itch. Photo quality: usable. Guidance: “Observer variability among physicians has been noted in the evaluation of skin lesions and subsequent biopsy specimens.” [pdq:screening:s06:c00].</w:t>
      </w:r>
    </w:p>
    <w:p>
      <w:r>
        <w:t>Why this status: The patient note reports rapid growth over the past month, contradicting the symptom form where the patient answered 'no' to growth, so an inquiry is needed before review.</w:t>
      </w:r>
    </w:p>
    <w:p>
      <w:r>
        <w:t>Follow-up question sent: בטופס צוין שהשומה לא גדלה, אך בהערה נכתב שהיא גדלה מאוד בחודש האחרון - האם השומה גדלה לאחרונה?</w:t>
      </w:r>
    </w:p>
    <w:p>
      <w:r>
        <w:t>Flags: guardrail: evidence summary had unsourced quotes or numbers; replaced with model evidence</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r>
        <w:t>This system supports prioritisation only and does not diagnose. It can only move an appointment earlier, never later. Patients never see a risk score. Guidance quotes are from the NCI PDQ summaries (excerpts; not an official PDQ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