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i w:val="0"/>
          <w:color w:val="1F4D78"/>
          <w:sz w:val="44"/>
        </w:rPr>
        <w:t>API Documentation Structure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5A5A5A"/>
          <w:sz w:val="20"/>
        </w:rPr>
        <w:t>Route-level outline for REST endpoints, conventions, and the fish-sector extension plan.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B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Scope note: </w:t>
            </w:r>
            <w:r>
              <w:rPr>
                <w:rFonts w:ascii="Calibri" w:hAnsi="Calibri"/>
                <w:b w:val="0"/>
                <w:i w:val="0"/>
                <w:color w:val="232323"/>
                <w:sz w:val="21"/>
              </w:rPr>
              <w:t>Use this structure to document the API as the codebase source of truth, while clearly separating current endpoints from planned additions for the fish-sector flow.</w:t>
            </w:r>
          </w:p>
        </w:tc>
      </w:tr>
    </w:tbl>
    <w:p>
      <w:pPr>
        <w:pStyle w:val="Heading1"/>
      </w:pPr>
      <w:r>
        <w:t>API Conventions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versioning, base path, authentication headers, pagination, and error format.</w:t>
      </w:r>
    </w:p>
    <w:p>
      <w:pPr>
        <w:pStyle w:val="Heading1"/>
      </w:pPr>
      <w:r>
        <w:t>Authentication Endpoints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Document registration, login, refresh, logout, PIN, OTP, and password reset flows.</w:t>
      </w:r>
    </w:p>
    <w:p>
      <w:pPr>
        <w:pStyle w:val="Heading1"/>
      </w:pPr>
      <w:r>
        <w:t>Commerce Endpoints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Cover products, categories, stores, cart, checkout, orders, and addresses.</w:t>
      </w:r>
    </w:p>
    <w:p>
      <w:pPr>
        <w:pStyle w:val="Heading1"/>
      </w:pPr>
      <w:r>
        <w:t>Wallet Endpoints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Cover wallet balance, transaction history, transfers, deposits, withdrawals, and QR flows.</w:t>
      </w:r>
    </w:p>
    <w:p>
      <w:pPr>
        <w:pStyle w:val="Heading1"/>
      </w:pPr>
      <w:r>
        <w:t>Logistics Endpoints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Cover drivers, vehicles, delivery batches, tracking events, and warehousing requests.</w:t>
      </w:r>
    </w:p>
    <w:p>
      <w:pPr>
        <w:pStyle w:val="Heading1"/>
      </w:pPr>
      <w:r>
        <w:t>Admin and Operations Endpoints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Document administrative read/write actions and platform oversight routes.</w:t>
      </w:r>
    </w:p>
    <w:p>
      <w:pPr>
        <w:pStyle w:val="Heading1"/>
      </w:pPr>
      <w:r>
        <w:t>Error Handling and Validation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State the request validation and response error contract for all routes.</w:t>
      </w:r>
    </w:p>
    <w:p>
      <w:pPr>
        <w:pStyle w:val="Heading1"/>
      </w:pPr>
      <w:r>
        <w:t>Fish Sector Coverage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Include a fish-sector API subsection that documents the planned transport picker, container status lookup, and any order payload additions needed to support fish deliveries without changing the normal produce checkout path.</w:t>
      </w:r>
    </w:p>
    <w:p>
      <w:pPr>
        <w:pStyle w:val="Heading1"/>
      </w:pPr>
      <w:r>
        <w:t>Closing Note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When this structure is expanded into a full reference, the route list should stay faithful to the actual controllers in the codebase.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5A5A5A"/>
        <w:sz w:val="18"/>
      </w:rPr>
      <w:t>AgriChain AI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