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Calibri" w:hAnsi="Calibri"/>
          <w:b/>
          <w:i w:val="0"/>
          <w:color w:val="1F4D78"/>
          <w:sz w:val="44"/>
        </w:rPr>
        <w:t>Product Requirements Document Structure</w:t>
      </w:r>
    </w:p>
    <w:p>
      <w:pPr>
        <w:spacing w:before="0" w:after="200"/>
        <w:jc w:val="left"/>
      </w:pPr>
      <w:r>
        <w:rPr>
          <w:rFonts w:ascii="Calibri" w:hAnsi="Calibri"/>
          <w:b w:val="0"/>
          <w:i/>
          <w:color w:val="5A5A5A"/>
          <w:sz w:val="20"/>
        </w:rPr>
        <w:t>AgriChain AI / AI-SUCE documentation structure for the product requirements layer.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B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Scope note: </w:t>
            </w:r>
            <w:r>
              <w:rPr>
                <w:rFonts w:ascii="Calibri" w:hAnsi="Calibri"/>
                <w:b w:val="0"/>
                <w:i w:val="0"/>
                <w:color w:val="232323"/>
                <w:sz w:val="21"/>
              </w:rPr>
              <w:t>This outline is meant to capture the business-facing requirements of the platform as it exists today, while reserving space for the fish-sector expansion as a planned addition rather than an implemented feature.</w:t>
            </w:r>
          </w:p>
        </w:tc>
      </w:tr>
    </w:tbl>
    <w:p>
      <w:pPr>
        <w:pStyle w:val="Heading1"/>
      </w:pPr>
      <w:r>
        <w:t>Executive Summary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Summarize the platform, the users it serves, and the business problem it addresses.</w:t>
      </w:r>
    </w:p>
    <w:p>
      <w:pPr>
        <w:pStyle w:val="Heading1"/>
      </w:pPr>
      <w:r>
        <w:t>Product Vision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Describe the long-term vision for GreenPurse, GreenSC, and the shared platform experience.</w:t>
      </w:r>
    </w:p>
    <w:p>
      <w:pPr>
        <w:pStyle w:val="Heading1"/>
      </w:pPr>
      <w:r>
        <w:t>Problem Statement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Explain the agricultural commerce, logistics, and marketplace pain points the product solves.</w:t>
      </w:r>
    </w:p>
    <w:p>
      <w:pPr>
        <w:pStyle w:val="Heading1"/>
      </w:pPr>
      <w:r>
        <w:t>Goals and Success Metrics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Define measurable goals for adoption, transactions, fulfillment, and retention.</w:t>
      </w:r>
    </w:p>
    <w:p>
      <w:pPr>
        <w:pStyle w:val="Heading1"/>
      </w:pPr>
      <w:r>
        <w:t>User Personas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Capture buyer, farmer, admin, and operations personas with their core needs and constraints.</w:t>
      </w:r>
    </w:p>
    <w:p>
      <w:pPr>
        <w:pStyle w:val="Heading1"/>
      </w:pPr>
      <w:r>
        <w:t>User Stories and Journeys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Document the main buyer, farmer, and admin journeys from discovery to completion.</w:t>
      </w:r>
    </w:p>
    <w:p>
      <w:pPr>
        <w:pStyle w:val="Heading1"/>
      </w:pPr>
      <w:r>
        <w:t>Functional Requirements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List the capabilities the platform must support across commerce, logistics, wallet, and admin operations.</w:t>
      </w:r>
    </w:p>
    <w:p>
      <w:pPr>
        <w:pStyle w:val="Heading1"/>
      </w:pPr>
      <w:r>
        <w:t>Non-Functional Requirements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Cover security, reliability, performance, accessibility, and maintainability expectations.</w:t>
      </w:r>
    </w:p>
    <w:p>
      <w:pPr>
        <w:pStyle w:val="Heading1"/>
      </w:pPr>
      <w:r>
        <w:t>Risks and Assumptions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Call out business and technical uncertainties that affect the product direction.</w:t>
      </w:r>
    </w:p>
    <w:p>
      <w:pPr>
        <w:pStyle w:val="Heading1"/>
      </w:pPr>
      <w:r>
        <w:t>Future Roadmap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Reserve space for planned expansions, phased delivery, and new-sector onboarding.</w:t>
      </w:r>
    </w:p>
    <w:p>
      <w:pPr>
        <w:pStyle w:val="Heading1"/>
      </w:pPr>
      <w:r>
        <w:t>Fish Sector Coverage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Describe how the fish sector will fit into the product vision, including store-level sector selection, the transport decision point, and the buyer-facing container-return flow for fish orders without farmer-owned transport.</w:t>
      </w:r>
    </w:p>
    <w:p>
      <w:pPr>
        <w:pStyle w:val="Heading1"/>
      </w:pPr>
      <w:r>
        <w:t>Closing Note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Keep this document focused on what the product must achieve. Implementation details, entity design, and API shapes belong in the technical documents.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b w:val="0"/>
        <w:i w:val="0"/>
        <w:color w:val="5A5A5A"/>
        <w:sz w:val="18"/>
      </w:rPr>
      <w:t>AgriChain AI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