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Calibri" w:hAnsi="Calibri"/>
          <w:b/>
          <w:i w:val="0"/>
          <w:color w:val="1F4D78"/>
          <w:sz w:val="44"/>
        </w:rPr>
        <w:t>Technical Blueprint Structure</w:t>
      </w:r>
    </w:p>
    <w:p>
      <w:pPr>
        <w:spacing w:before="0" w:after="200"/>
        <w:jc w:val="left"/>
      </w:pPr>
      <w:r>
        <w:rPr>
          <w:rFonts w:ascii="Calibri" w:hAnsi="Calibri"/>
          <w:b w:val="0"/>
          <w:i/>
          <w:color w:val="5A5A5A"/>
          <w:sz w:val="20"/>
        </w:rPr>
        <w:t>Architecture-oriented outline for the shared API, web apps, and platform services.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B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Scope note: </w:t>
            </w:r>
            <w:r>
              <w:rPr>
                <w:rFonts w:ascii="Calibri" w:hAnsi="Calibri"/>
                <w:b w:val="0"/>
                <w:i w:val="0"/>
                <w:color w:val="232323"/>
                <w:sz w:val="21"/>
              </w:rPr>
              <w:t>Use this structure to describe the technical decisions behind the system and to show how the fish-sector extension can be introduced without breaking the existing produce flow.</w:t>
            </w:r>
          </w:p>
        </w:tc>
      </w:tr>
    </w:tbl>
    <w:p>
      <w:pPr>
        <w:pStyle w:val="Heading1"/>
      </w:pPr>
      <w:r>
        <w:t>System Overview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State the system boundaries, main applications, and the shared backend responsibilities.</w:t>
      </w:r>
    </w:p>
    <w:p>
      <w:pPr>
        <w:pStyle w:val="Heading1"/>
      </w:pPr>
      <w:r>
        <w:t>Component Architecture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Break down frontend, backend, data, and operational components into clear responsibilities.</w:t>
      </w:r>
    </w:p>
    <w:p>
      <w:pPr>
        <w:pStyle w:val="Heading1"/>
      </w:pPr>
      <w:r>
        <w:t>Service Boundaries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Define which module owns which capability and where cross-module communication happens.</w:t>
      </w:r>
    </w:p>
    <w:p>
      <w:pPr>
        <w:pStyle w:val="Heading1"/>
      </w:pPr>
      <w:r>
        <w:t>Data Flow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Explain how requests move from the user interface through the API into persistence and back.</w:t>
      </w:r>
    </w:p>
    <w:p>
      <w:pPr>
        <w:pStyle w:val="Heading1"/>
      </w:pPr>
      <w:r>
        <w:t>Security Architecture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Document auth, authorization, transport security, and rate limiting.</w:t>
      </w:r>
    </w:p>
    <w:p>
      <w:pPr>
        <w:pStyle w:val="Heading1"/>
      </w:pPr>
      <w:r>
        <w:t>Scalability and Reliability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Describe caching, resilience, retries, and how the platform should scale.</w:t>
      </w:r>
    </w:p>
    <w:p>
      <w:pPr>
        <w:pStyle w:val="Heading1"/>
      </w:pPr>
      <w:r>
        <w:t>Observability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Cover logs, metrics, tracing, dashboards, and operational alerts.</w:t>
      </w:r>
    </w:p>
    <w:p>
      <w:pPr>
        <w:pStyle w:val="Heading1"/>
      </w:pPr>
      <w:r>
        <w:t>Deployment Architecture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Describe environments, release flow, hosting model, and service topology.</w:t>
      </w:r>
    </w:p>
    <w:p>
      <w:pPr>
        <w:pStyle w:val="Heading1"/>
      </w:pPr>
      <w:r>
        <w:t>Technology Decisions and Tradeoffs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Capture the key reasons for choosing the current stack and the constraints that came with it.</w:t>
      </w:r>
    </w:p>
    <w:p>
      <w:pPr>
        <w:pStyle w:val="Heading1"/>
      </w:pPr>
      <w:r>
        <w:t>Fish Sector Coverage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Describe the fish-sector technical additions at a high level: sector-aware stores, a bus transport option, a container-tracking concept, and multi-leg logistics support that still reuses the existing logistics module.</w:t>
      </w:r>
    </w:p>
    <w:p>
      <w:pPr>
        <w:pStyle w:val="Heading1"/>
      </w:pPr>
      <w:r>
        <w:t>Closing Note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232323"/>
          <w:sz w:val="22"/>
        </w:rPr>
        <w:t>This document should read like an implementation-ready blueprint, but it should still keep proposed fish-sector work clearly labeled as planned rather than already shipped.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b w:val="0"/>
        <w:i w:val="0"/>
        <w:color w:val="5A5A5A"/>
        <w:sz w:val="18"/>
      </w:rPr>
      <w:t>AgriChain AI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323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